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23495</wp:posOffset>
            </wp:positionV>
            <wp:extent cx="4029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89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-207010</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53975</wp:posOffset>
            </wp:positionH>
            <wp:positionV relativeFrom="paragraph">
              <wp:posOffset>-93345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300" w:hanging="231"/>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53975</wp:posOffset>
            </wp:positionH>
            <wp:positionV relativeFrom="paragraph">
              <wp:posOffset>-93345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5" w:lineRule="exact"/>
        <w:rPr>
          <w:sz w:val="24"/>
          <w:szCs w:val="24"/>
          <w:color w:val="auto"/>
        </w:rPr>
      </w:pPr>
    </w:p>
    <w:p>
      <w:pPr>
        <w:ind w:left="300"/>
        <w:spacing w:after="0"/>
        <w:tabs>
          <w:tab w:leader="none" w:pos="42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2338705</wp:posOffset>
            </wp:positionH>
            <wp:positionV relativeFrom="paragraph">
              <wp:posOffset>-14605</wp:posOffset>
            </wp:positionV>
            <wp:extent cx="905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1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001-34755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-306705</wp:posOffset>
            </wp:positionV>
            <wp:extent cx="4029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36830</wp:posOffset>
            </wp:positionV>
            <wp:extent cx="4029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78" w:lineRule="exact"/>
        <w:rPr>
          <w:sz w:val="24"/>
          <w:szCs w:val="24"/>
          <w:color w:val="auto"/>
        </w:rPr>
      </w:pPr>
    </w:p>
    <w:tbl>
      <w:tblPr>
        <w:tblLayout w:type="fixed"/>
        <w:tblInd w:w="1280" w:type="dxa"/>
        <w:tblCellMar>
          <w:top w:w="0" w:type="dxa"/>
          <w:left w:w="0" w:type="dxa"/>
          <w:bottom w:w="0" w:type="dxa"/>
          <w:right w:w="0" w:type="dxa"/>
        </w:tblCellMar>
      </w:tblPr>
      <w:tr>
        <w:trPr>
          <w:trHeight w:val="238"/>
        </w:trPr>
        <w:tc>
          <w:tcPr>
            <w:tcW w:w="4760" w:type="dxa"/>
            <w:vAlign w:val="bottom"/>
          </w:tcPr>
          <w:p>
            <w:pPr>
              <w:jc w:val="center"/>
              <w:ind w:right="15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77-0260692</w:t>
            </w:r>
          </w:p>
        </w:tc>
      </w:tr>
      <w:tr>
        <w:trPr>
          <w:trHeight w:val="248"/>
        </w:trPr>
        <w:tc>
          <w:tcPr>
            <w:tcW w:w="4760" w:type="dxa"/>
            <w:vAlign w:val="bottom"/>
          </w:tcPr>
          <w:p>
            <w:pPr>
              <w:jc w:val="center"/>
              <w:ind w:right="1592"/>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60" w:type="dxa"/>
            <w:vAlign w:val="bottom"/>
          </w:tcPr>
          <w:p>
            <w:pPr>
              <w:jc w:val="center"/>
              <w:ind w:right="1572"/>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05"/>
        </w:trPr>
        <w:tc>
          <w:tcPr>
            <w:tcW w:w="4760" w:type="dxa"/>
            <w:vAlign w:val="bottom"/>
          </w:tcPr>
          <w:p>
            <w:pPr>
              <w:jc w:val="center"/>
              <w:ind w:right="1592"/>
              <w:spacing w:after="0"/>
              <w:rPr>
                <w:sz w:val="20"/>
                <w:szCs w:val="20"/>
                <w:color w:val="auto"/>
              </w:rPr>
            </w:pPr>
            <w:r>
              <w:rPr>
                <w:rFonts w:ascii="Times New Roman" w:cs="Times New Roman" w:eastAsia="Times New Roman" w:hAnsi="Times New Roman"/>
                <w:sz w:val="16"/>
                <w:szCs w:val="16"/>
                <w:b w:val="1"/>
                <w:bCs w:val="1"/>
                <w:color w:val="auto"/>
              </w:rPr>
              <w:t>1141 Cummings Road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Santa Paula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6"/>
                <w:szCs w:val="16"/>
                <w:b w:val="1"/>
                <w:bCs w:val="1"/>
                <w:color w:val="auto"/>
              </w:rPr>
              <w:t xml:space="preserve"> CA</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93060</w:t>
            </w:r>
          </w:p>
        </w:tc>
      </w:tr>
      <w:tr>
        <w:trPr>
          <w:trHeight w:val="243"/>
        </w:trPr>
        <w:tc>
          <w:tcPr>
            <w:tcW w:w="4760" w:type="dxa"/>
            <w:vAlign w:val="bottom"/>
          </w:tcPr>
          <w:p>
            <w:pPr>
              <w:jc w:val="center"/>
              <w:ind w:right="1592"/>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525-5541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83185</wp:posOffset>
            </wp:positionV>
            <wp:extent cx="2383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8"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7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0" w:type="dxa"/>
            <w:vAlign w:val="bottom"/>
          </w:tcPr>
          <w:p>
            <w:pPr>
              <w:spacing w:after="0"/>
              <w:rPr>
                <w:sz w:val="1"/>
                <w:szCs w:val="1"/>
                <w:color w:val="auto"/>
              </w:rPr>
            </w:pPr>
          </w:p>
        </w:tc>
      </w:tr>
      <w:tr>
        <w:trPr>
          <w:trHeight w:val="364"/>
        </w:trPr>
        <w:tc>
          <w:tcPr>
            <w:tcW w:w="2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Title of Each Class</w:t>
            </w:r>
          </w:p>
        </w:tc>
        <w:tc>
          <w:tcPr>
            <w:tcW w:w="33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Trading Symbol (s)</w:t>
            </w:r>
          </w:p>
        </w:tc>
        <w:tc>
          <w:tcPr>
            <w:tcW w:w="42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Name of Each Exchange of Which Registered</w:t>
            </w:r>
          </w:p>
        </w:tc>
        <w:tc>
          <w:tcPr>
            <w:tcW w:w="0" w:type="dxa"/>
            <w:vAlign w:val="bottom"/>
          </w:tcPr>
          <w:p>
            <w:pPr>
              <w:spacing w:after="0"/>
              <w:rPr>
                <w:sz w:val="1"/>
                <w:szCs w:val="1"/>
                <w:color w:val="auto"/>
              </w:rPr>
            </w:pPr>
          </w:p>
        </w:tc>
      </w:tr>
      <w:tr>
        <w:trPr>
          <w:trHeight w:val="203"/>
        </w:trPr>
        <w:tc>
          <w:tcPr>
            <w:tcW w:w="25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360" w:type="dxa"/>
            <w:vAlign w:val="bottom"/>
            <w:vMerge w:val="restart"/>
          </w:tcPr>
          <w:p>
            <w:pPr>
              <w:jc w:val="center"/>
              <w:ind w:left="950"/>
              <w:spacing w:after="0"/>
              <w:rPr>
                <w:sz w:val="20"/>
                <w:szCs w:val="20"/>
                <w:color w:val="auto"/>
              </w:rPr>
            </w:pPr>
            <w:r>
              <w:rPr>
                <w:rFonts w:ascii="Times New Roman" w:cs="Times New Roman" w:eastAsia="Times New Roman" w:hAnsi="Times New Roman"/>
                <w:sz w:val="18"/>
                <w:szCs w:val="18"/>
                <w:color w:val="auto"/>
                <w:w w:val="99"/>
              </w:rPr>
              <w:t>LMNR</w:t>
            </w:r>
          </w:p>
        </w:tc>
        <w:tc>
          <w:tcPr>
            <w:tcW w:w="4280" w:type="dxa"/>
            <w:vAlign w:val="bottom"/>
          </w:tcPr>
          <w:p>
            <w:pPr>
              <w:jc w:val="center"/>
              <w:ind w:left="390"/>
              <w:spacing w:after="0" w:line="202" w:lineRule="exact"/>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6"/>
                <w:szCs w:val="16"/>
                <w:color w:val="auto"/>
              </w:rPr>
              <w:t>NASDAQ</w:t>
            </w:r>
            <w:r>
              <w:rPr>
                <w:rFonts w:ascii="Times New Roman" w:cs="Times New Roman" w:eastAsia="Times New Roman" w:hAnsi="Times New Roman"/>
                <w:sz w:val="18"/>
                <w:szCs w:val="18"/>
                <w:color w:val="auto"/>
              </w:rPr>
              <w:t xml:space="preserve"> Stock Market LLC (NASDAQ Global</w:t>
            </w:r>
          </w:p>
        </w:tc>
        <w:tc>
          <w:tcPr>
            <w:tcW w:w="0" w:type="dxa"/>
            <w:vAlign w:val="bottom"/>
          </w:tcPr>
          <w:p>
            <w:pPr>
              <w:spacing w:after="0"/>
              <w:rPr>
                <w:sz w:val="1"/>
                <w:szCs w:val="1"/>
                <w:color w:val="auto"/>
              </w:rPr>
            </w:pPr>
          </w:p>
        </w:tc>
      </w:tr>
      <w:tr>
        <w:trPr>
          <w:trHeight w:val="234"/>
        </w:trPr>
        <w:tc>
          <w:tcPr>
            <w:tcW w:w="2500" w:type="dxa"/>
            <w:vAlign w:val="bottom"/>
            <w:vMerge w:val="continue"/>
          </w:tcPr>
          <w:p>
            <w:pPr>
              <w:spacing w:after="0"/>
              <w:rPr>
                <w:sz w:val="20"/>
                <w:szCs w:val="20"/>
                <w:color w:val="auto"/>
              </w:rPr>
            </w:pPr>
          </w:p>
        </w:tc>
        <w:tc>
          <w:tcPr>
            <w:tcW w:w="3360" w:type="dxa"/>
            <w:vAlign w:val="bottom"/>
            <w:vMerge w:val="continue"/>
          </w:tcPr>
          <w:p>
            <w:pPr>
              <w:spacing w:after="0"/>
              <w:rPr>
                <w:sz w:val="20"/>
                <w:szCs w:val="20"/>
                <w:color w:val="auto"/>
              </w:rPr>
            </w:pPr>
          </w:p>
        </w:tc>
        <w:tc>
          <w:tcPr>
            <w:tcW w:w="4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47" w:right="339" w:bottom="1440" w:gutter="0" w:footer="0" w:header="0"/>
        </w:sectPr>
      </w:pPr>
    </w:p>
    <w:p>
      <w:pPr>
        <w:spacing w:after="0" w:line="107"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38" w:lineRule="exact"/>
        <w:rPr>
          <w:sz w:val="24"/>
          <w:szCs w:val="24"/>
          <w:color w:val="auto"/>
        </w:rPr>
      </w:pPr>
    </w:p>
    <w:p>
      <w:pPr>
        <w:sectPr>
          <w:pgSz w:w="11900" w:h="16838" w:orient="portrait"/>
          <w:cols w:equalWidth="0" w:num="6">
            <w:col w:w="180" w:space="260"/>
            <w:col w:w="2600" w:space="720"/>
            <w:col w:w="160" w:space="260"/>
            <w:col w:w="2600" w:space="720"/>
            <w:col w:w="160" w:space="280"/>
            <w:col w:w="3300"/>
          </w:cols>
          <w:pgMar w:left="320" w:top="947" w:right="339" w:bottom="1440" w:gutter="0" w:footer="0" w:header="0"/>
          <w:type w:val="continuous"/>
        </w:sect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117" w:lineRule="exact"/>
        <w:rPr>
          <w:sz w:val="24"/>
          <w:szCs w:val="24"/>
          <w:color w:val="auto"/>
        </w:rPr>
      </w:pPr>
    </w:p>
    <w:p>
      <w:pPr>
        <w:sectPr>
          <w:pgSz w:w="11900" w:h="16838" w:orient="portrait"/>
          <w:cols w:equalWidth="0" w:num="4">
            <w:col w:w="180" w:space="260"/>
            <w:col w:w="2600" w:space="720"/>
            <w:col w:w="160" w:space="260"/>
            <w:col w:w="7060"/>
          </w:cols>
          <w:pgMar w:left="320" w:top="947" w:right="339" w:bottom="1440" w:gutter="0" w:footer="0" w:header="0"/>
          <w:type w:val="continuous"/>
        </w:sectPr>
      </w:pPr>
    </w:p>
    <w:p>
      <w:pPr>
        <w:ind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8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August 31, 2020, there were 17,815,607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7" w:right="339" w:bottom="1440" w:gutter="0" w:footer="0" w:header="0"/>
          <w:type w:val="continuous"/>
        </w:sectPr>
      </w:pPr>
    </w:p>
    <w:bookmarkStart w:id="1" w:name="page2"/>
    <w:bookmarkEnd w:id="1"/>
    <w:p>
      <w:pPr>
        <w:jc w:val="center"/>
        <w:ind w:left="900"/>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3"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 July 31, 2020 and 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 three and nine months ended July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 three and nine months ended July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right="1140"/>
        <w:spacing w:after="0" w:line="470" w:lineRule="auto"/>
        <w:rPr>
          <w:sz w:val="20"/>
          <w:szCs w:val="20"/>
          <w:color w:val="auto"/>
        </w:rPr>
      </w:pPr>
      <w:r>
        <w:rPr>
          <w:rFonts w:ascii="Times New Roman" w:cs="Times New Roman" w:eastAsia="Times New Roman" w:hAnsi="Times New Roman"/>
          <w:sz w:val="18"/>
          <w:szCs w:val="18"/>
          <w:color w:val="auto"/>
        </w:rPr>
        <w:t>Consolidated Statements of Stockholders' Equity and Temporary Equity – three and nine months ended July 31, 2020 and 2019 Consolidated Statements of Cash Flows – nine months ended July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62865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4</w:t>
        </w:r>
      </w:hyperlink>
    </w:p>
    <w:p>
      <w:pPr>
        <w:spacing w:after="0" w:line="33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p>
      <w:pPr>
        <w:spacing w:after="0" w:line="33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p>
      <w:pPr>
        <w:spacing w:after="0" w:line="33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p>
      <w:pPr>
        <w:spacing w:after="0" w:line="33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p>
      <w:pPr>
        <w:spacing w:after="0" w:line="333"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p>
      <w:pPr>
        <w:spacing w:after="0" w:line="171" w:lineRule="exact"/>
        <w:rPr>
          <w:sz w:val="20"/>
          <w:szCs w:val="20"/>
          <w:color w:val="auto"/>
        </w:rPr>
      </w:pPr>
    </w:p>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9</w:t>
        </w:r>
      </w:hyperlink>
    </w:p>
    <w:p>
      <w:pPr>
        <w:spacing w:after="0" w:line="333"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10">
        <w:r>
          <w:rPr>
            <w:rFonts w:ascii="Times New Roman" w:cs="Times New Roman" w:eastAsia="Times New Roman" w:hAnsi="Times New Roman"/>
            <w:sz w:val="17"/>
            <w:szCs w:val="17"/>
            <w:u w:val="single" w:color="auto"/>
            <w:color w:val="0000FF"/>
          </w:rPr>
          <w:t>11</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28">
        <w:r>
          <w:rPr>
            <w:rFonts w:ascii="Times New Roman" w:cs="Times New Roman" w:eastAsia="Times New Roman" w:hAnsi="Times New Roman"/>
            <w:sz w:val="17"/>
            <w:szCs w:val="17"/>
            <w:u w:val="single" w:color="auto"/>
            <w:color w:val="0000FF"/>
          </w:rPr>
          <w:t>29</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0">
        <w:r>
          <w:rPr>
            <w:rFonts w:ascii="Times New Roman" w:cs="Times New Roman" w:eastAsia="Times New Roman" w:hAnsi="Times New Roman"/>
            <w:sz w:val="17"/>
            <w:szCs w:val="17"/>
            <w:u w:val="single" w:color="auto"/>
            <w:color w:val="0000FF"/>
          </w:rPr>
          <w:t>51</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1">
        <w:r>
          <w:rPr>
            <w:rFonts w:ascii="Times New Roman" w:cs="Times New Roman" w:eastAsia="Times New Roman" w:hAnsi="Times New Roman"/>
            <w:sz w:val="17"/>
            <w:szCs w:val="17"/>
            <w:u w:val="single" w:color="auto"/>
            <w:color w:val="0000FF"/>
          </w:rPr>
          <w:t>51</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1">
        <w:r>
          <w:rPr>
            <w:rFonts w:ascii="Times New Roman" w:cs="Times New Roman" w:eastAsia="Times New Roman" w:hAnsi="Times New Roman"/>
            <w:sz w:val="17"/>
            <w:szCs w:val="17"/>
            <w:u w:val="single" w:color="auto"/>
            <w:color w:val="0000FF"/>
          </w:rPr>
          <w:t>52</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2">
        <w:r>
          <w:rPr>
            <w:rFonts w:ascii="Times New Roman" w:cs="Times New Roman" w:eastAsia="Times New Roman" w:hAnsi="Times New Roman"/>
            <w:sz w:val="17"/>
            <w:szCs w:val="17"/>
            <w:u w:val="single" w:color="auto"/>
            <w:color w:val="0000FF"/>
          </w:rPr>
          <w:t>52</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2">
        <w:r>
          <w:rPr>
            <w:rFonts w:ascii="Times New Roman" w:cs="Times New Roman" w:eastAsia="Times New Roman" w:hAnsi="Times New Roman"/>
            <w:sz w:val="17"/>
            <w:szCs w:val="17"/>
            <w:u w:val="single" w:color="auto"/>
            <w:color w:val="0000FF"/>
          </w:rPr>
          <w:t>52</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3">
        <w:r>
          <w:rPr>
            <w:rFonts w:ascii="Times New Roman" w:cs="Times New Roman" w:eastAsia="Times New Roman" w:hAnsi="Times New Roman"/>
            <w:sz w:val="17"/>
            <w:szCs w:val="17"/>
            <w:u w:val="single" w:color="auto"/>
            <w:color w:val="0000FF"/>
          </w:rPr>
          <w:t>53</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3">
        <w:r>
          <w:rPr>
            <w:rFonts w:ascii="Times New Roman" w:cs="Times New Roman" w:eastAsia="Times New Roman" w:hAnsi="Times New Roman"/>
            <w:sz w:val="17"/>
            <w:szCs w:val="17"/>
            <w:u w:val="single" w:color="auto"/>
            <w:color w:val="0000FF"/>
          </w:rPr>
          <w:t>53</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3">
        <w:r>
          <w:rPr>
            <w:rFonts w:ascii="Times New Roman" w:cs="Times New Roman" w:eastAsia="Times New Roman" w:hAnsi="Times New Roman"/>
            <w:sz w:val="17"/>
            <w:szCs w:val="17"/>
            <w:u w:val="single" w:color="auto"/>
            <w:color w:val="0000FF"/>
          </w:rPr>
          <w:t>53</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3">
        <w:r>
          <w:rPr>
            <w:rFonts w:ascii="Times New Roman" w:cs="Times New Roman" w:eastAsia="Times New Roman" w:hAnsi="Times New Roman"/>
            <w:sz w:val="17"/>
            <w:szCs w:val="17"/>
            <w:u w:val="single" w:color="auto"/>
            <w:color w:val="0000FF"/>
          </w:rPr>
          <w:t>53</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3">
        <w:r>
          <w:rPr>
            <w:rFonts w:ascii="Times New Roman" w:cs="Times New Roman" w:eastAsia="Times New Roman" w:hAnsi="Times New Roman"/>
            <w:sz w:val="17"/>
            <w:szCs w:val="17"/>
            <w:u w:val="single" w:color="auto"/>
            <w:color w:val="0000FF"/>
          </w:rPr>
          <w:t>54</w:t>
        </w:r>
      </w:hyperlink>
    </w:p>
    <w:p>
      <w:pPr>
        <w:spacing w:after="0" w:line="34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w:anchor="page55">
        <w:r>
          <w:rPr>
            <w:rFonts w:ascii="Times New Roman" w:cs="Times New Roman" w:eastAsia="Times New Roman" w:hAnsi="Times New Roman"/>
            <w:sz w:val="17"/>
            <w:szCs w:val="17"/>
            <w:u w:val="single" w:color="auto"/>
            <w:color w:val="0000FF"/>
          </w:rPr>
          <w:t>56</w:t>
        </w:r>
      </w:hyperlink>
    </w:p>
    <w:p>
      <w:pPr>
        <w:sectPr>
          <w:pgSz w:w="11900" w:h="16838" w:orient="portrait"/>
          <w:cols w:equalWidth="0" w:num="2">
            <w:col w:w="10300" w:space="720"/>
            <w:col w:w="180"/>
          </w:cols>
          <w:pgMar w:left="340" w:top="932"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on Forward-Looking Statements.</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20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laws, regulations, rules, quotas, tariffs, and import laws;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market responses to industry volume pressures;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increased pressure from disease, insects and other pests;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 of water supplies or changes in water allocations;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product and raw materials supplies and pricing;</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energy supply and pricing;</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interest rates;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availability of financing for development activities;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 economic conditions for residential and commercial real estate development;</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political changes and economic crises;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international conflict;</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acts of terrorism;</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labor disruptions, strikes, shortages or work stoppages;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foreign exchange rate movements;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negative impacts related to the COVID-19 pandemic and the effectiveness of the Company's responses to the pandemic;</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ability to maintain compliance with covenants under our loan agreements;</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loss of important intellectual property rights; and</w:t>
      </w:r>
    </w:p>
    <w:p>
      <w:pPr>
        <w:spacing w:after="0" w:line="11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disclosed in our public filings with the Securities and Exchange Commission (the "SEC").</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These forward-looking statements involve risks and uncertainties that we have identified as having the potential to cause actual results to differ materially from those contemplated herein. We have described in Part II, Item 1A-“Risk Factors” additional factors that could cause our actual results to differ from our projections or estimates, especially relating to the COVID-19 pandemic.</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Many of these risks and uncertainties are currently amplified by, and will continue to be amplified by, or in the future may be amplified by, the COVID-19 outbreak. It is not possible to predict or identify all such risks.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elsewhere in this Quarterly Report on Form 10-Q and in our Annual Report on Form 10-K for the fiscal year ended October 31, 2019.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terms the “Company,” “Limoneira," “we,” “our” and “us” as used throughout this Quarterly Report on Form 10-Q refer to Limoneira Company and its consolidated subsidiaries,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 (UNAUDITED)</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in thousands, except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14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104"/>
        </w:trPr>
        <w:tc>
          <w:tcPr>
            <w:tcW w:w="8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08"/>
        </w:trPr>
        <w:tc>
          <w:tcPr>
            <w:tcW w:w="8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8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2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15,114</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Cultural costs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7,223</w:t>
            </w:r>
          </w:p>
        </w:tc>
        <w:tc>
          <w:tcPr>
            <w:tcW w:w="0" w:type="dxa"/>
            <w:vAlign w:val="bottom"/>
          </w:tcPr>
          <w:p>
            <w:pPr>
              <w:spacing w:after="0"/>
              <w:rPr>
                <w:sz w:val="1"/>
                <w:szCs w:val="1"/>
                <w:color w:val="auto"/>
              </w:rPr>
            </w:pPr>
          </w:p>
        </w:tc>
      </w:tr>
      <w:tr>
        <w:trPr>
          <w:trHeight w:val="223"/>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8,153</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Receivables/other from related parties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0" w:type="dxa"/>
            <w:vAlign w:val="bottom"/>
          </w:tcPr>
          <w:p>
            <w:pPr>
              <w:spacing w:after="0"/>
              <w:rPr>
                <w:sz w:val="1"/>
                <w:szCs w:val="1"/>
                <w:color w:val="auto"/>
              </w:rPr>
            </w:pPr>
          </w:p>
        </w:tc>
      </w:tr>
      <w:tr>
        <w:trPr>
          <w:trHeight w:val="22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0" w:type="dxa"/>
            <w:vAlign w:val="bottom"/>
          </w:tcPr>
          <w:p>
            <w:pPr>
              <w:spacing w:after="0"/>
              <w:rPr>
                <w:sz w:val="1"/>
                <w:szCs w:val="1"/>
                <w:color w:val="auto"/>
              </w:rPr>
            </w:pPr>
          </w:p>
        </w:tc>
      </w:tr>
      <w:tr>
        <w:trPr>
          <w:trHeight w:val="33"/>
        </w:trPr>
        <w:tc>
          <w:tcPr>
            <w:tcW w:w="8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35,070</w:t>
            </w:r>
          </w:p>
        </w:tc>
        <w:tc>
          <w:tcPr>
            <w:tcW w:w="0" w:type="dxa"/>
            <w:vAlign w:val="bottom"/>
          </w:tcPr>
          <w:p>
            <w:pPr>
              <w:spacing w:after="0"/>
              <w:rPr>
                <w:sz w:val="1"/>
                <w:szCs w:val="1"/>
                <w:color w:val="auto"/>
              </w:rPr>
            </w:pPr>
          </w:p>
        </w:tc>
      </w:tr>
      <w:tr>
        <w:trPr>
          <w:trHeight w:val="94"/>
        </w:trPr>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248,114</w:t>
            </w:r>
          </w:p>
        </w:tc>
        <w:tc>
          <w:tcPr>
            <w:tcW w:w="0" w:type="dxa"/>
            <w:vAlign w:val="bottom"/>
          </w:tcPr>
          <w:p>
            <w:pPr>
              <w:spacing w:after="0"/>
              <w:rPr>
                <w:sz w:val="1"/>
                <w:szCs w:val="1"/>
                <w:color w:val="auto"/>
              </w:rPr>
            </w:pPr>
          </w:p>
        </w:tc>
      </w:tr>
      <w:tr>
        <w:trPr>
          <w:trHeight w:val="22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development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17,602</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58,223</w:t>
            </w:r>
          </w:p>
        </w:tc>
        <w:tc>
          <w:tcPr>
            <w:tcW w:w="0" w:type="dxa"/>
            <w:vAlign w:val="bottom"/>
          </w:tcPr>
          <w:p>
            <w:pPr>
              <w:spacing w:after="0"/>
              <w:rPr>
                <w:sz w:val="1"/>
                <w:szCs w:val="1"/>
                <w:color w:val="auto"/>
              </w:rPr>
            </w:pPr>
          </w:p>
        </w:tc>
      </w:tr>
      <w:tr>
        <w:trPr>
          <w:trHeight w:val="22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Calavo Growers, Inc.</w:t>
            </w:r>
          </w:p>
        </w:tc>
        <w:tc>
          <w:tcPr>
            <w:tcW w:w="1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17,346</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0" w:type="dxa"/>
            <w:vAlign w:val="bottom"/>
          </w:tcPr>
          <w:p>
            <w:pPr>
              <w:spacing w:after="0"/>
              <w:rPr>
                <w:sz w:val="1"/>
                <w:szCs w:val="1"/>
                <w:color w:val="auto"/>
              </w:rPr>
            </w:pPr>
          </w:p>
        </w:tc>
      </w:tr>
      <w:tr>
        <w:trPr>
          <w:trHeight w:val="224"/>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9,266</w:t>
            </w:r>
          </w:p>
        </w:tc>
        <w:tc>
          <w:tcPr>
            <w:tcW w:w="0" w:type="dxa"/>
            <w:vAlign w:val="bottom"/>
          </w:tcPr>
          <w:p>
            <w:pPr>
              <w:spacing w:after="0"/>
              <w:rPr>
                <w:sz w:val="1"/>
                <w:szCs w:val="1"/>
                <w:color w:val="auto"/>
              </w:rPr>
            </w:pPr>
          </w:p>
        </w:tc>
      </w:tr>
      <w:tr>
        <w:trPr>
          <w:trHeight w:val="247"/>
        </w:trPr>
        <w:tc>
          <w:tcPr>
            <w:tcW w:w="8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399,867</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8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4,974</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Growers payable</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0" w:type="dxa"/>
            <w:vAlign w:val="bottom"/>
          </w:tcPr>
          <w:p>
            <w:pPr>
              <w:spacing w:after="0"/>
              <w:rPr>
                <w:sz w:val="1"/>
                <w:szCs w:val="1"/>
                <w:color w:val="auto"/>
              </w:rPr>
            </w:pPr>
          </w:p>
        </w:tc>
      </w:tr>
      <w:tr>
        <w:trPr>
          <w:trHeight w:val="223"/>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8,261</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Payables to related parties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23"/>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0" w:type="dxa"/>
            <w:vAlign w:val="bottom"/>
          </w:tcPr>
          <w:p>
            <w:pPr>
              <w:spacing w:after="0"/>
              <w:rPr>
                <w:sz w:val="1"/>
                <w:szCs w:val="1"/>
                <w:color w:val="auto"/>
              </w:rPr>
            </w:pPr>
          </w:p>
        </w:tc>
      </w:tr>
      <w:tr>
        <w:trPr>
          <w:trHeight w:val="33"/>
        </w:trPr>
        <w:tc>
          <w:tcPr>
            <w:tcW w:w="8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0" w:type="dxa"/>
            <w:vAlign w:val="bottom"/>
          </w:tcPr>
          <w:p>
            <w:pPr>
              <w:spacing w:after="0"/>
              <w:rPr>
                <w:sz w:val="1"/>
                <w:szCs w:val="1"/>
                <w:color w:val="auto"/>
              </w:rPr>
            </w:pPr>
          </w:p>
        </w:tc>
      </w:tr>
      <w:tr>
        <w:trPr>
          <w:trHeight w:val="22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105,892</w:t>
            </w:r>
          </w:p>
        </w:tc>
        <w:tc>
          <w:tcPr>
            <w:tcW w:w="0" w:type="dxa"/>
            <w:vAlign w:val="bottom"/>
          </w:tcPr>
          <w:p>
            <w:pPr>
              <w:spacing w:after="0"/>
              <w:rPr>
                <w:sz w:val="1"/>
                <w:szCs w:val="1"/>
                <w:color w:val="auto"/>
              </w:rPr>
            </w:pPr>
          </w:p>
        </w:tc>
      </w:tr>
      <w:tr>
        <w:trPr>
          <w:trHeight w:val="223"/>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24,346</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5,467</w:t>
            </w:r>
          </w:p>
        </w:tc>
        <w:tc>
          <w:tcPr>
            <w:tcW w:w="0" w:type="dxa"/>
            <w:vAlign w:val="bottom"/>
          </w:tcPr>
          <w:p>
            <w:pPr>
              <w:spacing w:after="0"/>
              <w:rPr>
                <w:sz w:val="1"/>
                <w:szCs w:val="1"/>
                <w:color w:val="auto"/>
              </w:rPr>
            </w:pPr>
          </w:p>
        </w:tc>
      </w:tr>
      <w:tr>
        <w:trPr>
          <w:trHeight w:val="217"/>
        </w:trPr>
        <w:tc>
          <w:tcPr>
            <w:tcW w:w="8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183,536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167,369</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18)</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54"/>
        </w:trPr>
        <w:tc>
          <w:tcPr>
            <w:tcW w:w="8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7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 Convertible Preferred Stock – $100.00 par value (50,000 shares authorized: 14,790 shares issued and outstanding at July 31,</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 and October 31, 2019) (8.75% coupon rate)</w:t>
            </w: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Series B-2 Convertible Preferred Stock – $100.00 par value (10,000 shares authorized: 9,300 shares issued and outstanding at July 31,</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0" w:type="dxa"/>
            <w:vAlign w:val="bottom"/>
          </w:tcPr>
          <w:p>
            <w:pPr>
              <w:spacing w:after="0"/>
              <w:rPr>
                <w:sz w:val="1"/>
                <w:szCs w:val="1"/>
                <w:color w:val="auto"/>
              </w:rPr>
            </w:pPr>
          </w:p>
        </w:tc>
      </w:tr>
      <w:tr>
        <w:trPr>
          <w:trHeight w:val="250"/>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2020 and October 31, 2019) (4% dividend rate on liquidation value of $1,000 per share)</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76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Series A Junior Participating Preferred Stock – $0.01 par value (20,000 shares authorized: zero issued or outstanding at July 31,</w:t>
            </w: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2020 and October 31, 2019)</w:t>
            </w:r>
          </w:p>
        </w:tc>
        <w:tc>
          <w:tcPr>
            <w:tcW w:w="12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 $0.01 par value (39,000,000 shares authorized: 17,857,707 and 17,756,180 shares issued and 17,815,607 and</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3"/>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17,756,180 shares outstanding at July 31, 2020 and October 31, 2019, respectively)</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160,254</w:t>
            </w:r>
          </w:p>
        </w:tc>
        <w:tc>
          <w:tcPr>
            <w:tcW w:w="0" w:type="dxa"/>
            <w:vAlign w:val="bottom"/>
          </w:tcPr>
          <w:p>
            <w:pPr>
              <w:spacing w:after="0"/>
              <w:rPr>
                <w:sz w:val="1"/>
                <w:szCs w:val="1"/>
                <w:color w:val="auto"/>
              </w:rPr>
            </w:pPr>
          </w:p>
        </w:tc>
      </w:tr>
      <w:tr>
        <w:trPr>
          <w:trHeight w:val="223"/>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53,089</w:t>
            </w:r>
          </w:p>
        </w:tc>
        <w:tc>
          <w:tcPr>
            <w:tcW w:w="0" w:type="dxa"/>
            <w:vAlign w:val="bottom"/>
          </w:tcPr>
          <w:p>
            <w:pPr>
              <w:spacing w:after="0"/>
              <w:rPr>
                <w:sz w:val="1"/>
                <w:szCs w:val="1"/>
                <w:color w:val="auto"/>
              </w:rPr>
            </w:pPr>
          </w:p>
        </w:tc>
      </w:tr>
      <w:tr>
        <w:trPr>
          <w:trHeight w:val="33"/>
        </w:trPr>
        <w:tc>
          <w:tcPr>
            <w:tcW w:w="8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0" w:type="dxa"/>
            <w:vAlign w:val="bottom"/>
          </w:tcPr>
          <w:p>
            <w:pPr>
              <w:spacing w:after="0"/>
              <w:rPr>
                <w:sz w:val="1"/>
                <w:szCs w:val="1"/>
                <w:color w:val="auto"/>
              </w:rPr>
            </w:pPr>
          </w:p>
        </w:tc>
      </w:tr>
      <w:tr>
        <w:trPr>
          <w:trHeight w:val="254"/>
        </w:trPr>
        <w:tc>
          <w:tcPr>
            <w:tcW w:w="8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42,100 shares at July 31, 2020</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8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15,422</w:t>
            </w:r>
          </w:p>
        </w:tc>
        <w:tc>
          <w:tcPr>
            <w:tcW w:w="0" w:type="dxa"/>
            <w:vAlign w:val="bottom"/>
          </w:tcPr>
          <w:p>
            <w:pPr>
              <w:spacing w:after="0"/>
              <w:rPr>
                <w:sz w:val="1"/>
                <w:szCs w:val="1"/>
                <w:color w:val="auto"/>
              </w:rPr>
            </w:pPr>
          </w:p>
        </w:tc>
      </w:tr>
      <w:tr>
        <w:trPr>
          <w:trHeight w:val="217"/>
        </w:trPr>
        <w:tc>
          <w:tcPr>
            <w:tcW w:w="8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207,552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221,688</w:t>
            </w:r>
          </w:p>
        </w:tc>
        <w:tc>
          <w:tcPr>
            <w:tcW w:w="0" w:type="dxa"/>
            <w:vAlign w:val="bottom"/>
          </w:tcPr>
          <w:p>
            <w:pPr>
              <w:spacing w:after="0"/>
              <w:rPr>
                <w:sz w:val="1"/>
                <w:szCs w:val="1"/>
                <w:color w:val="auto"/>
              </w:rPr>
            </w:pPr>
          </w:p>
        </w:tc>
      </w:tr>
      <w:tr>
        <w:trPr>
          <w:trHeight w:val="33"/>
        </w:trPr>
        <w:tc>
          <w:tcPr>
            <w:tcW w:w="8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399,867</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927" w:right="339" w:bottom="2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214" w:gutter="0" w:footer="0" w:header="0"/>
          <w:type w:val="continuous"/>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CONSOLIDATED STATEMENTS OF OPERATIONS (UNAUDITED)</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in thousands, except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140" w:type="dxa"/>
            <w:vAlign w:val="bottom"/>
            <w:gridSpan w:val="4"/>
          </w:tcPr>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52,387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49,631</w:t>
            </w:r>
          </w:p>
        </w:tc>
        <w:tc>
          <w:tcPr>
            <w:tcW w:w="1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131,309</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131,254</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217"/>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revenues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53,559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50,869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134,786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134,922</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Agribusiness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118,741</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w:t>
            </w:r>
          </w:p>
        </w:tc>
      </w:tr>
      <w:tr>
        <w:trPr>
          <w:trHeight w:val="224"/>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14,819</w:t>
            </w:r>
          </w:p>
        </w:tc>
      </w:tr>
      <w:tr>
        <w:trPr>
          <w:trHeight w:val="33"/>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136,829</w:t>
            </w:r>
          </w:p>
        </w:tc>
      </w:tr>
      <w:tr>
        <w:trPr>
          <w:trHeight w:val="217"/>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 net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w:t>
            </w:r>
          </w:p>
        </w:tc>
      </w:tr>
      <w:tr>
        <w:trPr>
          <w:trHeight w:val="224"/>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stock in Calavo Growers, Inc.</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7"/>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r>
      <w:tr>
        <w:trPr>
          <w:trHeight w:val="33"/>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2"/>
        </w:trPr>
        <w:tc>
          <w:tcPr>
            <w:tcW w:w="6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 (provision) benefit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7"/>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17"/>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Limoneira Company</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dividends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47"/>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2"/>
        </w:trPr>
        <w:tc>
          <w:tcPr>
            <w:tcW w:w="6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5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(loss) per common share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2"/>
        </w:trPr>
        <w:tc>
          <w:tcPr>
            <w:tcW w:w="6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5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(loss) per common share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2"/>
        </w:trPr>
        <w:tc>
          <w:tcPr>
            <w:tcW w:w="6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outstanding-basic</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17,623,000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17,554,000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17,607,000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17,527,000</w:t>
            </w: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outstanding-diluted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18,497,000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17,554,000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17,607,000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17,527,000</w:t>
            </w:r>
          </w:p>
        </w:tc>
      </w:tr>
      <w:tr>
        <w:trPr>
          <w:trHeight w:val="33"/>
        </w:trPr>
        <w:tc>
          <w:tcPr>
            <w:tcW w:w="6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5"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COMPREHENSIVE INCOME (LOSS) (UNAUDITED)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3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0" w:type="dxa"/>
            <w:vAlign w:val="bottom"/>
          </w:tcPr>
          <w:p>
            <w:pPr>
              <w:spacing w:after="0"/>
              <w:rPr>
                <w:sz w:val="1"/>
                <w:szCs w:val="1"/>
                <w:color w:val="auto"/>
              </w:rPr>
            </w:pPr>
          </w:p>
        </w:tc>
      </w:tr>
      <w:tr>
        <w:trPr>
          <w:trHeight w:val="224"/>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Minimum pension liability adjustment, net of tax of $50, $28, $150 and $83 for the three and nine</w:t>
            </w:r>
          </w:p>
        </w:tc>
        <w:tc>
          <w:tcPr>
            <w:tcW w:w="24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months ended July 31, 2020 and 2019, respectively.</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Residual state tax effects on sale of equity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attributable to Limoneira Company</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5"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Temporary Equity</w:t>
            </w: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20" w:type="dxa"/>
            <w:vAlign w:val="bottom"/>
          </w:tcPr>
          <w:p>
            <w:pPr>
              <w:spacing w:after="0"/>
              <w:rPr>
                <w:sz w:val="12"/>
                <w:szCs w:val="12"/>
                <w:color w:val="auto"/>
              </w:rPr>
            </w:pPr>
          </w:p>
        </w:tc>
        <w:tc>
          <w:tcPr>
            <w:tcW w:w="74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6"/>
                <w:szCs w:val="16"/>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17,756,180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53,089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221,688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1"/>
        </w:trPr>
        <w:tc>
          <w:tcPr>
            <w:tcW w:w="17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Dividends Common ($0.075 per</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Series B ($2.19 per</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7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Other comprehensive (loss)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net of tax</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31,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17,857,707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160,869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45,199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2"/>
        </w:trPr>
        <w:tc>
          <w:tcPr>
            <w:tcW w:w="17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Dividends Common ($0.075 per</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Series B ($2.19 per</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Noncontrolling interest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Other comprehensive (loss)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net of tax</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April 30,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17,857,707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38,850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205,840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122"/>
        </w:trPr>
        <w:tc>
          <w:tcPr>
            <w:tcW w:w="17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Dividends Common ($0.075 per</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7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Dividends Series B ($2.19 per</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7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Series B-2 ($10 per</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Treasury shares (42,100)</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17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Other comprehensive income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net of tax</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4"/>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July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17,857,707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39,695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9,331</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AND TEMPORARY EQUITY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Temporary Equity</w:t>
            </w:r>
          </w:p>
        </w:tc>
      </w:tr>
      <w:tr>
        <w:trPr>
          <w:trHeight w:val="159"/>
        </w:trPr>
        <w:tc>
          <w:tcPr>
            <w:tcW w:w="2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8"/>
        </w:trPr>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100" w:type="dxa"/>
            <w:vAlign w:val="bottom"/>
          </w:tcPr>
          <w:p>
            <w:pPr>
              <w:spacing w:after="0"/>
              <w:rPr>
                <w:sz w:val="12"/>
                <w:szCs w:val="12"/>
                <w:color w:val="auto"/>
              </w:rPr>
            </w:pP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Series B-2</w:t>
            </w:r>
          </w:p>
        </w:tc>
      </w:tr>
      <w:tr>
        <w:trPr>
          <w:trHeight w:val="186"/>
        </w:trPr>
        <w:tc>
          <w:tcPr>
            <w:tcW w:w="228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Non- controlling</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Preferred</w:t>
            </w:r>
          </w:p>
        </w:tc>
      </w:tr>
      <w:tr>
        <w:trPr>
          <w:trHeight w:val="196"/>
        </w:trPr>
        <w:tc>
          <w:tcPr>
            <w:tcW w:w="228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7"/>
                <w:szCs w:val="17"/>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7"/>
                <w:szCs w:val="17"/>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Stock</w:t>
            </w:r>
          </w:p>
        </w:tc>
      </w:tr>
      <w:tr>
        <w:trPr>
          <w:trHeight w:val="18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October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17,647,135</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159,071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50,354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8,965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219,140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9,331</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Common ($0.075 per share)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Series B ($2.19 per share)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Series B-2 $10 per share)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Exchange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2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Other comprehensive income (loss), net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2"/>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Reclassification of unrealized gain on</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35"/>
        </w:trPr>
        <w:tc>
          <w:tcPr>
            <w:tcW w:w="22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6"/>
              </w:rPr>
              <w:t>marketable securities upon adoption of ASU</w:t>
            </w: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8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2016-01</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15,921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44"/>
        </w:trPr>
        <w:tc>
          <w:tcPr>
            <w:tcW w:w="22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Reclassification upon adoption of ASU</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4"/>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2018-02</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17,772,753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159,555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58,401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579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214,450</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9,331</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Common ($0.075 per share)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Series B ($2.19 per share)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Series B-2 ($10 per share)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April 30, 2019</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17,772,753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159,992</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59,757</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(4,643)</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575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215,859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9,331</w:t>
            </w: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Common ($0.075 per share)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Series B ($2.19 per share)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Series B-2 ($10 per share)</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compensation</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Acquired noncontrolling interest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14,410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1"/>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2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July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17,772,753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160,200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57,309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15,560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228,117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9,331</w:t>
            </w:r>
          </w:p>
        </w:tc>
      </w:tr>
      <w:tr>
        <w:trPr>
          <w:trHeight w:val="20"/>
        </w:trPr>
        <w:tc>
          <w:tcPr>
            <w:tcW w:w="2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(UNAUDITED) (In thousands)</w:t>
      </w:r>
    </w:p>
    <w:p>
      <w:pPr>
        <w:spacing w:after="0" w:line="16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33020</wp:posOffset>
            </wp:positionV>
            <wp:extent cx="19373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6,327</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(gain) on disposals of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distributions from equity investments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2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 on notes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2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on stock in Calavo Growers, Inc.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Cultural costs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r>
      <w:tr>
        <w:trPr>
          <w:trHeight w:val="224"/>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(4,692)</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taxes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growers payable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15,505</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Agriculture property acquisition</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combination</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sale of stock in Calavo Growers, Inc.</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to Limoneira Lewis Community Builders, LLC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Collections on loan and note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investment contributions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mutual water companies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proceeds received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95,321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 common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 preferred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11,479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27,479</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at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(UNAUDITED) (CONTINUED)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4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33020</wp:posOffset>
            </wp:positionV>
            <wp:extent cx="19373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 net of amounts capitalized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1,666</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income taxes, net of (refunds received)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real estate development and sale-leaseback deferral</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(58,330)</w:t>
            </w:r>
          </w:p>
        </w:tc>
      </w:tr>
      <w:tr>
        <w:trPr>
          <w:trHeight w:val="224"/>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 from real estate development to equity in investments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4"/>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 accrued but not paid at period-end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2,806</w:t>
            </w:r>
          </w:p>
        </w:tc>
        <w:tc>
          <w:tcPr>
            <w:tcW w:w="4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33"/>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2018, the Company terminated its lease agreement with the Joint Venture (as defined herein) that is developing the East Area I real estate development project. As a result, the Company reduced its sale leaseback deferral and corresponding real estate development by $58,330,000 and reclassified $33,353,000 of the Company’s basis in the Joint Venture from real estate development to equity in investments as further described in Note 7 - Real Estate Development and Note 8 - Equity in Investments of the notes to consolidated financial statements included in this Quarterly Report on Form 10-Q.</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2020, the Company received an annual patronage dividend of $966,000 from Farm Credit West, FLCA ("Farm Credit West"), of which $667,000 was recorded as a reduction in interest expense and $299,000 reduced the Company's real estate development assets. In July 2020, Farm Credit West declared an additional annual cash patronage dividend of $600,000 received in August 2020, of which the Company recorded $400,000 as a reduction in interest expense and $200,000 as a reduction in the Company's real estate development assets as of July 31, 2020.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40" w:firstLine="8"/>
        <w:spacing w:after="0" w:line="37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Business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sells the majority of its avocado production to Calavo Growers, Inc. (“Calavo”), a packing and marketing company listed on the NASDAQ Global Select Market under the symbol CVGW. Calavo’s customers include many of the largest retail and food service companies in the United States and Canada. Calavo packs the Company’s avocados, which are then sold and distributed under Calavo brands to its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Preparation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include the accounts of the Company and the accounts of all the subsidiaries and investments in which the Company holds a controlling interest. Intercompany accounts and transactions have been eliminated.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accounting principles generally accepted in the United States (“GAAP”) requires management to make estimates and assumptions that affect the amounts reported. Actual results could differ materially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211" w:lineRule="exact"/>
        <w:rPr>
          <w:sz w:val="20"/>
          <w:szCs w:val="20"/>
          <w:color w:val="auto"/>
        </w:rPr>
      </w:pPr>
    </w:p>
    <w:p>
      <w:pPr>
        <w:ind w:right="7680" w:firstLine="8"/>
        <w:spacing w:after="0" w:line="462"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Changes in Accounting Policies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November 1, 2019, the Company adopted Financial Accounting Standards Board ("FASB") - </w:t>
      </w:r>
      <w:r>
        <w:rPr>
          <w:rFonts w:ascii="Times New Roman" w:cs="Times New Roman" w:eastAsia="Times New Roman" w:hAnsi="Times New Roman"/>
          <w:sz w:val="18"/>
          <w:szCs w:val="18"/>
          <w:i w:val="1"/>
          <w:iCs w:val="1"/>
          <w:color w:val="auto"/>
        </w:rPr>
        <w:t>Accounting Standards Update ("ASU") 2016-02, Leases</w:t>
      </w:r>
      <w:r>
        <w:rPr>
          <w:rFonts w:ascii="Times New Roman" w:cs="Times New Roman" w:eastAsia="Times New Roman" w:hAnsi="Times New Roman"/>
          <w:sz w:val="18"/>
          <w:szCs w:val="18"/>
          <w:color w:val="auto"/>
        </w:rPr>
        <w:t xml:space="preserve"> (as amended, "ASU 2016-02" or the "New Lease Standard"). A lease is defined as a contract that conveys the right to control the use of an identified asset for a period of time in exchange for consideration. The Company enters into contracts that are, or contain, leases as both a lessee and a lessor. The following accounting policies have been updated as part of the adoption of the New Lease Standard.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Operating Leases as a Lessee - </w:t>
      </w:r>
      <w:r>
        <w:rPr>
          <w:rFonts w:ascii="Times New Roman" w:cs="Times New Roman" w:eastAsia="Times New Roman" w:hAnsi="Times New Roman"/>
          <w:sz w:val="18"/>
          <w:szCs w:val="18"/>
          <w:color w:val="auto"/>
        </w:rPr>
        <w:t>In its ordinary course of business, the Company enters into leases as a lessee generally for agricultural 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packinghouse equipment. The Company determines if an arrangement is a lease or contains a lease at inception. Operating leases are included in other assets, accrued liabilities and other long-term liabilities on its consolidated balance sheets. Operating lease right-of-use (“ROU”) assets represent the right to use an underlying asset for the lease term and lease liabilities represent the obligation to make lease payments arising from the lease, measured on a discounted basis. Operating lease ROU assets and operating lease liabilities are recognized based on the present value of the future minimum lease payments over the lease term at commencement date. As none of the Company’s leases provide an implicit rate, the Company uses its incremental borrowing rate based on the information available at commencement date in determining the present value of future payments.</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Leases with an initial term of 12 months or less are not recorded on the balance sheet as the Company has elected to recognize lease expense for these leases on a straight-line basis over the lease term. The Company has material leases with related parties which are further described in Note 15 - Related-Party Transactions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ind w:right="6740" w:firstLine="8"/>
        <w:spacing w:after="0" w:line="534"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Leases (continued)</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agricultural land agreements contain variable costs based on a percentage of the operating results of the leased property. Such variable lease costs are expensed as incurred. These land agreements also contain costs for non-lease components, such as water usage, which the Company accounts for separately from the lease components. For all other agreements, the Company generally combines lease and non-lease components in calculating the ROU assets and lease liabilities. See Note 13 - Leases for additional information.</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Leases as a Lessor </w:t>
      </w:r>
      <w:r>
        <w:rPr>
          <w:rFonts w:ascii="Times New Roman" w:cs="Times New Roman" w:eastAsia="Times New Roman" w:hAnsi="Times New Roman"/>
          <w:sz w:val="18"/>
          <w:szCs w:val="18"/>
          <w:color w:val="auto"/>
        </w:rPr>
        <w:t>- Leases in which the Company acts as the lessor include land, residential and commercial units and are all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operating leases. Certain of the Company’s contracts contain variable income based on a percentage of the operating results of the leased asset. Certain of the Company’s contracts contain non-lease components such as water, utilities and common area services. The Company has elected to not separate lease and non-lease components for its lessor arrangements and the combined component is accounted for entirely under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underlying asset in an operating lease arrangement is carried at depreciated cost within property, plant, and equipment, net on the consolidated balance sheets. Depreciation is calculated using the straight-line method over the useful life of the underlying asset. The Company recognizes operating lease revenue on a straight-line basis over the lease term.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Comprehensive income (loss) represents all changes in a company’s net assets, except changes resulting from transactions with shareholders, and is reported as a component of the Company’s stockholders’ equity. As of July 31, 2020, the components of accumulated other comprehensive loss, net of tax, consist of accumulated foreign currency translation losses of $2,838,000 and accumulated pension losses of $4,423,000. As of October 31, 2019, accumulated other comprehensive loss consisted of accumulated foreign currency translation losses of $2,362,000, accumulated pension losses of $4,753,000 and accumulated losses related to available for sale securities of $140,000.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and Adjustments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July 31, 2020 presentation. The Company reclassified receivables/other from related parties and payables to related parties of $2,985,000 and $906,000, respectively, as of October 31, 2019, from accounts receivable, net, and accrued liabilities,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2016-02, Leases (Topic 842) and related ASUs, including ASU 2018-11, Leases (Topic 842): Targeted Improvements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2016-02,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which, among other things, provides administrative relief by allowing entities to implement the lease standard on a modified retrospective basis (the "Optional Transition Method"). Effectively, the Optional Transition Method permits companies to adopt the lease standard through a cumulative effect adjustment to their opening balance sheet on the date of adoption and report under the New Lease Standard on a post-adoption basis.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adopted ASU 2016-02 effective November 1, 2019 using the Optional Transition Method. The Company elected the package of practical expedients permitted under the transition guidance, which allows the Company to carry forward its historical lease classification, its assessment of whether a contract is or contains a lease, and its initial direct costs for any leases that existed prior to adoption of the New Lease Standard. The Company elected the hindsight practical expedient, which permits the use of hindsight when determining lease term and impairment of ROU assets. The Company did not elect to combine lease and non-lease components for land leases but elected to combine lease and non-lease components for all other asset classes. The Company also elected to keep leases with an initial term of 12 months or less off the balance sheet and recognize the associated lease payments in</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ind w:right="6740" w:firstLine="8"/>
        <w:spacing w:after="0" w:line="534"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Recent Accounting Pronouncements (continued)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statements of operations on a straight-line basis over the lease term. The comparative information has not been restated and continues to be reported under the accounting standards in effect for those periods. The Company updated its accounting policies, processes and internal controls in order to meet the New Lease Standard's reporting and disclosure requirements.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adoption of ASU 2016-02 had a material impact on the Company's consolidated balance sheets, but did not have a material impact on its consolidated statements of operations or its consolidated statements of cash flows. Upon adoption as of November 1, 2019, the Company recorded ROU assets of $2,400,000 and lease liabilities of $2,500,000 for operating leases in which the Company is a lessee. The adoption also included an immaterial reclassification of accrued rent liabilities against the ROU asset balance. As of November 1, 2019, there were no material finance leases for which the Company was a lessee. The adoption of ASU 2016-02 did not change the Company’s accounting for its operating leases in which it acts as the lessor. See Note 13 - Leases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2016-13, Financial Instruments - Credit Losses (Topic 326): Measurement of Credit Losses on Financial Instruments, and related ASUs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ASU 2016-13 is effective for SEC filers for fiscal years, and interim periods within those fiscal years, beginning after December 15, 2019. Early application is permitted for fiscal years, and interim periods within those fiscal years, beginning after December 15, 2018. The Company does not expect this ASU to have a material impact on its consolidated financial statements.</w:t>
      </w: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FASB ASU 2018-14, Compensation - Retirement Benefits - Defined Benefit Plans - General (Subtopic 715-20): Disclosure Framework - Changes to the Disclosure Requirements for Defined Benefit Plans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adds, removes and clarifies the disclosure requirements for employers that sponsor defined benefit pension or other post retirement plans. For public business entities, the amendments are effective for fiscal years ending after December 15, 2020. Early adoption is permitted. The Company is evaluating the effect this ASU may have on its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2019-12, Income Taxes (Topic 740): Simplifying the Accounting for Income Taxes</w:t>
      </w:r>
    </w:p>
    <w:p>
      <w:pPr>
        <w:spacing w:after="0" w:line="24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amendment removes specific exceptions to the general principles in Topic 740 in GAAP. It eliminates the need for an organization to analyze whether certain exceptions apply in a given period. The amendment also improves financial statement preparers’ application of income tax-related guidance and simplifies GAAP under certain situations.</w:t>
      </w:r>
    </w:p>
    <w:p>
      <w:pPr>
        <w:spacing w:after="0" w:line="18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ASU 2019-12 is effective for public business entities, for fiscal years beginning after December 15, 2020, and interim periods within those fiscal years. Early adoption is permitted. An entity that elects early adoption in an interim period should reflect any adjustments as of the beginning of the annual period that includes that interim period. Additionally, an entity that elects early adoption should adopt all the amendments in the same period. The Company early adopted this ASU as of November 1, 2019 and the adoption did not have a material impact on its consolidated financial statements.</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FASB ASU 2020-06, Debt—Debt with Conversion and Other Options (Subtopic 470-20) and Derivatives and Hedging—Contracts in Entity’s Own Equity (Subtopic 815-40): Accounting for Convertible Instruments and Contracts in an Entity’s Own Equity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simplifies accounting for convertible instruments by removing major separation models required under current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(EPS) calculation in certain areas.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56" w:lineRule="exact"/>
        <w:rPr>
          <w:sz w:val="20"/>
          <w:szCs w:val="20"/>
          <w:color w:val="auto"/>
        </w:rPr>
      </w:pPr>
    </w:p>
    <w:p>
      <w:pPr>
        <w:ind w:right="6740" w:firstLine="8"/>
        <w:spacing w:after="0" w:line="511"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Recent Accounting Pronouncements (continued)</w:t>
      </w:r>
    </w:p>
    <w:p>
      <w:pPr>
        <w:jc w:val="both"/>
        <w:spacing w:after="0" w:line="226" w:lineRule="auto"/>
        <w:rPr>
          <w:sz w:val="20"/>
          <w:szCs w:val="20"/>
          <w:color w:val="auto"/>
        </w:rPr>
      </w:pPr>
      <w:r>
        <w:rPr>
          <w:rFonts w:ascii="Times New Roman" w:cs="Times New Roman" w:eastAsia="Times New Roman" w:hAnsi="Times New Roman"/>
          <w:sz w:val="18"/>
          <w:szCs w:val="18"/>
          <w:color w:val="auto"/>
        </w:rPr>
        <w:t>ASU 2020-06 is effective for public business entities that meet the definition of a SEC filer for fiscal years beginning after December 15, 2021, including interim periods within those fiscal years. Early adoption is permitted for fiscal years beginning after December 15, 2020. The Company is evaluating the effect this ASU may have on its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Coronavirus Aid, Relief, and Economic Security Act ("CARES Act")</w:t>
      </w:r>
    </w:p>
    <w:p>
      <w:pPr>
        <w:spacing w:after="0" w:line="2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March 27, 2020, the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The Company has evaluated the impact on its consolidated financial statements at July 31, 2020 and has recorded a discrete tax benefit of $1,950,000 and an income tax refund of $5,801,000 due to our ability to carryback and obtain federal tax refund by utilizing net operating losses under the provisions of the CARES Act. The Company anticipates it will benefit from the utilization of net operating losses, the technical correction for qualified leasehold improvements eligible for 100% tax bonus depreciation and potentially other provisions within the CARES 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 Final Rule Release No. 33-10786, </w:t>
      </w:r>
      <w:r>
        <w:rPr>
          <w:rFonts w:ascii="Times New Roman" w:cs="Times New Roman" w:eastAsia="Times New Roman" w:hAnsi="Times New Roman"/>
          <w:sz w:val="18"/>
          <w:szCs w:val="18"/>
          <w:i w:val="1"/>
          <w:iCs w:val="1"/>
          <w:color w:val="auto"/>
        </w:rPr>
        <w:t>Amendments to Financial Disclosures About Acquired and Disposed Businesses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20, 2020, the SEC issued a final rule that amends the financial statement requirements for acquisitions and dispositions of businesses, including real estate operations, and related pro forma financial information. As noted in the final rule, the amendments “are intended to improve for investors the financial information about acquired or disposed businesses, facilitate more timely access to capital, and reduce the complexity and costs to prepare the disclosure.” Among other changes, the final rule modifies the significance tests and improves the disclosure requirements for (1) acquired or to be acquired businesses, (2) real estate operations, and (3) pro forma financial information. The final rule is applicable for a registrant’s fiscal year beginning after December 31, 2020 with early application permitted. The Company early adopted the final rule effective July 31, 2020 and the adoption did not have a material impact on its consolidated financial statements.</w:t>
      </w:r>
    </w:p>
    <w:p>
      <w:pPr>
        <w:spacing w:after="0" w:line="212" w:lineRule="exact"/>
        <w:rPr>
          <w:sz w:val="20"/>
          <w:szCs w:val="20"/>
          <w:color w:val="auto"/>
        </w:rPr>
      </w:pPr>
    </w:p>
    <w:p>
      <w:pPr>
        <w:ind w:right="9520" w:firstLine="8"/>
        <w:spacing w:after="0" w:line="533"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Business Combination Trapani Fresh</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30, 2019, the Company acquired a 51% interest in a joint venture, Trapani Fresh, formed with FGF Trapani (“FGF”), a multi-generational, family-owned citrus operation in Argentina. To consummate the transaction, the Company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 Total consideration paid for the Company’s interest in Trapani Fresh was $15,000,000 and transaction costs of approximately $654,000 were included in selling, general and administrative expense during the fiscal year ended October 31, 2019.</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2020, FGF agreed to a decrease in the purchase consideration of $152,000 to reflect profits that Limoneira Argentina would have received had the transaction been consummated at the beginning of the 2019 lemon export season. The Company has recorded a receivable from FGF, a decrease in non-controlling interest and a decrease in goodwill.</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Below is a summary of the fair value of the net assets acquired on the acquisition date based on a third-party valuation, which was finalized during the second quarter of fiscal year 2020 (in thousands):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86"/>
        </w:trPr>
        <w:tc>
          <w:tcPr>
            <w:tcW w:w="9160" w:type="dxa"/>
            <w:vAlign w:val="bottom"/>
          </w:tcPr>
          <w:p>
            <w:pPr>
              <w:ind w:left="4400"/>
              <w:spacing w:after="0"/>
              <w:rPr>
                <w:sz w:val="20"/>
                <w:szCs w:val="20"/>
                <w:color w:val="auto"/>
              </w:rPr>
            </w:pPr>
            <w:r>
              <w:rPr>
                <w:rFonts w:ascii="Times New Roman" w:cs="Times New Roman" w:eastAsia="Times New Roman" w:hAnsi="Times New Roman"/>
                <w:sz w:val="22"/>
                <w:szCs w:val="22"/>
                <w:b w:val="1"/>
                <w:bCs w:val="1"/>
                <w:color w:val="auto"/>
              </w:rPr>
              <w:t>LIMONEIRA COMPANY</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91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tc>
        <w:tc>
          <w:tcPr>
            <w:tcW w:w="7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581"/>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Acquisitions</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9"/>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 (continued)</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6"/>
        </w:trPr>
        <w:tc>
          <w:tcPr>
            <w:tcW w:w="9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Cultural costs</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7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r>
      <w:tr>
        <w:trPr>
          <w:trHeight w:val="27"/>
        </w:trPr>
        <w:tc>
          <w:tcPr>
            <w:tcW w:w="9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7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Orchards</w:t>
            </w:r>
          </w:p>
        </w:tc>
        <w:tc>
          <w:tcPr>
            <w:tcW w:w="7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7"/>
        </w:trPr>
        <w:tc>
          <w:tcPr>
            <w:tcW w:w="9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trademarks and non-competition agreement (10-year useful life)</w:t>
            </w:r>
          </w:p>
        </w:tc>
        <w:tc>
          <w:tcPr>
            <w:tcW w:w="7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9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7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29,113</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7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(14,265)</w:t>
            </w:r>
          </w:p>
        </w:tc>
      </w:tr>
      <w:tr>
        <w:trPr>
          <w:trHeight w:val="27"/>
        </w:trPr>
        <w:tc>
          <w:tcPr>
            <w:tcW w:w="91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paid</w:t>
            </w: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of $123,000 relates to synergies of the operations, has been allocated to the fresh lemons segment and is not deductible for tax purposes. Revenue of $14,651,000 and net income of $999,000 of Trapani Fresh were included in the Company’s consolidated statement of operations from the acquisition date to the period ended October 31, 2019. The unaudited, pro forma consolidated statement of operations as if Trapani Fresh had been included in the consolidated results of the Company for the years ended October 31, 2019 and 2018 would have resulted in revenues of $177,625,000 and $153,033,000, respectively, and net (loss) income of $(6,092,000) and $21,942,000,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FASB ASC 820, Fair Value Measurement and Disclosures,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as of October 31, 2019, which were measured on a recurring basis during the period, segregated by level within the fair value hierarchy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2019</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17,346</w:t>
            </w:r>
          </w:p>
        </w:tc>
      </w:tr>
    </w:tbl>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securities consisted of marketable securities in Calavo common stock. At October 31, 2019, the Company owned 200,000 shares which represented approximately 1.1% of Calavo’s outstanding common stock at a stock price of $97.00 per share. These securities were measured at fair value by quoted market prices and changes in fair value were included in the statement of operations.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2020, the Company sold all 200,000 shares of Calavo common stock for a total of $11,048,000, recognizing a loss of $6,299,000 for the nine months ended July 31,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Concentrations and Geographic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Lemons procured from third-party growers were 64% and 59% of the Company's lemon supply in the three months ended July 31, 2020 and 2019, respectively. Lemons procured from third-party growers were 60% and 59% of the Company's lemon supply in the nine months ended July 31, 2020 and 2019, respectively. The Company sells the majority of its avocado production to Calavo and the majority of its oranges and specialty citrus to a third-party packinghouse.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One individual customer represented 11% of accounts receivable, net as of July 31, 2020. Concentrations of credit risk with respect to trade receivables are limited due to a large, diverse customer base.</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Concentrations and Geographic Information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July 31, 2020, the Company had approximately $643,000 and $2,103,000, respectively, of lemon and orange sales in Chile by PDA and San Pablo and $9,626,000 and $12,105,000, respectively, of lemon and orange sales in Argentina by Trapani Fresh. During the three and nine months ended July 31, 2019, the Company had approximately $1,053,000 and $2,598,000, respectively, of lemon and orange sales in Chile by PDA and San Pablo. In addition, during the three and nine months ended July 31, 2019, the Company had approximately $11,685,000 of lemon sales in Argentina by Trapani Fresh.</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2"/>
        </w:trPr>
        <w:tc>
          <w:tcPr>
            <w:tcW w:w="8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38"/>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supplies and insurance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4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receivable and related interest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development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4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held for sale</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 supplier advances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37"/>
        </w:trPr>
        <w:tc>
          <w:tcPr>
            <w:tcW w:w="85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w:t>
            </w:r>
          </w:p>
        </w:tc>
      </w:tr>
      <w:tr>
        <w:trPr>
          <w:trHeight w:val="27"/>
        </w:trPr>
        <w:tc>
          <w:tcPr>
            <w:tcW w:w="8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2020, the Company entered into an agreement to sell a property, located in Lindsay, California, for $6,000,000. The transaction closed on August 26, 2020 with the Company receiving net proceeds of $6,011,000. After transaction and other costs, the Company recorded a loss of approximately $300,000 and classified the $5,982,000 carrying value of the property as held for sale as of July 31,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Real Estate Development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development assets are comprised primarily of land and land development costs and consist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38"/>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Property - East Area 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r>
      <w:tr>
        <w:trPr>
          <w:trHeight w:val="24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East Area II</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w:t>
            </w:r>
          </w:p>
        </w:tc>
      </w:tr>
      <w:tr>
        <w:trPr>
          <w:trHeight w:val="27"/>
        </w:trPr>
        <w:tc>
          <w:tcPr>
            <w:tcW w:w="8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or “Joint Venture”) as the development entity, contributed its East Area I property to LLCB and sold a 50% interest in LLCB to Lewis for $20,000,000.</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Joint Venture also entered into a Retained Property Development Agreement on the Transaction Date (the "Retained Property Agreement"). Under the terms of the Retained Property Agreement, the Joint Venture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balance includes estimated costs incurred by and reimbursable to LLCB of $3,675,000 at July 31, 2020, which is included in payables to related parties and $1,200,000 at October 31, 2019, which was included in other long-term liabilities.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2018, the Joint Venture entered into a $45,000,000 unsecured Line of Credit Loan Agreement and Promissory Note (the “Loan”) with Bank of America, N.A. to fund early development activities. The Loan originally was scheduled to mature in January</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Real Estate Development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 I, Retained Property and East Area II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2020 and was extended to February 22, 2021 per the terms thereof. The interest rate on the Loan is LIBOR plus 2.85% and is payable monthly. The Loan contains certain customary default provisions and the Joint Venture may prepay any amounts outstanding under the Loan without penalty. The extension had no impact on the Company's Loan guarantee $1,080,000 value as of July 31, 2020.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2018, certain principals from Lewis and by the Company guaranteed the obligations under the Loan. The guarantee shall continue in effect until all of the Loan obligations are fully paid and the guarantors are jointly and severally liable for all Loan obligations in the event of default by the Joint Venture. The Joint Venture recorded the Loan balance of $39,404,000 as of July 31, 2020.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contributions to the Joint Venture of $2,800,000 and $4,000,000 in the nine months ended July 31, 2020 and 2019, respectively. Additionally, in February 2020 the Company and Lewis each loaned $1,800,000 to the Joint Venture at an interest rate of 4.6% originally due May 31, 2020 and extended to August 31, 2020, which was repaid in June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Development Projects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remaining real estate development parcel within the Templeton Santa Barbara, LLC project is described as Sevilla. In the first quarter of fiscal year 2020, the Company entered into an agreement to sell its Sevilla property for $2,700,000, which is expected to close in the first quarter of fiscal year 2021. After transaction and other costs, the Company expects to receive cash proceeds of approximately $2,550,000 and recognize an immaterial gain upon closing. At July 31, 2020, the $2,543,000 carrying value of the property was classified as held for sale and included in prepaid expenses and other current assets.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December 2017, the Company sold its Centennial property with a net book value of $2,983,000 for $3,250,000. The Company received cash and a $3,000,000 promissory note secured by the property for the balance of the purchase. The promissory note was originally scheduled to mature in December 2019 but was extended to December 15, 2020 and the interest rate was reset to equal to the 6-month LIBOR plus 2.75% on the outstanding principal balance of the note, interest only paid monthly on the first day of each month beginning January 1, 2020. At July 31, 2020, the net carrying value of the note was $2,490,000 and classified in prepaid expenses and other current assets.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Equity in Investments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Equity in investments consist of the following (in thousands):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2"/>
        </w:trPr>
        <w:tc>
          <w:tcPr>
            <w:tcW w:w="8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38"/>
        </w:trPr>
        <w:tc>
          <w:tcPr>
            <w:tcW w:w="8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Limoneira Lewis Community Builders, LLC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54,016</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Limco Del Mar, Ltd.</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7"/>
        </w:trPr>
        <w:tc>
          <w:tcPr>
            <w:tcW w:w="8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Rosales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Romney Property Partnership</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7"/>
        </w:trPr>
        <w:tc>
          <w:tcPr>
            <w:tcW w:w="8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Significant Subsidiary</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in the interim periods presented. During the year-to-date interim period for the nine months ended July 31, 2019, this threshold was met for LLCB and thus summarized income statement information is presented in this Quarterly Report on Form 10-Q.</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Equity in Investments (continued)</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unaudited summarized financial information for LLCB (in thousands):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6"/>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land sold</w:t>
            </w: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56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Limoneira Company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56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goodwill is as follows (in thousands):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Goodwill Net</w:t>
            </w:r>
          </w:p>
        </w:tc>
        <w:tc>
          <w:tcPr>
            <w:tcW w:w="0" w:type="dxa"/>
            <w:vAlign w:val="bottom"/>
          </w:tcPr>
          <w:p>
            <w:pPr>
              <w:spacing w:after="0"/>
              <w:rPr>
                <w:sz w:val="1"/>
                <w:szCs w:val="1"/>
                <w:color w:val="auto"/>
              </w:rPr>
            </w:pPr>
          </w:p>
        </w:tc>
      </w:tr>
      <w:tr>
        <w:trPr>
          <w:trHeight w:val="238"/>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Carrying Amount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2019</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Trapani Fresh purchase price adjustment</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2020</w:t>
            </w: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 Acquisitions for additional information regarding the acquisition of Trapani Fresh.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tested for impairment on an annual basis or when an event or changes in circumstances indicate that its carrying value may not be recoverable.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impairment charges recorded against goodwill as of July 31, 2020.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July 31, 2020 and October 31, 2019 (in thousands):</w:t>
      </w:r>
    </w:p>
    <w:p>
      <w:pPr>
        <w:sectPr>
          <w:pgSz w:w="11900" w:h="16838" w:orient="portrait"/>
          <w:cols w:equalWidth="0" w:num="1">
            <w:col w:w="11240"/>
          </w:cols>
          <w:pgMar w:left="320" w:top="365" w:right="339" w:bottom="1440" w:gutter="0" w:footer="0" w:header="0"/>
        </w:sectPr>
      </w:pPr>
    </w:p>
    <w:p>
      <w:pPr>
        <w:spacing w:after="0" w:line="24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24765</wp:posOffset>
            </wp:positionV>
            <wp:extent cx="24942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3" w:lineRule="exact"/>
        <w:rPr>
          <w:sz w:val="20"/>
          <w:szCs w:val="20"/>
          <w:color w:val="auto"/>
        </w:rPr>
      </w:pPr>
    </w:p>
    <w:tbl>
      <w:tblPr>
        <w:tblLayout w:type="fixed"/>
        <w:tblInd w:w="3200" w:type="dxa"/>
        <w:tblCellMar>
          <w:top w:w="0" w:type="dxa"/>
          <w:left w:w="0" w:type="dxa"/>
          <w:bottom w:w="0" w:type="dxa"/>
          <w:right w:w="0" w:type="dxa"/>
        </w:tblCellMar>
      </w:tblPr>
      <w:tr>
        <w:trPr>
          <w:trHeight w:val="161"/>
        </w:trPr>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960" w:type="dxa"/>
            <w:vAlign w:val="bottom"/>
            <w:gridSpan w:val="2"/>
            <w:vMerge w:val="continue"/>
          </w:tcPr>
          <w:p>
            <w:pPr>
              <w:spacing w:after="0"/>
              <w:rPr>
                <w:sz w:val="12"/>
                <w:szCs w:val="12"/>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vMerge w:val="continue"/>
          </w:tcPr>
          <w:p>
            <w:pPr>
              <w:spacing w:after="0"/>
              <w:rPr>
                <w:sz w:val="12"/>
                <w:szCs w:val="12"/>
                <w:color w:val="auto"/>
              </w:rPr>
            </w:pPr>
          </w:p>
        </w:tc>
        <w:tc>
          <w:tcPr>
            <w:tcW w:w="9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25114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9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vMerge w:val="continue"/>
          </w:tcPr>
          <w:p>
            <w:pPr>
              <w:spacing w:after="0"/>
              <w:rPr>
                <w:sz w:val="12"/>
                <w:szCs w:val="12"/>
                <w:color w:val="auto"/>
              </w:rPr>
            </w:pPr>
          </w:p>
        </w:tc>
        <w:tc>
          <w:tcPr>
            <w:tcW w:w="90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20" w:type="dxa"/>
            <w:vAlign w:val="bottom"/>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20" w:space="120"/>
            <w:col w:w="4000"/>
          </w:cols>
          <w:pgMar w:left="320" w:top="365" w:right="339" w:bottom="1440" w:gutter="0" w:footer="0" w:header="0"/>
          <w:type w:val="continuous"/>
        </w:sect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3,244</w:t>
            </w:r>
          </w:p>
        </w:tc>
        <w:tc>
          <w:tcPr>
            <w:tcW w:w="92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4,510</w:t>
            </w:r>
          </w:p>
        </w:tc>
        <w:tc>
          <w:tcPr>
            <w:tcW w:w="9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c>
          <w:tcPr>
            <w:tcW w:w="92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10</w:t>
            </w:r>
          </w:p>
        </w:tc>
      </w:tr>
      <w:tr>
        <w:trPr>
          <w:trHeight w:val="265"/>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water and mineral rights</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Indefinite</w:t>
            </w:r>
          </w:p>
        </w:tc>
        <w:tc>
          <w:tcPr>
            <w:tcW w:w="18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3,655</w:t>
            </w: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Indefinite</w:t>
            </w:r>
          </w:p>
        </w:tc>
      </w:tr>
      <w:tr>
        <w:trPr>
          <w:trHeight w:val="293"/>
        </w:trPr>
        <w:tc>
          <w:tcPr>
            <w:tcW w:w="32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04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12,407</w:t>
            </w:r>
          </w:p>
        </w:tc>
        <w:tc>
          <w:tcPr>
            <w:tcW w:w="9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totaled $262,000 and $205,000 for the three months ended July 31, 2020 and 2019, respectively. Amortization expense totaled $752,000 and $383,000 for the nine months ended July 31, 2020 and 2019, respectively.</w:t>
      </w:r>
    </w:p>
    <w:p>
      <w:pPr>
        <w:sectPr>
          <w:pgSz w:w="11900" w:h="16838" w:orient="portrait"/>
          <w:cols w:equalWidth="0" w:num="1">
            <w:col w:w="11240"/>
          </w:cols>
          <w:pgMar w:left="320" w:top="3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 (continued)</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as of July 31, 2020 are as follows (in thousands):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2"/>
        </w:trPr>
        <w:tc>
          <w:tcPr>
            <w:tcW w:w="9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(excluding the nine months ended July 31, 2020)</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7"/>
        </w:trPr>
        <w:tc>
          <w:tcPr>
            <w:tcW w:w="9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7"/>
        </w:trPr>
        <w:tc>
          <w:tcPr>
            <w:tcW w:w="9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4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r>
      <w:tr>
        <w:trPr>
          <w:trHeight w:val="27"/>
        </w:trPr>
        <w:tc>
          <w:tcPr>
            <w:tcW w:w="9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99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Mutual Water Companies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July 31, 2020 and October 31, 2019 were $5,554,000 and $5,499,000, respectively.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Accrued Liabilities</w:t>
            </w: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3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 and orange supplier payables</w:t>
            </w:r>
          </w:p>
        </w:tc>
        <w:tc>
          <w:tcPr>
            <w:tcW w:w="3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680" w:type="dxa"/>
            <w:vAlign w:val="bottom"/>
            <w:vMerge w:val="restart"/>
          </w:tcPr>
          <w:p>
            <w:pPr>
              <w:jc w:val="right"/>
              <w:ind w:right="27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8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Long-Term Debt</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is comprised of the following (in thousands):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38"/>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5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Farm Credit West revolving and non-revolving lines of credit: the interest rate of the revolving line of credit is variable</w:t>
            </w: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based on the one-month London Interbank Offered Rate (“LIBOR”), which was 0.18% at July 31, 2020, plus 1.60%. The</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interest rate for the $40.0 million outstanding balance of the non-revolving line of credit was fixed at 4.77%. Interest is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payable monthly and the principal is due in full on July 1, 2022.</w:t>
            </w: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Farm Credit West term loan: Effective July 1, 2020, the interest rate was fixed at 2.48%. The loan is payable in quarterly</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installments through November 2022.</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Farm Credit West term loan: Effective July 1, 2020, the interest rate was fixed at 3.24%. The loan is payable in monthly</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installments through October 2035.</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Farm Credit West term loan: Effective July 1, 2020, the interest rate was fixed at 3.24%. The loan is payable in monthly</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installments through March 2036.</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Farm Credit West term loan: Effective July 1, 2020 the interest rate was fixed at 2.77% until July 1, 2025, becoming</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for the remainder of the loan. The loan is payable in monthly installments through March 2036.</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Wells Fargo term loan: the interest rate is fixed at 3.58%. The loan is payable in monthly installments through January</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Banco de Chile term loan: the interest rate is fixed at 6.48%. The loan is payable in annual installments through January</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56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color w:val="auto"/>
              </w:rPr>
              <w:t>Note Payable: the interest rate ranges from 5.00% to 7.00% and was 6.00% at July 31, 2020. The loan includes interest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only monthly payments and principal is due in February 2023.</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109,077</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deferred financing costs, net of accumulated amortization</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108,915</w:t>
            </w:r>
          </w:p>
        </w:tc>
        <w:tc>
          <w:tcPr>
            <w:tcW w:w="0" w:type="dxa"/>
            <w:vAlign w:val="bottom"/>
          </w:tcPr>
          <w:p>
            <w:pPr>
              <w:spacing w:after="0"/>
              <w:rPr>
                <w:sz w:val="1"/>
                <w:szCs w:val="1"/>
                <w:color w:val="auto"/>
              </w:rPr>
            </w:pP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and Farm Credit West, FLCA (“Farm Credit West”) are parties to that certain Master Loan Agreement (the “Loan Agreement”), dated June 20, 2017, which includes a Revolving Credit Supplement and a Non-Revolving Credit Supplement (together, the “Supplements”).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2020, the Company and Farm Credit West entered into a Conversion Agreement to convert the term loans noted above to fixed interest rates effective July 1, 2020. No changes were made to the outstanding principal balances on the term loans and no cash repayments of principal were made by the Company. The rates are subject to a prepayment restriction period for a portion of the fixed rate term that will expire on January 1, 2021, after which the Company may prepay any amounts without penalty.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Company entered into a revolving equity line of credit promissory note and loan agreement with Farm Credit West for a $15,000,000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and RELOC provide aggregate borrowing capacity of $130,000,000 comprised of $75,000,000 under the Revolving Credit Supplement, $40,000,000 under the Non-Revolving Credit Supplement and $15,000,000 under the RELOC. The borrowing capacity based on collateral value was $130,000,000 at July 31, 2020.</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indebtedness under the Loan Agreement and RELOC with Farm Credit West, including any indebtedness under the Supplements, is secured by a first lien on certain of its agricultural properties in Tulare, Ventura and San Luis Obispo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Farm Credit West declared an annual cash patronage dividend of 1.00% of average eligible loan balances. The Company received $966,000 in February 2020. In July 2020, Farm Credit West declared an additional annual cash patronage dividend of $600,000, which the Company received in August 2020.</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the Loan Agreement the Company is required to comply with a minimum debt service coverage ratio (as calculated in accordance with the Loan Agreement) of 1.25:1.0 measured as of October 31 each year. On May 29, 2020, the Loan Agreement was amended to adjust the debt service ratio to 1.00:1.0 for October 31, 2020. In August 2020, Farm Credit West modified the covenant to defer measurement at October 31, 2020 and revert to a debt service coverage ratio of 1.25:1.0 measured as of October 31, 2021.</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interest is included in property, plant and equipment and real estate development assets in the Company’s consolidated balance sheets. The Company capitalized interest of $353,000 and $366,000 during the three months ended July 31, 2020 and 2019, respectively, and $797,000 and $977,000 during the nine months ended July 31, 2020 and 2019,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leasing transactions in which it rents certain of its assets and the Company is the lessor. These lease contracts are typically classified as operating leases with remaining terms ranging from one month to 23 years, with various renewal terms available. All of the residential rentals have month to month lease terms.</w:t>
      </w:r>
    </w:p>
    <w:p>
      <w:pPr>
        <w:spacing w:after="0" w:line="2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operating lease portfolio included in property, plant and equipment, net as of the dates indicated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38"/>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4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equipment and building improvements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22,841</w:t>
            </w:r>
          </w:p>
        </w:tc>
      </w:tr>
      <w:tr>
        <w:trPr>
          <w:trHeight w:val="27"/>
        </w:trPr>
        <w:tc>
          <w:tcPr>
            <w:tcW w:w="8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w:t>
            </w:r>
          </w:p>
        </w:tc>
      </w:tr>
      <w:tr>
        <w:trPr>
          <w:trHeight w:val="264"/>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under operating leases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16,569</w:t>
            </w: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Depreciation expense for assets under operating leases was approximately $159,000 and $485,000 for the three and nine months ended July 31,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rental operations revenue consists of the following (in thousands):</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42"/>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July 31, 2020</w:t>
            </w:r>
          </w:p>
        </w:tc>
        <w:tc>
          <w:tcPr>
            <w:tcW w:w="200" w:type="dxa"/>
            <w:vAlign w:val="bottom"/>
          </w:tcPr>
          <w:p>
            <w:pPr>
              <w:spacing w:after="0"/>
              <w:rPr>
                <w:sz w:val="20"/>
                <w:szCs w:val="20"/>
                <w:color w:val="auto"/>
              </w:rPr>
            </w:pPr>
          </w:p>
        </w:tc>
        <w:tc>
          <w:tcPr>
            <w:tcW w:w="19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7"/>
        </w:trPr>
        <w:tc>
          <w:tcPr>
            <w:tcW w:w="2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43"/>
        </w:trPr>
        <w:tc>
          <w:tcPr>
            <w:tcW w:w="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revenue</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7"/>
        </w:trPr>
        <w:tc>
          <w:tcPr>
            <w:tcW w:w="2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89"/>
        </w:trPr>
        <w:tc>
          <w:tcPr>
            <w:tcW w:w="20" w:type="dxa"/>
            <w:vAlign w:val="bottom"/>
          </w:tcPr>
          <w:p>
            <w:pPr>
              <w:spacing w:after="0"/>
              <w:rPr>
                <w:sz w:val="24"/>
                <w:szCs w:val="24"/>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future minimum lease payments to be received by the Company related to these operating lease agreements as of July 31, 2020 are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(excluding the nine months ended July 31, 2020)</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typically classified as operating leases. The Company’s lease contracts are generally for agricultural land and packinghouse equipment with remaining lease terms ranging from one to 18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As of July 31, 2020, there were no material finance leases for which the Company was a lessee.</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lease costs were $143,000 and $417,000 for the three and nine months ended July 31, 2020, respectively, which are primarily included in agribusiness costs and expenses in the Company’s consolidated statements of operations. Variable and short term lease costs were immaterial.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consists of the following (in thousands):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60" w:type="dxa"/>
            <w:vAlign w:val="bottom"/>
          </w:tcPr>
          <w:p>
            <w:pPr>
              <w:spacing w:after="0"/>
              <w:rPr>
                <w:sz w:val="20"/>
                <w:szCs w:val="20"/>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200" w:type="dxa"/>
            <w:vAlign w:val="bottom"/>
          </w:tcPr>
          <w:p>
            <w:pPr>
              <w:spacing w:after="0"/>
              <w:rPr>
                <w:sz w:val="20"/>
                <w:szCs w:val="20"/>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94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0" w:type="dxa"/>
            <w:vAlign w:val="bottom"/>
          </w:tcPr>
          <w:p>
            <w:pPr>
              <w:spacing w:after="0"/>
              <w:rPr>
                <w:sz w:val="21"/>
                <w:szCs w:val="2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00" w:type="dxa"/>
            <w:vAlign w:val="bottom"/>
            <w:tcBorders>
              <w:bottom w:val="single" w:sz="8" w:color="auto"/>
            </w:tcBorders>
            <w:shd w:val="clear" w:color="auto" w:fill="CCEEFF"/>
          </w:tcPr>
          <w:p>
            <w:pPr>
              <w:spacing w:after="0"/>
              <w:rPr>
                <w:sz w:val="24"/>
                <w:szCs w:val="24"/>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consists of the following (in thousands):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July 31, 2020</w:t>
            </w:r>
          </w:p>
        </w:tc>
        <w:tc>
          <w:tcPr>
            <w:tcW w:w="200" w:type="dxa"/>
            <w:vAlign w:val="bottom"/>
          </w:tcPr>
          <w:p>
            <w:pPr>
              <w:spacing w:after="0"/>
              <w:rPr>
                <w:sz w:val="20"/>
                <w:szCs w:val="20"/>
                <w:color w:val="auto"/>
              </w:rPr>
            </w:pPr>
          </w:p>
        </w:tc>
        <w:tc>
          <w:tcPr>
            <w:tcW w:w="19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7"/>
        </w:trPr>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8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non-cancellable leases for the remainder of fiscal year 2020, each of the subsequent four fiscal years and thereafter are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(excluding the nine months ended July 31, 2020)</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 (continued)</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operating lease commitments, the Company also has a contract for pollination services which does not meet the definition of a lease, with minimum future payments of $77,000 for the remainder of fiscal year 2020, $307,000 for each of the fiscal years 2021 and 2022 and $51,000 in fiscal year 2023.</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Company’s future minimum payments for obligations under non-cancellable operating leases as of October 31, 2019 was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3"/>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9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Basic and Diluted Net Income (Loss) per Share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conversion of unvested, restricted stock and preferred stock. The computations for basic and diluted net income (loss) per common share are as follows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8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applicable to common stock</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r>
      <w:tr>
        <w:trPr>
          <w:trHeight w:val="27"/>
        </w:trPr>
        <w:tc>
          <w:tcPr>
            <w:tcW w:w="5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unvested, restricted stock</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Net income (loss) for basic EPS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17,527</w:t>
            </w:r>
          </w:p>
        </w:tc>
      </w:tr>
      <w:tr>
        <w:trPr>
          <w:trHeight w:val="26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5"/>
        </w:trPr>
        <w:tc>
          <w:tcPr>
            <w:tcW w:w="5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Net income (loss) for diluted EPS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17,527</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unvested, restricted stock and preferred stock</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Weighted average common shares–diluted</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17,527</w:t>
            </w:r>
          </w:p>
        </w:tc>
      </w:tr>
      <w:tr>
        <w:trPr>
          <w:trHeight w:val="26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Diluted earnings (losses) per common share are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225,000 and 149,000, unvested, restricted shares, as calculated under the treasury stock method, from its computation of diluted earnings (losses) per share for the three months ended July 31, 2020 and 2019, respectively, and 187,000 and 135,000 for the nine months ended July 31, 2020 and 2019, respectively.</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transactions with various related-parties as summarized in the tables below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July 31, 2020</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October 31, 2019</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Balance Sheet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Balance Sheet</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Receivable/Other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Payables to</w:t>
            </w:r>
          </w:p>
        </w:tc>
        <w:tc>
          <w:tcPr>
            <w:tcW w:w="7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Other Long-</w:t>
            </w:r>
          </w:p>
        </w:tc>
        <w:tc>
          <w:tcPr>
            <w:tcW w:w="100" w:type="dxa"/>
            <w:vAlign w:val="bottom"/>
          </w:tcPr>
          <w:p>
            <w:pPr>
              <w:spacing w:after="0"/>
              <w:rPr>
                <w:sz w:val="12"/>
                <w:szCs w:val="12"/>
                <w:color w:val="auto"/>
              </w:rPr>
            </w:pPr>
          </w:p>
        </w:tc>
        <w:tc>
          <w:tcPr>
            <w:tcW w:w="11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Receivable/Other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3"/>
                <w:szCs w:val="13"/>
                <w:b w:val="1"/>
                <w:bCs w:val="1"/>
                <w:color w:val="auto"/>
              </w:rPr>
              <w:t>Payables to</w:t>
            </w:r>
          </w:p>
        </w:tc>
        <w:tc>
          <w:tcPr>
            <w:tcW w:w="8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Other Long-</w:t>
            </w: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from Related</w:t>
            </w:r>
          </w:p>
        </w:tc>
        <w:tc>
          <w:tcPr>
            <w:tcW w:w="120" w:type="dxa"/>
            <w:vAlign w:val="bottom"/>
          </w:tcPr>
          <w:p>
            <w:pPr>
              <w:spacing w:after="0"/>
              <w:rPr>
                <w:sz w:val="11"/>
                <w:szCs w:val="11"/>
                <w:color w:val="auto"/>
              </w:rPr>
            </w:pPr>
          </w:p>
        </w:tc>
        <w:tc>
          <w:tcPr>
            <w:tcW w:w="52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Accounts</w:t>
            </w:r>
          </w:p>
        </w:tc>
        <w:tc>
          <w:tcPr>
            <w:tcW w:w="1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Related</w:t>
            </w:r>
          </w:p>
        </w:tc>
        <w:tc>
          <w:tcPr>
            <w:tcW w:w="100" w:type="dxa"/>
            <w:vAlign w:val="bottom"/>
          </w:tcPr>
          <w:p>
            <w:pPr>
              <w:spacing w:after="0"/>
              <w:rPr>
                <w:sz w:val="11"/>
                <w:szCs w:val="11"/>
                <w:color w:val="auto"/>
              </w:rPr>
            </w:pPr>
          </w:p>
        </w:tc>
        <w:tc>
          <w:tcPr>
            <w:tcW w:w="6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rPr>
              <w:t>Term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from Related</w:t>
            </w:r>
          </w:p>
        </w:tc>
        <w:tc>
          <w:tcPr>
            <w:tcW w:w="120" w:type="dxa"/>
            <w:vAlign w:val="bottom"/>
          </w:tcPr>
          <w:p>
            <w:pPr>
              <w:spacing w:after="0"/>
              <w:rPr>
                <w:sz w:val="11"/>
                <w:szCs w:val="11"/>
                <w:color w:val="auto"/>
              </w:rPr>
            </w:pPr>
          </w:p>
        </w:tc>
        <w:tc>
          <w:tcPr>
            <w:tcW w:w="4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Accounts</w:t>
            </w:r>
          </w:p>
        </w:tc>
        <w:tc>
          <w:tcPr>
            <w:tcW w:w="220" w:type="dxa"/>
            <w:vAlign w:val="bottom"/>
          </w:tcPr>
          <w:p>
            <w:pPr>
              <w:spacing w:after="0"/>
              <w:rPr>
                <w:sz w:val="11"/>
                <w:szCs w:val="11"/>
                <w:color w:val="auto"/>
              </w:rPr>
            </w:pPr>
          </w:p>
        </w:tc>
        <w:tc>
          <w:tcPr>
            <w:tcW w:w="6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Related</w:t>
            </w:r>
          </w:p>
        </w:tc>
        <w:tc>
          <w:tcPr>
            <w:tcW w:w="140" w:type="dxa"/>
            <w:vAlign w:val="bottom"/>
          </w:tcPr>
          <w:p>
            <w:pPr>
              <w:spacing w:after="0"/>
              <w:rPr>
                <w:sz w:val="11"/>
                <w:szCs w:val="11"/>
                <w:color w:val="auto"/>
              </w:rPr>
            </w:pPr>
          </w:p>
        </w:tc>
        <w:tc>
          <w:tcPr>
            <w:tcW w:w="6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Term</w:t>
            </w:r>
          </w:p>
        </w:tc>
      </w:tr>
      <w:tr>
        <w:trPr>
          <w:trHeight w:val="176"/>
        </w:trPr>
        <w:tc>
          <w:tcPr>
            <w:tcW w:w="3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Ref</w:t>
            </w:r>
          </w:p>
        </w:tc>
        <w:tc>
          <w:tcPr>
            <w:tcW w:w="100" w:type="dxa"/>
            <w:vAlign w:val="bottom"/>
            <w:tcBorders>
              <w:bottom w:val="single" w:sz="8" w:color="BFE4FF"/>
            </w:tcBorders>
          </w:tcPr>
          <w:p>
            <w:pPr>
              <w:spacing w:after="0"/>
              <w:rPr>
                <w:sz w:val="15"/>
                <w:szCs w:val="15"/>
                <w:color w:val="auto"/>
              </w:rPr>
            </w:pPr>
          </w:p>
        </w:tc>
        <w:tc>
          <w:tcPr>
            <w:tcW w:w="1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Parties</w:t>
            </w:r>
          </w:p>
        </w:tc>
        <w:tc>
          <w:tcPr>
            <w:tcW w:w="10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Payable</w:t>
            </w:r>
          </w:p>
        </w:tc>
        <w:tc>
          <w:tcPr>
            <w:tcW w:w="2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Parties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Parties</w:t>
            </w:r>
          </w:p>
        </w:tc>
        <w:tc>
          <w:tcPr>
            <w:tcW w:w="10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Payable</w:t>
            </w: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Parties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r>
      <w:tr>
        <w:trPr>
          <w:trHeight w:val="189"/>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BFE4FF"/>
          </w:tcPr>
          <w:p>
            <w:pPr>
              <w:spacing w:after="0"/>
              <w:rPr>
                <w:sz w:val="16"/>
                <w:szCs w:val="16"/>
                <w:color w:val="auto"/>
              </w:rPr>
            </w:pPr>
          </w:p>
        </w:tc>
        <w:tc>
          <w:tcPr>
            <w:tcW w:w="210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Employees</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BFE4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BFE4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BFE4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Mutual water companies</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79</w:t>
            </w:r>
          </w:p>
        </w:tc>
        <w:tc>
          <w:tcPr>
            <w:tcW w:w="2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BFE4FF"/>
          </w:tcPr>
          <w:p>
            <w:pPr>
              <w:spacing w:after="0"/>
              <w:rPr>
                <w:sz w:val="17"/>
                <w:szCs w:val="17"/>
                <w:color w:val="auto"/>
              </w:rPr>
            </w:pPr>
          </w:p>
        </w:tc>
        <w:tc>
          <w:tcPr>
            <w:tcW w:w="210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Cooperative association</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48</w:t>
            </w:r>
          </w:p>
        </w:tc>
        <w:tc>
          <w:tcPr>
            <w:tcW w:w="220" w:type="dxa"/>
            <w:vAlign w:val="bottom"/>
            <w:shd w:val="clear" w:color="auto" w:fill="BFE4FF"/>
          </w:tcPr>
          <w:p>
            <w:pPr>
              <w:spacing w:after="0"/>
              <w:rPr>
                <w:sz w:val="17"/>
                <w:szCs w:val="17"/>
                <w:color w:val="auto"/>
              </w:rPr>
            </w:pP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BFE4FF"/>
          </w:tcPr>
          <w:p>
            <w:pPr>
              <w:ind w:left="420"/>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BFE4FF"/>
          </w:tcPr>
          <w:p>
            <w:pPr>
              <w:spacing w:after="0"/>
              <w:rPr>
                <w:sz w:val="17"/>
                <w:szCs w:val="17"/>
                <w:color w:val="auto"/>
              </w:rPr>
            </w:pPr>
          </w:p>
        </w:tc>
        <w:tc>
          <w:tcPr>
            <w:tcW w:w="2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BFE4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Calavo</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2,701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BFE4FF"/>
          </w:tcPr>
          <w:p>
            <w:pPr>
              <w:spacing w:after="0"/>
              <w:rPr>
                <w:sz w:val="17"/>
                <w:szCs w:val="17"/>
                <w:color w:val="auto"/>
              </w:rPr>
            </w:pPr>
          </w:p>
        </w:tc>
        <w:tc>
          <w:tcPr>
            <w:tcW w:w="210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Third-party growers</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BFE4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BFE4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BFE4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Cadiz / Fenner / WAM</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1,372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BFE4FF"/>
          </w:tcPr>
          <w:p>
            <w:pPr>
              <w:spacing w:after="0"/>
              <w:rPr>
                <w:sz w:val="17"/>
                <w:szCs w:val="17"/>
                <w:color w:val="auto"/>
              </w:rPr>
            </w:pPr>
          </w:p>
        </w:tc>
        <w:tc>
          <w:tcPr>
            <w:tcW w:w="210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Colorado River Growers</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297</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BFE4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BFE4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BFE4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YMIDD</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BFE4FF"/>
          </w:tcPr>
          <w:p>
            <w:pPr>
              <w:spacing w:after="0"/>
              <w:rPr>
                <w:sz w:val="17"/>
                <w:szCs w:val="17"/>
                <w:color w:val="auto"/>
              </w:rPr>
            </w:pPr>
          </w:p>
        </w:tc>
        <w:tc>
          <w:tcPr>
            <w:tcW w:w="210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FGF</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BFE4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100" w:type="dxa"/>
            <w:vAlign w:val="bottom"/>
            <w:shd w:val="clear" w:color="auto" w:fill="BFE4FF"/>
          </w:tcPr>
          <w:p>
            <w:pPr>
              <w:spacing w:after="0"/>
              <w:rPr>
                <w:sz w:val="17"/>
                <w:szCs w:val="17"/>
                <w:color w:val="auto"/>
              </w:rPr>
            </w:pPr>
          </w:p>
        </w:tc>
        <w:tc>
          <w:tcPr>
            <w:tcW w:w="1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2,609</w:t>
            </w:r>
          </w:p>
        </w:tc>
        <w:tc>
          <w:tcPr>
            <w:tcW w:w="100" w:type="dxa"/>
            <w:vAlign w:val="bottom"/>
            <w:shd w:val="clear" w:color="auto" w:fill="BFE4FF"/>
          </w:tcPr>
          <w:p>
            <w:pPr>
              <w:spacing w:after="0"/>
              <w:rPr>
                <w:sz w:val="17"/>
                <w:szCs w:val="17"/>
                <w:color w:val="auto"/>
              </w:rPr>
            </w:pPr>
          </w:p>
        </w:tc>
        <w:tc>
          <w:tcPr>
            <w:tcW w:w="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BFE4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906</w:t>
            </w:r>
          </w:p>
        </w:tc>
        <w:tc>
          <w:tcPr>
            <w:tcW w:w="140" w:type="dxa"/>
            <w:vAlign w:val="bottom"/>
            <w:shd w:val="clear" w:color="auto" w:fill="BFE4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LLCB</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3,675</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1,200</w:t>
            </w:r>
          </w:p>
        </w:tc>
      </w:tr>
    </w:tbl>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Three Months Ended July 31, 2020</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Three Months Ended July 31, 2019</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Net Revenue</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Agribusiness</w:t>
            </w: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Agribusiness</w:t>
            </w:r>
          </w:p>
        </w:tc>
        <w:tc>
          <w:tcPr>
            <w:tcW w:w="80" w:type="dxa"/>
            <w:vAlign w:val="bottom"/>
          </w:tcPr>
          <w:p>
            <w:pPr>
              <w:spacing w:after="0"/>
              <w:rPr>
                <w:sz w:val="12"/>
                <w:szCs w:val="12"/>
                <w:color w:val="auto"/>
              </w:rPr>
            </w:pPr>
          </w:p>
        </w:tc>
        <w:tc>
          <w:tcPr>
            <w:tcW w:w="56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Rental</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Income,</w:t>
            </w:r>
          </w:p>
        </w:tc>
        <w:tc>
          <w:tcPr>
            <w:tcW w:w="10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Rental</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80" w:type="dxa"/>
            <w:vAlign w:val="bottom"/>
          </w:tcPr>
          <w:p>
            <w:pPr>
              <w:spacing w:after="0"/>
              <w:rPr>
                <w:sz w:val="11"/>
                <w:szCs w:val="11"/>
                <w:color w:val="auto"/>
              </w:rPr>
            </w:pPr>
          </w:p>
        </w:tc>
        <w:tc>
          <w:tcPr>
            <w:tcW w:w="5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Income,</w:t>
            </w:r>
          </w:p>
        </w:tc>
        <w:tc>
          <w:tcPr>
            <w:tcW w:w="2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w:t>
            </w:r>
          </w:p>
        </w:tc>
      </w:tr>
      <w:tr>
        <w:trPr>
          <w:trHeight w:val="176"/>
        </w:trPr>
        <w:tc>
          <w:tcPr>
            <w:tcW w:w="3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120" w:type="dxa"/>
            <w:vAlign w:val="bottom"/>
            <w:tcBorders>
              <w:bottom w:val="single" w:sz="8" w:color="BFE4FF"/>
            </w:tcBorders>
          </w:tcPr>
          <w:p>
            <w:pPr>
              <w:spacing w:after="0"/>
              <w:rPr>
                <w:sz w:val="15"/>
                <w:szCs w:val="15"/>
                <w:color w:val="auto"/>
              </w:rPr>
            </w:pP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Paid</w:t>
            </w:r>
          </w:p>
        </w:tc>
      </w:tr>
      <w:tr>
        <w:trPr>
          <w:trHeight w:val="189"/>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BFE4FF"/>
          </w:tcPr>
          <w:p>
            <w:pPr>
              <w:spacing w:after="0"/>
              <w:rPr>
                <w:sz w:val="16"/>
                <w:szCs w:val="16"/>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Employees</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Mutual water companies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BFE4FF"/>
          </w:tcPr>
          <w:p>
            <w:pPr>
              <w:spacing w:after="0"/>
              <w:rPr>
                <w:sz w:val="17"/>
                <w:szCs w:val="17"/>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Cooperative association</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Calavo</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4,724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126</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BFE4FF"/>
          </w:tcPr>
          <w:p>
            <w:pPr>
              <w:spacing w:after="0"/>
              <w:rPr>
                <w:sz w:val="17"/>
                <w:szCs w:val="17"/>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Third-party growers</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Cadiz / Fenner / WAM</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BFE4FF"/>
          </w:tcPr>
          <w:p>
            <w:pPr>
              <w:spacing w:after="0"/>
              <w:rPr>
                <w:sz w:val="17"/>
                <w:szCs w:val="17"/>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Colorado River Growers</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YMIDD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BFE4FF"/>
          </w:tcPr>
          <w:p>
            <w:pPr>
              <w:spacing w:after="0"/>
              <w:rPr>
                <w:sz w:val="17"/>
                <w:szCs w:val="17"/>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FGF</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9,626</w:t>
            </w:r>
          </w:p>
        </w:tc>
        <w:tc>
          <w:tcPr>
            <w:tcW w:w="100" w:type="dxa"/>
            <w:vAlign w:val="bottom"/>
            <w:shd w:val="clear" w:color="auto" w:fill="BFE4FF"/>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10,508</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11,685</w:t>
            </w:r>
          </w:p>
        </w:tc>
        <w:tc>
          <w:tcPr>
            <w:tcW w:w="100" w:type="dxa"/>
            <w:vAlign w:val="bottom"/>
            <w:shd w:val="clear" w:color="auto" w:fill="BFE4FF"/>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8,798</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412"/>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Nine Months Ended July 31, 2020</w:t>
            </w: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Nine Months Ended July 31, 2019</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83"/>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Net Revenue</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Agribusiness</w:t>
            </w:r>
          </w:p>
        </w:tc>
        <w:tc>
          <w:tcPr>
            <w:tcW w:w="80" w:type="dxa"/>
            <w:vAlign w:val="bottom"/>
          </w:tcPr>
          <w:p>
            <w:pPr>
              <w:spacing w:after="0"/>
              <w:rPr>
                <w:sz w:val="12"/>
                <w:szCs w:val="12"/>
                <w:color w:val="auto"/>
              </w:rPr>
            </w:pPr>
          </w:p>
        </w:tc>
        <w:tc>
          <w:tcPr>
            <w:tcW w:w="6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Net Revenue</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Agribusiness</w:t>
            </w:r>
          </w:p>
        </w:tc>
        <w:tc>
          <w:tcPr>
            <w:tcW w:w="80" w:type="dxa"/>
            <w:vAlign w:val="bottom"/>
          </w:tcPr>
          <w:p>
            <w:pPr>
              <w:spacing w:after="0"/>
              <w:rPr>
                <w:sz w:val="12"/>
                <w:szCs w:val="12"/>
                <w:color w:val="auto"/>
              </w:rPr>
            </w:pPr>
          </w:p>
        </w:tc>
        <w:tc>
          <w:tcPr>
            <w:tcW w:w="560" w:type="dxa"/>
            <w:vAlign w:val="bottom"/>
          </w:tcPr>
          <w:p>
            <w:pPr>
              <w:jc w:val="center"/>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Rental</w:t>
            </w: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Income,</w:t>
            </w:r>
          </w:p>
        </w:tc>
        <w:tc>
          <w:tcPr>
            <w:tcW w:w="10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Net Revenue</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Rental</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Expense and</w:t>
            </w:r>
          </w:p>
        </w:tc>
        <w:tc>
          <w:tcPr>
            <w:tcW w:w="80" w:type="dxa"/>
            <w:vAlign w:val="bottom"/>
          </w:tcPr>
          <w:p>
            <w:pPr>
              <w:spacing w:after="0"/>
              <w:rPr>
                <w:sz w:val="11"/>
                <w:szCs w:val="11"/>
                <w:color w:val="auto"/>
              </w:rPr>
            </w:pPr>
          </w:p>
        </w:tc>
        <w:tc>
          <w:tcPr>
            <w:tcW w:w="5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Income,</w:t>
            </w:r>
          </w:p>
        </w:tc>
        <w:tc>
          <w:tcPr>
            <w:tcW w:w="2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Dividends</w:t>
            </w:r>
          </w:p>
        </w:tc>
      </w:tr>
      <w:tr>
        <w:trPr>
          <w:trHeight w:val="176"/>
        </w:trPr>
        <w:tc>
          <w:tcPr>
            <w:tcW w:w="3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2"/>
              </w:rPr>
              <w:t>Ref</w:t>
            </w:r>
          </w:p>
        </w:tc>
        <w:tc>
          <w:tcPr>
            <w:tcW w:w="120" w:type="dxa"/>
            <w:vAlign w:val="bottom"/>
            <w:tcBorders>
              <w:bottom w:val="single" w:sz="8" w:color="BFE4FF"/>
            </w:tcBorders>
          </w:tcPr>
          <w:p>
            <w:pPr>
              <w:spacing w:after="0"/>
              <w:rPr>
                <w:sz w:val="15"/>
                <w:szCs w:val="15"/>
                <w:color w:val="auto"/>
              </w:rPr>
            </w:pP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Related Party</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Paid</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Paid</w:t>
            </w:r>
          </w:p>
        </w:tc>
      </w:tr>
      <w:tr>
        <w:trPr>
          <w:trHeight w:val="189"/>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BFE4FF"/>
          </w:tcPr>
          <w:p>
            <w:pPr>
              <w:spacing w:after="0"/>
              <w:rPr>
                <w:sz w:val="16"/>
                <w:szCs w:val="16"/>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Employees</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shd w:val="clear" w:color="auto" w:fill="BFE4FF"/>
          </w:tcPr>
          <w:p>
            <w:pPr>
              <w:spacing w:after="0"/>
              <w:rPr>
                <w:sz w:val="16"/>
                <w:szCs w:val="16"/>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Mutual water companies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BFE4FF"/>
          </w:tcPr>
          <w:p>
            <w:pPr>
              <w:spacing w:after="0"/>
              <w:rPr>
                <w:sz w:val="17"/>
                <w:szCs w:val="17"/>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Cooperative association</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1,246</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1,158</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Calavo</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6,296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3,062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381</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BFE4FF"/>
          </w:tcPr>
          <w:p>
            <w:pPr>
              <w:spacing w:after="0"/>
              <w:rPr>
                <w:sz w:val="17"/>
                <w:szCs w:val="17"/>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Third-party growers</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Cadiz / Fenner / WAM</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BFE4FF"/>
          </w:tcPr>
          <w:p>
            <w:pPr>
              <w:spacing w:after="0"/>
              <w:rPr>
                <w:sz w:val="17"/>
                <w:szCs w:val="17"/>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Colorado River Growers</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shd w:val="clear" w:color="auto" w:fill="BFE4FF"/>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5,337</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shd w:val="clear" w:color="auto" w:fill="BFE4FF"/>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3,841</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3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YMIDD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r>
        <w:trPr>
          <w:trHeight w:val="197"/>
        </w:trPr>
        <w:tc>
          <w:tcPr>
            <w:tcW w:w="3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BFE4FF"/>
          </w:tcPr>
          <w:p>
            <w:pPr>
              <w:spacing w:after="0"/>
              <w:rPr>
                <w:sz w:val="17"/>
                <w:szCs w:val="17"/>
                <w:color w:val="auto"/>
              </w:rPr>
            </w:pPr>
          </w:p>
        </w:tc>
        <w:tc>
          <w:tcPr>
            <w:tcW w:w="1520" w:type="dxa"/>
            <w:vAlign w:val="bottom"/>
            <w:gridSpan w:val="2"/>
            <w:shd w:val="clear" w:color="auto" w:fill="BFE4FF"/>
          </w:tcPr>
          <w:p>
            <w:pPr>
              <w:spacing w:after="0"/>
              <w:rPr>
                <w:sz w:val="20"/>
                <w:szCs w:val="20"/>
                <w:color w:val="auto"/>
              </w:rPr>
            </w:pPr>
            <w:r>
              <w:rPr>
                <w:rFonts w:ascii="Times New Roman" w:cs="Times New Roman" w:eastAsia="Times New Roman" w:hAnsi="Times New Roman"/>
                <w:sz w:val="13"/>
                <w:szCs w:val="13"/>
                <w:color w:val="auto"/>
              </w:rPr>
              <w:t>FGF</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12,105</w:t>
            </w:r>
          </w:p>
        </w:tc>
        <w:tc>
          <w:tcPr>
            <w:tcW w:w="100" w:type="dxa"/>
            <w:vAlign w:val="bottom"/>
            <w:shd w:val="clear" w:color="auto" w:fill="BFE4FF"/>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12,941</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11,685</w:t>
            </w:r>
          </w:p>
        </w:tc>
        <w:tc>
          <w:tcPr>
            <w:tcW w:w="100" w:type="dxa"/>
            <w:vAlign w:val="bottom"/>
            <w:shd w:val="clear" w:color="auto" w:fill="BFE4FF"/>
          </w:tcPr>
          <w:p>
            <w:pPr>
              <w:spacing w:after="0"/>
              <w:rPr>
                <w:sz w:val="17"/>
                <w:szCs w:val="17"/>
                <w:color w:val="auto"/>
              </w:rPr>
            </w:pP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8,798</w:t>
            </w:r>
          </w:p>
        </w:tc>
        <w:tc>
          <w:tcPr>
            <w:tcW w:w="100" w:type="dxa"/>
            <w:vAlign w:val="bottom"/>
            <w:shd w:val="clear" w:color="auto" w:fill="BFE4FF"/>
          </w:tcPr>
          <w:p>
            <w:pPr>
              <w:spacing w:after="0"/>
              <w:rPr>
                <w:sz w:val="17"/>
                <w:szCs w:val="17"/>
                <w:color w:val="auto"/>
              </w:rPr>
            </w:pP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 (continued)</w:t>
      </w:r>
    </w:p>
    <w:p>
      <w:pPr>
        <w:spacing w:after="0" w:line="256" w:lineRule="exact"/>
        <w:rPr>
          <w:sz w:val="20"/>
          <w:szCs w:val="20"/>
          <w:color w:val="auto"/>
        </w:rPr>
      </w:pPr>
    </w:p>
    <w:p>
      <w:pPr>
        <w:ind w:right="20" w:firstLine="8"/>
        <w:spacing w:after="0" w:line="229" w:lineRule="auto"/>
        <w:tabs>
          <w:tab w:leader="none" w:pos="20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Employees - The Company rents certain of its residential housing assets to employees on a month-to-month basis and recorded rental income from employees. There were no rental payments due from employees at July 31, 2020 and October 31, 2019.</w:t>
      </w:r>
    </w:p>
    <w:p>
      <w:pPr>
        <w:spacing w:after="0" w:line="225" w:lineRule="exact"/>
        <w:rPr>
          <w:rFonts w:ascii="Times New Roman" w:cs="Times New Roman" w:eastAsia="Times New Roman" w:hAnsi="Times New Roman"/>
          <w:sz w:val="23"/>
          <w:szCs w:val="23"/>
          <w:color w:val="auto"/>
          <w:vertAlign w:val="superscript"/>
        </w:rPr>
      </w:pPr>
    </w:p>
    <w:p>
      <w:pPr>
        <w:jc w:val="both"/>
        <w:ind w:firstLine="8"/>
        <w:spacing w:after="0" w:line="235" w:lineRule="auto"/>
        <w:tabs>
          <w:tab w:leader="none" w:pos="20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Mutual water companies - The Company has representation on the boards of directors of the mutual water companies in which the Company has investments, refer to Note 10 - Other Assets. The Company recorded capital contributions, purchased water and water delivery services and had water payments due to the mutual water companies.</w:t>
      </w:r>
    </w:p>
    <w:p>
      <w:pPr>
        <w:spacing w:after="0" w:line="226" w:lineRule="exact"/>
        <w:rPr>
          <w:rFonts w:ascii="Times New Roman" w:cs="Times New Roman" w:eastAsia="Times New Roman" w:hAnsi="Times New Roman"/>
          <w:sz w:val="23"/>
          <w:szCs w:val="23"/>
          <w:color w:val="auto"/>
          <w:vertAlign w:val="superscript"/>
        </w:rPr>
      </w:pPr>
    </w:p>
    <w:p>
      <w:pPr>
        <w:ind w:firstLine="8"/>
        <w:spacing w:after="0" w:line="229" w:lineRule="auto"/>
        <w:tabs>
          <w:tab w:leader="none" w:pos="195"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225" w:lineRule="exact"/>
        <w:rPr>
          <w:rFonts w:ascii="Times New Roman" w:cs="Times New Roman" w:eastAsia="Times New Roman" w:hAnsi="Times New Roman"/>
          <w:sz w:val="23"/>
          <w:szCs w:val="23"/>
          <w:color w:val="auto"/>
          <w:vertAlign w:val="superscript"/>
        </w:rPr>
      </w:pPr>
    </w:p>
    <w:p>
      <w:pPr>
        <w:jc w:val="both"/>
        <w:ind w:firstLine="8"/>
        <w:spacing w:after="0" w:line="255" w:lineRule="auto"/>
        <w:tabs>
          <w:tab w:leader="none" w:pos="18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Calavo - The Company had an investment in Calavo through March 2020 and has representation on the board of directors and Calavo has an investment in the Company. Calavo had representation on the board of directors of the Company through December 2018. The Company recorded dividend income on its investment in Calavo, paid dividends to Calavo and had avocado sales to Calavo. Additionally, the Company leases office space to Calavo, purchased storage services from Calavo and had amounts due to Calavo for those services.</w:t>
      </w:r>
    </w:p>
    <w:p>
      <w:pPr>
        <w:spacing w:after="0" w:line="196"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Third party growers - A member of the Company’s board of directors markets lemons through the Company.</w:t>
      </w:r>
    </w:p>
    <w:p>
      <w:pPr>
        <w:spacing w:after="0" w:line="224" w:lineRule="exact"/>
        <w:rPr>
          <w:rFonts w:ascii="Times New Roman" w:cs="Times New Roman" w:eastAsia="Times New Roman" w:hAnsi="Times New Roman"/>
          <w:sz w:val="22"/>
          <w:szCs w:val="22"/>
          <w:color w:val="auto"/>
          <w:vertAlign w:val="superscript"/>
        </w:rPr>
      </w:pPr>
    </w:p>
    <w:p>
      <w:pPr>
        <w:jc w:val="both"/>
        <w:ind w:firstLine="8"/>
        <w:spacing w:after="0" w:line="244" w:lineRule="auto"/>
        <w:tabs>
          <w:tab w:leader="none" w:pos="187"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entity affiliated with WAM is the holder of 9,300 shares of the Company's Series B-2 convertible preferred stock. Upon the adoption of </w:t>
      </w:r>
      <w:r>
        <w:rPr>
          <w:rFonts w:ascii="Times New Roman" w:cs="Times New Roman" w:eastAsia="Times New Roman" w:hAnsi="Times New Roman"/>
          <w:sz w:val="18"/>
          <w:szCs w:val="18"/>
          <w:i w:val="1"/>
          <w:iCs w:val="1"/>
          <w:color w:val="auto"/>
        </w:rPr>
        <w:t>ASC 842</w:t>
      </w:r>
      <w:r>
        <w:rPr>
          <w:rFonts w:ascii="Times New Roman" w:cs="Times New Roman" w:eastAsia="Times New Roman" w:hAnsi="Times New Roman"/>
          <w:sz w:val="18"/>
          <w:szCs w:val="18"/>
          <w:color w:val="auto"/>
        </w:rPr>
        <w:t>, the Company recorded a ROU asset and corresponding lease liability.</w:t>
      </w:r>
    </w:p>
    <w:p>
      <w:pPr>
        <w:spacing w:after="0" w:line="223" w:lineRule="exact"/>
        <w:rPr>
          <w:rFonts w:ascii="Times New Roman" w:cs="Times New Roman" w:eastAsia="Times New Roman" w:hAnsi="Times New Roman"/>
          <w:sz w:val="23"/>
          <w:szCs w:val="23"/>
          <w:color w:val="auto"/>
          <w:vertAlign w:val="superscript"/>
        </w:rPr>
      </w:pPr>
    </w:p>
    <w:p>
      <w:pPr>
        <w:jc w:val="both"/>
        <w:ind w:firstLine="8"/>
        <w:spacing w:after="0" w:line="251" w:lineRule="auto"/>
        <w:tabs>
          <w:tab w:leader="none" w:pos="183"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Colorado River Growers, Inc. (“CRG”) - The Company has representation on the board of directors of CRG, a non-profit cooperative association of fruit growers engaged in the agricultural harvesting business in Yuma County, Arizona. The Company paid harvest expense to CRG, provided harvest management and administrative services to CRG and had a receivable due from CRG for such services.</w:t>
      </w:r>
    </w:p>
    <w:p>
      <w:pPr>
        <w:spacing w:after="0" w:line="217" w:lineRule="exact"/>
        <w:rPr>
          <w:rFonts w:ascii="Times New Roman" w:cs="Times New Roman" w:eastAsia="Times New Roman" w:hAnsi="Times New Roman"/>
          <w:sz w:val="22"/>
          <w:szCs w:val="22"/>
          <w:color w:val="auto"/>
          <w:vertAlign w:val="superscript"/>
        </w:rPr>
      </w:pPr>
    </w:p>
    <w:p>
      <w:pPr>
        <w:ind w:firstLine="8"/>
        <w:spacing w:after="0" w:line="229" w:lineRule="auto"/>
        <w:tabs>
          <w:tab w:leader="none" w:pos="21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Yuma Mesa Irrigation and Drainage District (“YMIDD”) - The Company has representation on the board of directors of YMIDD. The Company purchased water from YMIDD and had amounts payable to them for such purchases.</w:t>
      </w:r>
    </w:p>
    <w:p>
      <w:pPr>
        <w:spacing w:after="0" w:line="225" w:lineRule="exact"/>
        <w:rPr>
          <w:rFonts w:ascii="Times New Roman" w:cs="Times New Roman" w:eastAsia="Times New Roman" w:hAnsi="Times New Roman"/>
          <w:sz w:val="23"/>
          <w:szCs w:val="23"/>
          <w:color w:val="auto"/>
          <w:vertAlign w:val="superscript"/>
        </w:rPr>
      </w:pPr>
    </w:p>
    <w:p>
      <w:pPr>
        <w:jc w:val="both"/>
        <w:ind w:right="20" w:firstLine="8"/>
        <w:spacing w:after="0" w:line="251" w:lineRule="auto"/>
        <w:tabs>
          <w:tab w:leader="none" w:pos="186"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payable due to FGF for such fruit purchases and services.</w:t>
      </w:r>
    </w:p>
    <w:p>
      <w:pPr>
        <w:spacing w:after="0" w:line="217" w:lineRule="exact"/>
        <w:rPr>
          <w:rFonts w:ascii="Times New Roman" w:cs="Times New Roman" w:eastAsia="Times New Roman" w:hAnsi="Times New Roman"/>
          <w:sz w:val="22"/>
          <w:szCs w:val="22"/>
          <w:color w:val="auto"/>
          <w:vertAlign w:val="superscript"/>
        </w:rPr>
      </w:pPr>
    </w:p>
    <w:p>
      <w:pPr>
        <w:ind w:left="240" w:hanging="232"/>
        <w:spacing w:after="0"/>
        <w:tabs>
          <w:tab w:leader="none" w:pos="24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LLCB - Refer to Note 7 - Real Estate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effective tax rate for the nine months ended July 31, 2020 was higher than the federal statutory tax rate of 21% mainly due to a $1,950,000 discrete benefit recorded as a result of the carryback of federal net operating losses to previous years when the federal income tax rate was 34%. The effective tax rate for the nine months ended July 31, 2019 was lower than the federal statutory tax rate of 21.0% primarily due to income attributable to foreign jurisdictions which is taxed at different rates, state taxes, and nondeductible tax items.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Retirement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funded consistent with the funding requirements of federal law and regulations. There were funding contributions of zero and $150,000 during the three months ended July 31, 2020 and 2019, respectively. There were funding contributions of zero and $450,000 during the nine months ended July 31, 2020 and 2019,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cost for the Plan for the three and nine months ended July 31, 2020 and 2019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5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8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4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4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
        </w:trPr>
        <w:tc>
          <w:tcPr>
            <w:tcW w:w="4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76" w:lineRule="exact"/>
        <w:rPr>
          <w:sz w:val="20"/>
          <w:szCs w:val="20"/>
          <w:color w:val="auto"/>
        </w:rPr>
      </w:pPr>
    </w:p>
    <w:p>
      <w:pPr>
        <w:ind w:right="7320" w:firstLine="8"/>
        <w:spacing w:after="0" w:line="534" w:lineRule="auto"/>
        <w:tabs>
          <w:tab w:leader="none" w:pos="2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Treasury Stock Stock-based Compensation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There were no shares of common stock granted to management under the Stock Plan for fiscal year 2019 performance because the financial performance and other criteria were not met.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Awards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restricted stock grants are made to key executives under the Stock Plan (“Executive Awards”). These grants generally vest over a three to five-year period as service is provided. During December 2019, the Company granted 95,000 shares of common stock with a per share price of $18.87 to key executives under the Stock Plan. The related compensation expense of approximately $1,793,000 will be recognized equally over the next three years as the shares vest.</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Stock-based Compensation and Treasury Stock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Awards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issues shares of common stock to non-employee directors under the Stock Plan on an annual basis that vest upon grant (“Director Awards”). During January 2020 and 2019, 17,841 and 15,642 shares, respectively, of common stock were granted as Director Awards. The Company recognized $358,000 and $339,000 of stock-based compensation to non-employee directors during the nine months ended July 31, 2020 and 2019,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2020 and 2019, members of management exchanged 11,314 and 20,119 shares, respectively, of common stock with fair values of $213,000 and $305,000, respectively, at the date of the exchanges, for the payment of payroll taxes associated with the vesting of shares under the Company’s stock-based compensation programs.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12, 2020, the Board of Directors of the Company approved a share repurchase program authorizing the Company to repurchase up to $10,000,000 of its outstanding shares of common stock through March 2021. Under the share repurchase program, purchases of shares of common stock may be made from time to time in the open market or in privately negotiated transactions. The share repurchase program may be modified, suspended or discontinued at any time and does not commit the Company to repurchase shares of its common stock. See Part II, Item 2, “Unregistered Sales of Equity Securities and Use of Proceeds” in this Quarterly Report on Form 10-Q for additional information on the share repurchase program.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operates in four reportable operating segments: fresh lemons, lemon packing, avocados and other agribusiness. The Company’s operating segments of rental operations and real estate development are no longer disclosed as separate reportable operating segments and are included in the “Corporate and Other” category in the tables below as they do not meet the quantitative threshold and from a qualitative perspective are not a core focus of the Company's main agribusiness activities. Prior years’ information has been restated to conform to the current year’s presentation.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 Revenues related to rental operations are included in “Corporate and Other.” Other agribusiness revenues for the three and nine months ended July 31, 2020, consists of oranges of $2,232,000 and $7,171,000, respectively, and specialty citrus and other crops of $788,000 and $3,832,000, respectively. Other agribusiness revenues for the three and nine months ended July 31, 2019, consists of oranges of $711,000 and $3,794,000, respectively, and specialty citrus and other crops of zero and $3,019,000, respectively.</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ectPr>
          <w:pgSz w:w="11900" w:h="16838" w:orient="portrait"/>
          <w:cols w:equalWidth="0" w:num="1">
            <w:col w:w="11240"/>
          </w:cols>
          <w:pgMar w:left="320" w:top="3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(UNAUDITED) (CONTINUED)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July 31,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6"/>
        </w:trPr>
        <w:tc>
          <w:tcPr>
            <w:tcW w:w="3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53,559</w:t>
            </w:r>
          </w:p>
        </w:tc>
      </w:tr>
      <w:tr>
        <w:trPr>
          <w:trHeight w:val="198"/>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39,459</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20,105</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52,387</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53,559</w:t>
            </w:r>
          </w:p>
        </w:tc>
      </w:tr>
      <w:tr>
        <w:trPr>
          <w:trHeight w:val="198"/>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39,694</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15,988</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44,555</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w:t>
            </w:r>
          </w:p>
        </w:tc>
        <w:tc>
          <w:tcPr>
            <w:tcW w:w="22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49,188</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2,557</w:t>
            </w:r>
          </w:p>
        </w:tc>
      </w:tr>
      <w:tr>
        <w:trPr>
          <w:trHeight w:val="20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1,814</w:t>
            </w:r>
          </w:p>
        </w:tc>
      </w:tr>
      <w:tr>
        <w:trPr>
          <w:trHeight w:val="21"/>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three months ended July 31,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200" w:type="dxa"/>
            <w:vAlign w:val="bottom"/>
          </w:tcPr>
          <w:p>
            <w:pPr>
              <w:spacing w:after="0"/>
              <w:rPr>
                <w:sz w:val="12"/>
                <w:szCs w:val="12"/>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6"/>
        </w:trPr>
        <w:tc>
          <w:tcPr>
            <w:tcW w:w="3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41,169</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50,869</w:t>
            </w:r>
          </w:p>
        </w:tc>
      </w:tr>
      <w:tr>
        <w:trPr>
          <w:trHeight w:val="198"/>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41,169</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15,495</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49,631</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50,869</w:t>
            </w:r>
          </w:p>
        </w:tc>
      </w:tr>
      <w:tr>
        <w:trPr>
          <w:trHeight w:val="198"/>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35,653</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13,524</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40,924</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22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46,671</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2,080</w:t>
            </w:r>
          </w:p>
        </w:tc>
      </w:tr>
      <w:tr>
        <w:trPr>
          <w:trHeight w:val="20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2,118</w:t>
            </w:r>
          </w:p>
        </w:tc>
      </w:tr>
      <w:tr>
        <w:trPr>
          <w:trHeight w:val="21"/>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nine months ended July 31, 2020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6"/>
        </w:trPr>
        <w:tc>
          <w:tcPr>
            <w:tcW w:w="3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100,231</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134,786</w:t>
            </w:r>
          </w:p>
        </w:tc>
      </w:tr>
      <w:tr>
        <w:trPr>
          <w:trHeight w:val="198"/>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31,889</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(31,889)</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100,231</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43,641</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131,309</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134,786</w:t>
            </w:r>
          </w:p>
        </w:tc>
      </w:tr>
      <w:tr>
        <w:trPr>
          <w:trHeight w:val="198"/>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101,006</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34,925</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(31,889)</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118,603</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18,113</w:t>
            </w:r>
          </w:p>
        </w:tc>
        <w:tc>
          <w:tcPr>
            <w:tcW w:w="22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136,716</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7,555</w:t>
            </w:r>
          </w:p>
        </w:tc>
      </w:tr>
      <w:tr>
        <w:trPr>
          <w:trHeight w:val="20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(15,476)</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(9,485)</w:t>
            </w: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for the nine months ended July 31,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200" w:type="dxa"/>
            <w:vAlign w:val="bottom"/>
          </w:tcPr>
          <w:p>
            <w:pPr>
              <w:spacing w:after="0"/>
              <w:rPr>
                <w:sz w:val="12"/>
                <w:szCs w:val="12"/>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6"/>
        </w:trPr>
        <w:tc>
          <w:tcPr>
            <w:tcW w:w="3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108,090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134,922</w:t>
            </w:r>
          </w:p>
        </w:tc>
      </w:tr>
      <w:tr>
        <w:trPr>
          <w:trHeight w:val="198"/>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108,090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38,753</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131,254</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134,922</w:t>
            </w:r>
          </w:p>
        </w:tc>
      </w:tr>
      <w:tr>
        <w:trPr>
          <w:trHeight w:val="198"/>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95,650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32,972</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7,210</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113,190</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17,312</w:t>
            </w:r>
          </w:p>
        </w:tc>
        <w:tc>
          <w:tcPr>
            <w:tcW w:w="22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130,502</w:t>
            </w:r>
          </w:p>
        </w:tc>
      </w:tr>
      <w:tr>
        <w:trPr>
          <w:trHeight w:val="20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6,327</w:t>
            </w:r>
          </w:p>
        </w:tc>
      </w:tr>
      <w:tr>
        <w:trPr>
          <w:trHeight w:val="20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12,440</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(14,420)</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subsequent to July 31, 2020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was incorporated in Delaware in 1990 as the successor to several businesses with operations in California since 1893. We are primarily an agribusiness company founded and based in Santa Paula, California, committed to responsibly using and managing our approximately 15,400 acres of land, water resources and other assets to maximize long-term stockholder value. Our current operations consist of fruit production, sales and marketing, rental operations, real estate and capital investment activities.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6,200 acres of lemons, 900 acres of avocados, 1,400 acres of oranges and 900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growing, packing, marketing and selling business in Argentina.</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comprising approximately 260 completed rental units and another approximately 1,150 units in various stages of planning and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Division Summary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four reportable operating segments: fresh lemons, lemon packing, avocados and other agribusiness, and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 Division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agribusiness division represented approximately 97%, 96% and 96% of our fiscal year 2019, 2018 and 2017 consolidated revenues, respectively, of which fresh lemons and lemon packing combined represented 87%, 80% and 78% of our fiscal year 2019, 2018 and 2017 consolidated revenues,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lemon farming is included in our “fresh lemons” and “lemon packing” reportable operating segments within our financial statements. We are one of the largest growers of lemons and avocados in the United States. We market and sell lemons directly to our food service, wholesale and retail customers throughout the United States, Canada, Asia, Australia, Europe and certain other international markets. We had approximately $2.1 million of lemon and orange sales in Chile by PDA and San Pablo and $12.1 million of lemon and orange sales in Argentina by Trapani Fresh in the nine months ended July 31, 2020. We sell a majority of our avocados to Calavo. Additionally, we sell our oranges and specialty citrus to Sunkist-licensed and other third-party packinghouses, our pistachios to a roaster, packager and marketer of nuts, and our wine grapes to various wine producers.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agribusiness operations have been seasonal in nature with quarterly revenue fluctuating depending on the timing and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avocado producing business is important to us, yet it faces constraints on growth as there is little additional land with sufficient water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helps to diversify our fruit production base.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identified consumer trends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Divisions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rental operations division includes our residential and commercial rentals, leased land operations and organic recycling. Our rental operations division represented approximately 3%, 4% and 4% of our consolidated revenues in fiscal years 2019, 2018 and 2017, respectively. Our residential rental units generate reliable cash flows, which we use to partially fund the operations of all three of our business divisions and provide affordable housing to many of our employees, including our agribusiness employees, a unique employment benefit that helps us maintain a dependable, long-term employee base. In addition, our leased land business provides us with a typically profitable diversification. Revenue from rental operations is generally level throughout the year.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real estate development division includes our real estate development investments. The real estate development division had no revenue in fiscal years 2019, 2018 or 2017. We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and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Water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located in Ventura County, California is sourced from the existing water resources associated with our land, which includes approximately 8,600-acre feet of adjudicated water rights in the Santa Paula Basin (aquifer) and the un-adjudicated Fillmore Basin. 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that derive water from the Paso Robles Basin. Our Associated Citrus Packers, Inc. ("Associated") farming operations in Yuma, Arizona source water from the Colorado River through the YMIDD, where we have access to approximately 11,700-acre feet of Class 3 Colorado River water rights. We use ground water provided by wells and surface water for our PDA and San Pablo farming operations in La Serena, Chile and our Trapani Fresh farming operations in Argentina.</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California has historically experienced periods of below average precipitation. Precipitation in 2019 brought relief to California’s drought conditions, although the few years prior to 2019 were among the most severe droughts on record. Rainfall, snow levels and water content of snow pack were significantly below historical averages. These conditions resulted in reduced water levels in streams, rivers, lakes, aquifers and reservoirs. Federal officials oversee the Central Valley Project, California’s largest water delivery system and 100% of the contracted amount of water was provided to San Joaquin Valley farmers in 2019, 2018 and 2017 compared to 75% in 2016 and zero in 2015.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equal partners in a joint venture with The Lewis Group of Companies (“Lewis”) for the residential development of our East Area I real estate development project. To consummate the transaction, we formed Limoneira Lewis Community Builders, LLC (the "LLCB" or "Joint Venture") as the development entity. The first phase of the project broke ground to commence mass grading in November 2017. The Joint Venture has closed on lot sales representing 354 units from inception through July 31, 2020. For further information see Note 7 – Real Estate Development of the notes to consolidated financial statements included in this Quarterly Report on Form 10-Q.</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30, 2019, we acquired a 51% interest in a joint venture, Trapani Fresh, formed with FGF Trapani (“FGF”), a multi-generational, family owned citrus operation in Argentina. To consummate the transaction, we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 Total consideration paid for our interest in Trapani Fresh was $15.0 million. Subsequently, in February 2020, FGF agreed to a decrease in the purchase consideration of $0.2 million to reflect profits that Limoneira Argentina would have received had the transaction been consummated at the beginning of the 2019 lemon export season.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year 2020, we entered into an agreement to sell our Sevilla property for $2.7 million. After transaction and other costs, we expect to receive proceeds of approximately $2.6 million and recognize an insignificant gain. At July 31, 2020, the $2.5 million carrying value of the property was classified as held for sale and included in prepaid expenses and other current assets.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we entered into a revolving equity line of credit promissory note and loan agreement with Farm Credit West for a $15.0 million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2020, we sold our remaining 200,000 shares of Calavo Growers, Inc. ("Calavo") common stock at an average price of $55.29 per share. Net proceeds from the sale were $11.0 million and we recognized a loss of $6.3 million.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the creation of certain refundable employee retention credits, and technical corrections from prior tax legislation for tax depreciation of certain qualified improvement property. We have evaluated the impact on our consolidated financial statements and estimated the impact of approximately $2.0</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million of income tax benefit and $6.4 million federal and California refunds in calendar year 2020. We anticipate we will benefit from the utilization of net operating losses, the technical correction for qualified leasehold improvements eligible for 100% tax bonus depreciation and potentially other provisions within the CARES Act.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12, 2020, the Board of Directors of our Company approved a share repurchase program authorizing us to repurchase up to $10.0 million of our outstanding shares of common stock through March 2021. Under the share repurchase program, purchases of shares of common stock may be made from time to time in the open market or in privately negotiated transactions. The share repurchase program may be modified, suspended or discontinued at any time and does not commit us to repurchase shares of our common stock. During the quarter ended July 31, 2020, we repurchased 42,100 shares under the share repurchase program for approximately $0.6 million. As of July 31, 2020, the remaining authorization under this program is approximately $9.4 million.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2020, we entered into a Conversion Agreement with Farm Credit West to convert our term loans to fixed interest rates effective July 1, 2020. No changes were made to the outstanding principal balances on the loans and no cash repayments of principal were made by us. The rates are subject to a prepayment restriction period for a portion of the fixed rate term that will expire on January 1, 2021, after which we may prepay any amounts without penalty.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2020, we entered into an agreement to sell a property, located in Lindsay, California, for $6.0 million. The transaction closed on August 26, 2020 with us receiving net proceeds of $6.0 million. After transaction and other costs, we recorded a loss of approximately $0.3 million as of July 31, 2020.</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fiscal year 2019, we declared cash dividends to our stockholders totaling $0.30 per common share in the aggregate amount of $5.3 million. On July 13, 2020, we declared a cash dividend of $0.075 per common share, which was paid on July 17, 2020, in the aggregate amount of $1.3 million to common stockholders of record as of July 6, 2020. On April 15, 2020, we declared a cash dividend of $0.075 per common share, which was paid on April 19, 2020, in the aggregate amount of $1.3 million to common stockholders of record as of April 8, 2020. On December 17, 2019, we declared a cash dividend of $0.075 per common share, which was paid on January 15, 2020, in the aggregate amount of $1.3 million to common stockholders of record as of December 30, 2019.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spread of the novel coronavirus (COVID-19) in recent months has negatively impacted the global economy, disrupted global supply chains and created significant volatility and disruption of financial markets. The impact of this pandemic has created significant uncertainty in the global economy and has affected our business, employees, suppliers, and customers.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has had an adverse impact on the industries and markets in which we conduct business. In particular, the United States lemon market has seen a significant decline in volume, with lemon demand falling since wide spread shelter in place orders were issued in mid-March, resulting in a significant market oversupply. The export market for fresh product has also significantly declined due to COVID-19 impacts.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decline in demand for our products beginning the second quarter of 2020, which we believe was a result of the COVID-19 pandemic, negatively impacted our sales and profitability for the second and third quarters of 2020. We also expect an adverse impact on our sales and profitability in future periods. These impacts are expected to be material. However, the duration of these trends and the magnitude of such impacts cannot be precisely estimated at this time, as they are affected by a number of factors, many of which are outside management’s control, including those presented in - Item 1A. Risk Factors of this Quarterly Report. Although subject to unforeseen changes that may arise as the COVID-19 pandemic continues to unfold, we currently expect improvement during the fourth quarter of fiscal year 2020 and into fiscal year 2021, specifically as restaurants and bars continue to reopen.</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took proactive actions early on to protect the health of our employees and their families, including curtailing business travel and encouraging video conferencing whenever possible. In addition, as the COVID-19 pandemic worsened throughout March and into April and May 2020, we allowed personnel to work remotely to the extent possible. While we believe we have taken appropriate measures to mitigate the impacts of the COVID-19 pandemic, as the situation evolves into what could be a more prolonged pandemic, we will continue to analyze additional mitigation measures that may be needed to preserve the health and safety of our workforce and our customers and the ongoing continuity of our business operations. Those measures might include modifying workspaces, continuing social distancing policies, implementing new personal protective equipment or health screening policies at our facilities, or such other industry best practices needed to continue to maintain a healthy and safe environment for our employees amidst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Given the economic uncertainty as a result of the COVID-19 pandemic, we have taken actions to improve our current liquidity position, including temporarily postponing capital expenditures, selling equity securities to increase cash, reducing operating costs, and substantially reducing discretionary spending.</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one of the largest growers of lemons and avocados in the United States and maintain our country's food chain infrastructure and thus are considered an essential business and permitted to remain open during the ongoing pandemic, be it at reduced volumes, in order to fulfill our customers' needs. However, there is significant uncertainty around the breadth and duration of our business disruptions related to the COVID-19 pandemic, as well as its impact on the U.S. economy, the ongoing business operations of our clients and our results of operations and financial condition. While our management team is actively monitoring the impacts of the COVID-19 pandemic and may take further actions altering our business operations that we determine are in the best interests of our employees and clients or as required by federal, state, or local authorities, the full impact of the COVID-19 pandemic on our results of operations, financial condition, or liquidity for the remainder of fiscal year 2020 and beyond cannot be fully estimated at this point. The following discussions are subject to the future effects of the COVID-19 pandemic on our ongoing business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results of operations (in thousands):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60" w:type="dxa"/>
            <w:vAlign w:val="bottom"/>
          </w:tcPr>
          <w:p>
            <w:pPr>
              <w:spacing w:after="0"/>
              <w:rPr>
                <w:sz w:val="24"/>
                <w:szCs w:val="24"/>
                <w:color w:val="auto"/>
              </w:rPr>
            </w:pPr>
          </w:p>
        </w:tc>
        <w:tc>
          <w:tcPr>
            <w:tcW w:w="27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131,309</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3,477</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134,786</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134,922</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125,318</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118,741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15,557</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144,271</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136,829</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5,991</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operations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stock in Calavo Growers, Inc.</w:t>
            </w: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4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5,876</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LLCB earnings in equity investments, loss on stock in Calavo, disposals of assets and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98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20" w:type="dxa"/>
            <w:vAlign w:val="bottom"/>
          </w:tcPr>
          <w:p>
            <w:pPr>
              <w:spacing w:after="0"/>
              <w:rPr>
                <w:sz w:val="20"/>
                <w:szCs w:val="20"/>
                <w:color w:val="auto"/>
              </w:rPr>
            </w:pPr>
          </w:p>
        </w:tc>
        <w:tc>
          <w:tcPr>
            <w:tcW w:w="27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r>
      <w:tr>
        <w:trPr>
          <w:trHeight w:val="27"/>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5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Limoneira Company</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3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1,089</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7"/>
        </w:trPr>
        <w:tc>
          <w:tcPr>
            <w:tcW w:w="5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2,080</w:t>
            </w:r>
          </w:p>
        </w:tc>
        <w:tc>
          <w:tcPr>
            <w:tcW w:w="3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7,555</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r>
      <w:tr>
        <w:trPr>
          <w:trHeight w:val="27"/>
        </w:trPr>
        <w:tc>
          <w:tcPr>
            <w:tcW w:w="5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stock in Calavo Growers, Inc.</w:t>
            </w:r>
          </w:p>
        </w:tc>
        <w:tc>
          <w:tcPr>
            <w:tcW w:w="90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1,775</w:t>
            </w:r>
          </w:p>
        </w:tc>
        <w:tc>
          <w:tcPr>
            <w:tcW w:w="3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6,299</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7"/>
        </w:trPr>
        <w:tc>
          <w:tcPr>
            <w:tcW w:w="5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LLCB earnings in equity investment, net</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asset disposals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2020 Compared to the Three Months Ended July 31,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net revenues for the third quarter of fiscal year 2020 were $53.6 million compared to $50.9 million for the same period of fiscal year 2019. The 5% increase of $2.7 million was primarily the result of increased agribusiness revenues, as detailed below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6500" w:type="dxa"/>
            <w:vAlign w:val="bottom"/>
            <w:gridSpan w:val="8"/>
          </w:tcPr>
          <w:p>
            <w:pPr>
              <w:ind w:left="920"/>
              <w:spacing w:after="0"/>
              <w:rPr>
                <w:sz w:val="20"/>
                <w:szCs w:val="20"/>
                <w:color w:val="auto"/>
              </w:rPr>
            </w:pPr>
            <w:r>
              <w:rPr>
                <w:rFonts w:ascii="Times New Roman" w:cs="Times New Roman" w:eastAsia="Times New Roman" w:hAnsi="Times New Roman"/>
                <w:sz w:val="18"/>
                <w:szCs w:val="18"/>
                <w:b w:val="1"/>
                <w:bCs w:val="1"/>
                <w:color w:val="auto"/>
              </w:rPr>
              <w:t>Agribusiness Revenues for the Three Months Ended July 31,</w:t>
            </w:r>
          </w:p>
        </w:tc>
      </w:tr>
      <w:tr>
        <w:trPr>
          <w:trHeight w:val="27"/>
        </w:trPr>
        <w:tc>
          <w:tcPr>
            <w:tcW w:w="4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Pr>
          <w:p>
            <w:pPr>
              <w:spacing w:after="0"/>
              <w:rPr>
                <w:sz w:val="20"/>
                <w:szCs w:val="20"/>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43,234</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(3,167)</w:t>
            </w:r>
          </w:p>
        </w:tc>
        <w:tc>
          <w:tcPr>
            <w:tcW w:w="1140" w:type="dxa"/>
            <w:vAlign w:val="bottom"/>
            <w:tcBorders>
              <w:bottom w:val="single" w:sz="8" w:color="CCEEFF"/>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(7)%</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3,614</w:t>
            </w:r>
          </w:p>
        </w:tc>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143%</w:t>
            </w:r>
          </w:p>
        </w:tc>
      </w:tr>
      <w:tr>
        <w:trPr>
          <w:trHeight w:val="27"/>
        </w:trPr>
        <w:tc>
          <w:tcPr>
            <w:tcW w:w="4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1,521</w:t>
            </w:r>
          </w:p>
        </w:tc>
        <w:tc>
          <w:tcPr>
            <w:tcW w:w="1140" w:type="dxa"/>
            <w:vAlign w:val="bottom"/>
            <w:tcBorders>
              <w:bottom w:val="single" w:sz="8" w:color="CCEEFF"/>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99"/>
              </w:rPr>
              <w:t>214%</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4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788</w:t>
            </w:r>
          </w:p>
        </w:tc>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52,387</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49,631</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2,756</w:t>
            </w:r>
          </w:p>
        </w:tc>
        <w:tc>
          <w:tcPr>
            <w:tcW w:w="1140" w:type="dxa"/>
            <w:vAlign w:val="bottom"/>
            <w:tcBorders>
              <w:bottom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500" w:hanging="330"/>
        <w:spacing w:after="0" w:line="258"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in the third quarter of fiscal year 2020 was primarily the result of lower prices partially offset by increased volume of fresh lemons sold compared to the same period in fiscal year 2019. During the third quarter of fiscal years 2020 and 2019, fresh lemon sales were $35.4 million and $35.8 million on, in aggregate, 1,979,000 and 1,876,000 cartons of lemons sold at average per carton prices of $17.91 and $19.09, respectively. COVID-19 related food service closures reduced the demand for lemons in the food service marketplace and created an over-supply in the retail marketplace. This oversupply of lemons resulted in lower average per carton prices in the third quarter of fiscal year 2020 compared to the same period in fiscal year 2019. Lemon revenues in the third quarter of fiscal years 2020 and 2019 included $3.8 million and $5.2 million shipping and handling, $1.1 million and $3.6 million lemon by-products and $2.9 million and $1.8 million other lemon sales, respectively.</w:t>
      </w:r>
    </w:p>
    <w:p>
      <w:pPr>
        <w:spacing w:after="0" w:line="210"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increase in the third quarter of fiscal year 2020 was primarily the result of increased volume partially offset by lower prices of avocados sold compared to the same period in fiscal year 2019. During the third quarter of fiscal years 2020 and 2019, we sold 6.1 million and 1.4 million pounds of avocados at an average per pound price of $1.00 and $1.80, respectively.</w:t>
      </w:r>
    </w:p>
    <w:p>
      <w:pPr>
        <w:spacing w:after="0" w:line="202"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increase in the third quarter of fiscal year 2020 was primarily the result of higher prices partially offset by decreased volume of oranges sold compared to the same period in fiscal year 2019. In the third quarter of fiscal years 2020 and 2019, we sold 184,000 and 382,000 40-pound carton equivalents of oranges at an average per carton price of $12.13 and $1.86, respectively.</w:t>
      </w:r>
    </w:p>
    <w:p>
      <w:pPr>
        <w:spacing w:after="0" w:line="202"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During the third quarter of fiscal year 2020, we sold 72,000 40-pound carton equivalents of specialty citrus at an average per carton price of $10.94. There were no sales in the third quarter of fiscal year 2019.</w:t>
      </w:r>
    </w:p>
    <w:p>
      <w:pPr>
        <w:sectPr>
          <w:pgSz w:w="11900" w:h="16838" w:orient="portrait"/>
          <w:cols w:equalWidth="0" w:num="1">
            <w:col w:w="11240"/>
          </w:cols>
          <w:pgMar w:left="320" w:top="10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Costs and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costs and expenses in the third quarter of fiscal year 2020 were $51.7 million compared to $48.8 million in the same period of fiscal year 2019. The 6% increase of $3.0 million was primarily attributable to increases in our agribusiness costs partially offset by decreases in selling, general and administrative expenses. Costs and expenses associated with our agribusiness include packing costs, harvest costs, growing costs, costs related to the fruit we procure and sell for third-party growers and depreciation and amortization expense, as detailed below ($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666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Three Months Ended July 31,</w:t>
            </w:r>
          </w:p>
        </w:tc>
      </w:tr>
      <w:tr>
        <w:trPr>
          <w:trHeight w:val="27"/>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3,469</w:t>
            </w:r>
          </w:p>
        </w:tc>
        <w:tc>
          <w:tcPr>
            <w:tcW w:w="1160" w:type="dxa"/>
            <w:vAlign w:val="bottom"/>
            <w:tcBorders>
              <w:bottom w:val="single" w:sz="8" w:color="CCEEFF"/>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402</w:t>
            </w:r>
          </w:p>
        </w:tc>
        <w:tc>
          <w:tcPr>
            <w:tcW w:w="11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1"/>
              </w:rPr>
              <w:t>6%</w:t>
            </w: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(152)</w:t>
            </w:r>
          </w:p>
        </w:tc>
        <w:tc>
          <w:tcPr>
            <w:tcW w:w="1160" w:type="dxa"/>
            <w:vAlign w:val="bottom"/>
            <w:tcBorders>
              <w:bottom w:val="single" w:sz="8" w:color="CCEEFF"/>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w w:val="94"/>
              </w:rPr>
              <w:t>(2)%</w:t>
            </w:r>
          </w:p>
        </w:tc>
      </w:tr>
      <w:tr>
        <w:trPr>
          <w:trHeight w:val="24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costs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14,627</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(88)</w:t>
            </w:r>
          </w:p>
        </w:tc>
        <w:tc>
          <w:tcPr>
            <w:tcW w:w="11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4"/>
              </w:rPr>
              <w:t>(1)%</w:t>
            </w: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448</w:t>
            </w:r>
          </w:p>
        </w:tc>
        <w:tc>
          <w:tcPr>
            <w:tcW w:w="1160" w:type="dxa"/>
            <w:vAlign w:val="bottom"/>
            <w:tcBorders>
              <w:bottom w:val="single" w:sz="8" w:color="CCEEFF"/>
            </w:tcBorders>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color w:val="auto"/>
              </w:rPr>
              <w:t>25%</w:t>
            </w:r>
          </w:p>
        </w:tc>
      </w:tr>
      <w:tr>
        <w:trPr>
          <w:trHeight w:val="26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42,747</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4,079</w:t>
            </w:r>
          </w:p>
        </w:tc>
        <w:tc>
          <w:tcPr>
            <w:tcW w:w="1160" w:type="dxa"/>
            <w:vAlign w:val="bottom"/>
            <w:tcBorders>
              <w:top w:val="single" w:sz="8" w:color="auto"/>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rPr>
              <w:t>10%</w:t>
            </w:r>
          </w:p>
        </w:tc>
      </w:tr>
      <w:tr>
        <w:trPr>
          <w:trHeight w:val="21"/>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500" w:hanging="330"/>
        <w:spacing w:after="0" w:line="258"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primarily consist of the costs to pack lemons for sale such as labor and benefits, cardboard cartons, fruit treatments, packing and shipping supplies and facility operating costs. In the third quarter of fiscal years 2020 and 2019, lemon packing costs excluding shipping costs were $15.9 million and $12.0 million, respectively. During the third quarter of fiscal years 2020 and 2019, we packed and sold 1,979,000 and 1,876,000 cartons of lemons at average per carton costs of $8.05 and $6.41, respectively. Additionally, packing costs included $1.1 million and $1.5 million of shipping costs in the third quarter of fiscal years 2020 and 2019, respectively.</w:t>
      </w:r>
    </w:p>
    <w:p>
      <w:pPr>
        <w:spacing w:after="0" w:line="210"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The increase in the third quarter of fiscal year 2020 was primarily the result of increased volume of avocados harvested compared to the same period in fiscal year 2019.</w:t>
      </w:r>
    </w:p>
    <w:p>
      <w:pPr>
        <w:spacing w:after="0" w:line="188"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In the third quarter of fiscal year 2020 growing costs were similar to the same period in fiscal year 2019. Growing costs reflect farm management decisions based on weather, harvest timing and crop conditions.</w:t>
      </w:r>
    </w:p>
    <w:p>
      <w:pPr>
        <w:spacing w:after="0" w:line="202" w:lineRule="exact"/>
        <w:rPr>
          <w:rFonts w:ascii="Times New Roman" w:cs="Times New Roman" w:eastAsia="Times New Roman" w:hAnsi="Times New Roman"/>
          <w:sz w:val="18"/>
          <w:szCs w:val="18"/>
          <w:color w:val="auto"/>
        </w:rPr>
      </w:pPr>
    </w:p>
    <w:p>
      <w:pPr>
        <w:jc w:val="both"/>
        <w:ind w:left="500" w:hanging="330"/>
        <w:spacing w:after="0" w:line="258"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We sell fruit that we grow and fruit that we procure from other growers. The cost of procuring fruit from other growers is referred to as third-party grower costs. The decrease in the third quarter of fiscal year 2020 was primarily attributable to lower prices partially offset by increased volume of third-party grower fruit sold. Of the 1,979,000 and 1,876,000 cartons of lemons packed and sold during the third quarter of fiscal years 2020 and 2019, respectively, 1,269,000 (64%) and 1,101,000 (59%) cartons were procured from third-party growers at average per carton prices of $8.78 and $11.65, respectively.</w:t>
      </w:r>
    </w:p>
    <w:p>
      <w:pPr>
        <w:spacing w:after="0" w:line="210"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Depreciation and amortization expense for the third quarter of fiscal year 2020 was approximately $0.4 million higher than the same period of fiscal year 2019, primarily due to the acquisition of Trapani Fresh in May 2019 and increased assets placed into service.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costs and expenses were $3.9 million in the three months ended July 31, 2020 compared to $5.0 million in the three months ended July 31, 2019. The $1.1 million decrease was primarily the result of $0.9 million decrease in general and administrative expenses, including certain corporate overhead expenses and $0.2 million decrease in salaries, benefits and incentive compensation as of July 31, 2020 compared to July 31,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for the three months ended July 31, 2020 was comprised primarily of $0.8 million of equity in earnings of investments partially offset by $0.1 million of interest expense, net. Other expense for the three months ended July 31, 2019 was comprised primarily of $1.8 million loss on stock in Calavo Growers, Inc. and $0.8 million of interest expense, net, partially offset by $0.5 million of equity in investments.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estimated income tax provision of $0.8 million and $0.5 million in the third quarter of fiscal years 2020 and 2019 on pre-tax income of $2.6 million and $0.1 million, respectively. The tax provision recorded for the third quarter of fiscal year 2020 differs from the U.S. federal statutory tax rate of 21.0% due primarily to a $0.6 million discrete benefit related to the CARES Act. Our projected annual effective blended tax rate for fiscal year 2020 excluding discrete items is approximately 25.9%.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 represents 10% and 49% of the net loss (income) of PDA and Trapani Fresh,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2020 Compared to the Nine Months Ended July 31,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revenues were similar for the nine months ended July 31, 2020 at $134.8 million compared to $134.9 million for the nine months ended July 31, 2019, which was primarily the result of offsetting agribusiness revenues, as detailed below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1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Agribusiness Revenues for the Nine Months Ended July31,</w:t>
            </w:r>
          </w:p>
        </w:tc>
        <w:tc>
          <w:tcPr>
            <w:tcW w:w="1000" w:type="dxa"/>
            <w:vAlign w:val="bottom"/>
          </w:tcPr>
          <w:p>
            <w:pPr>
              <w:spacing w:after="0"/>
              <w:rPr>
                <w:sz w:val="20"/>
                <w:szCs w:val="20"/>
                <w:color w:val="auto"/>
              </w:rPr>
            </w:pPr>
          </w:p>
        </w:tc>
      </w:tr>
      <w:tr>
        <w:trPr>
          <w:trHeight w:val="27"/>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20"/>
                <w:szCs w:val="20"/>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Lemons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111,983</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(9,396)</w:t>
            </w:r>
          </w:p>
        </w:tc>
        <w:tc>
          <w:tcPr>
            <w:tcW w:w="1000" w:type="dxa"/>
            <w:vAlign w:val="bottom"/>
            <w:tcBorders>
              <w:bottom w:val="single" w:sz="8" w:color="CCEEFF"/>
            </w:tcBorders>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9"/>
              </w:rPr>
              <w:t>(8)%</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Avocados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5,261</w:t>
            </w:r>
          </w:p>
        </w:tc>
        <w:tc>
          <w:tcPr>
            <w:tcW w:w="1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172%</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Oranges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3,377</w:t>
            </w:r>
          </w:p>
        </w:tc>
        <w:tc>
          <w:tcPr>
            <w:tcW w:w="1000" w:type="dxa"/>
            <w:vAlign w:val="bottom"/>
            <w:tcBorders>
              <w:bottom w:val="single" w:sz="8" w:color="CCEEFF"/>
            </w:tcBorders>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813</w:t>
            </w:r>
          </w:p>
        </w:tc>
        <w:tc>
          <w:tcPr>
            <w:tcW w:w="10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4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Agribusiness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131,309</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131,254</w:t>
            </w: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55</w:t>
            </w:r>
          </w:p>
        </w:tc>
        <w:tc>
          <w:tcPr>
            <w:tcW w:w="1000" w:type="dxa"/>
            <w:vAlign w:val="bottom"/>
            <w:tcBorders>
              <w:bottom w:val="single" w:sz="8" w:color="auto"/>
            </w:tcBorders>
            <w:shd w:val="clear" w:color="auto" w:fill="CCEEFF"/>
          </w:tcPr>
          <w:p>
            <w:pPr>
              <w:jc w:val="center"/>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left="500" w:hanging="330"/>
        <w:spacing w:after="0" w:line="257" w:lineRule="auto"/>
        <w:tabs>
          <w:tab w:leader="none" w:pos="4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decrease in the first nine months of fiscal year 2020 was primarily the result of lower prices partially offset by increased volume of fresh lemons sold compared to the same period in fiscal year 2019. During the first nine months of fiscal years 2020 and 2019, fresh lemon sales were $87.8 million and $93.1 million on, in aggregate, 4,734,000 and 4,448,000 cartons of lemons sold at average per carton prices of $18.54 and $20.92, respectively. COVID-19 related food service closures reduced the demand for lemons in the food service marketplace and created an over-supply in the retail marketplace. This oversupply of lemons resulted in lower average per carton prices in the second and third quarters of fiscal year 2020 compared to the same periods in fiscal year 2019. Lemon revenues included $11.8 million and $13.3 million shipping and handling, $3.7 million and $9.9 million lemon by-products and $8.8 million and $5.1 million other lemon sales during the first nine months of fiscal years 2020 and 2019, respectively.</w:t>
      </w:r>
    </w:p>
    <w:p>
      <w:pPr>
        <w:spacing w:after="0" w:line="21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increase in the first nine months of fiscal year 2020 was primarily the result of increased volume partially offset by lower prices of avocados sold compared to the same period in fiscal year 2019. During the first nine months of fiscal years 2020 and 2019, we sold 7.5 million and 1.8 million pounds of avocados at an average per pound price of $1.11 and $1.71, respectively.</w:t>
      </w:r>
    </w:p>
    <w:p>
      <w:pPr>
        <w:spacing w:after="0" w:line="202"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Oranges: The increase in the first nine months of fiscal year 2020 was primarily the result of higher prices partially offset by decreased volume of oranges sold compared to the same period in fiscal year 2019. During the nine months of fiscal years 2020 and 2019, we sold 736,000 and 863,000 40-pound carton equivalents of oranges at average per carton prices of $9.74 and $4.40, respectively.</w:t>
      </w:r>
    </w:p>
    <w:p>
      <w:pPr>
        <w:spacing w:after="0" w:line="202"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increase in the first nine months of fiscal year 2020 was primarily the result of higher prices partially offset by decreased volume of specialty citrus sold compared to the same period in fiscal year 2019. During the first nine months of fiscal years 2020 and 2019, we sold 328,000 and 358,000 40-pound carton equivalents of specialty citrus at an average per carton price of $11.68 and $8.43,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and Expenses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costs and expenses in the first nine months of fiscal year 2020 were $144.3 million compared to $136.8 million in the same period of fiscal year 2019. The 5% increase of $7.4 million was primarily attributable to increases in our agribusiness and selling, general and administrative costs and expenses. Costs and expenses associated with our agribusiness include packing costs, harvest</w:t>
      </w:r>
    </w:p>
    <w:p>
      <w:pPr>
        <w:sectPr>
          <w:pgSz w:w="11900" w:h="16838" w:orient="portrait"/>
          <w:cols w:equalWidth="0" w:num="1">
            <w:col w:w="11240"/>
          </w:cols>
          <w:pgMar w:left="320" w:top="92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costs, growing costs, costs related to the fruit we procure and sell for third-party growers and depreciation and amortization expense, as detailed below ($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6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Nine Months Ended July 31,</w:t>
            </w:r>
          </w:p>
        </w:tc>
      </w:tr>
      <w:tr>
        <w:trPr>
          <w:trHeight w:val="27"/>
        </w:trPr>
        <w:tc>
          <w:tcPr>
            <w:tcW w:w="4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Pr>
          <w:p>
            <w:pPr>
              <w:spacing w:after="0"/>
              <w:rPr>
                <w:sz w:val="20"/>
                <w:szCs w:val="20"/>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Packing costs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37,279</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4,307</w:t>
            </w:r>
          </w:p>
        </w:tc>
        <w:tc>
          <w:tcPr>
            <w:tcW w:w="1140" w:type="dxa"/>
            <w:vAlign w:val="bottom"/>
            <w:tcBorders>
              <w:bottom w:val="single" w:sz="8" w:color="CCEEFF"/>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Harvest costs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2,017</w:t>
            </w:r>
          </w:p>
        </w:tc>
        <w:tc>
          <w:tcPr>
            <w:tcW w:w="11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Growing costs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2,161</w:t>
            </w:r>
          </w:p>
        </w:tc>
        <w:tc>
          <w:tcPr>
            <w:tcW w:w="1140" w:type="dxa"/>
            <w:vAlign w:val="bottom"/>
            <w:tcBorders>
              <w:bottom w:val="single" w:sz="8" w:color="CCEEFF"/>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Third-party grower costs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(3,072)</w:t>
            </w:r>
          </w:p>
        </w:tc>
        <w:tc>
          <w:tcPr>
            <w:tcW w:w="11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(7)%</w:t>
            </w:r>
          </w:p>
        </w:tc>
      </w:tr>
      <w:tr>
        <w:trPr>
          <w:trHeight w:val="27"/>
        </w:trPr>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1,164</w:t>
            </w:r>
          </w:p>
        </w:tc>
        <w:tc>
          <w:tcPr>
            <w:tcW w:w="1140" w:type="dxa"/>
            <w:vAlign w:val="bottom"/>
            <w:tcBorders>
              <w:bottom w:val="single" w:sz="8" w:color="CCEEFF"/>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125,318</w:t>
            </w: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118,741</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6,577</w:t>
            </w:r>
          </w:p>
        </w:tc>
        <w:tc>
          <w:tcPr>
            <w:tcW w:w="1140" w:type="dxa"/>
            <w:vAlign w:val="bottom"/>
            <w:tcBorders>
              <w:top w:val="single" w:sz="8" w:color="auto"/>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6%</w:t>
            </w:r>
          </w:p>
        </w:tc>
      </w:tr>
      <w:tr>
        <w:trPr>
          <w:trHeight w:val="20"/>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500" w:hanging="330"/>
        <w:spacing w:after="0" w:line="258"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primarily consist of the costs to pack lemons for sale such as labor and benefits, cardboard cartons, fruit treatments, packing and shipping supplies and facility operating costs. Lemon packing costs excluding shipping costs were $34.9 million and $30.2 million in the first nine months of fiscal years 2020 and 2019, respectively. During the first nine months of fiscal years 2020 and 2019, we packed and sold 4,734,000 and 4,448,000 cartons of lemons at average per carton costs of $7.38 and $6.78, respectively. Additionally, packing costs included $2.4 million and $2.8 million of shipping costs in the first nine months of fiscal years 2020 and 2019.</w:t>
      </w:r>
    </w:p>
    <w:p>
      <w:pPr>
        <w:spacing w:after="0" w:line="210"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The increase in the first nine months of fiscal year 2020 was primarily the result of increased volume of lemons and avocados harvested compared to the same period in fiscal year 2019.</w:t>
      </w:r>
    </w:p>
    <w:p>
      <w:pPr>
        <w:spacing w:after="0" w:line="188"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increase in the first nine months of fiscal year 2020 compared to the same period in fiscal year 2019 was primarily due to an increase in cultivation costs. Growing costs reflect farm management decisions based on weather, harvest timing and crop conditions.</w:t>
      </w:r>
    </w:p>
    <w:p>
      <w:pPr>
        <w:spacing w:after="0" w:line="206" w:lineRule="exact"/>
        <w:rPr>
          <w:rFonts w:ascii="Times New Roman" w:cs="Times New Roman" w:eastAsia="Times New Roman" w:hAnsi="Times New Roman"/>
          <w:sz w:val="18"/>
          <w:szCs w:val="18"/>
          <w:color w:val="auto"/>
        </w:rPr>
      </w:pPr>
    </w:p>
    <w:p>
      <w:pPr>
        <w:jc w:val="both"/>
        <w:ind w:left="500" w:hanging="330"/>
        <w:spacing w:after="0" w:line="258"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We sell fruit that we grow and fruit that we procure from other growers. The cost of procuring fruit from other growers is referred to as third-party grower costs. The decrease in the first nine months of fiscal year 2020 is primarily attributable to lower prices partially offset by increased volume of third-party grower fruit sold. Of the 4,734,000 and 4,448,000 cartons of lemons packed and sold during the first nine months of fiscal years 2020 and 2019, respectively, 2,856,000 (60%) and 2,628,000 (59%) cartons were procured from third-party growers at average per carton prices of $11.61 and $15.87, respectively.</w:t>
      </w:r>
    </w:p>
    <w:p>
      <w:pPr>
        <w:spacing w:after="0" w:line="210"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Depreciation and amortization expense for the first nine months of fiscal year 2020 was approximately $1.2 million higher than the same period of fiscal year 2019, primarily due to the acquisition of Trapani Fresh in May 2019.</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costs and expenses were $15.6 million in the nine months ended July 31, 2020 compared to $14.8 million in the nine months ended July 31, 2019. The $0.7 million increase was primarily the result of $0.5 million increase in training costs associated with an ERP implementation and $0.4 million increase of other selling, general and administrative expenses, including certain corporate overhead expenses, partially offset by $0.2 million decrease in salaries, benefits and incentive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expense for the nine months ended July 31, 2020 was comprised primarily of $6.3 million loss on stock in Calavo Growers, Inc. and $1.1 million of interest expense, net, partially offset by $0.3 million of equity in earnings of investments. Other expense for the nine months ended July 31, 2019 was comprised primarily of $2.1 million loss on stock in Calavo Growers, Inc. and $1.3 million of interest expense, net, partially offset by $2.4 million of equity in earnings of investments.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estimated income tax benefit of $5.9 million and $0.2 million in the first nine months of fiscal years 2020 and 2019 on pre-tax loss of $16.3 million and $2.5 million, respectively. The tax benefit recorded for the first nine months of fiscal year 2020 differs from the U.S. federal statutory tax rate of 21.0% due primarily to a $2.0 million discrete benefit related to the CARES Act. Our projected annual effective blended tax rate for fiscal year 2020 excluding discrete items is approximately 25.9%.</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Net Loss (Income) Attributable to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 represents 10% and 49% of the net loss (income) of PDA and Trapani Fresh,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20 - Segment Information of the notes to consolidated financial statements included in this Quarterly Report on Form 10-Q for additional information regarding our operating segments.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July 31, 2020 Compared to the Three Months Ended July 31,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July 31,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6"/>
        </w:trPr>
        <w:tc>
          <w:tcPr>
            <w:tcW w:w="3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1,172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53,559</w:t>
            </w:r>
          </w:p>
        </w:tc>
      </w:tr>
      <w:tr>
        <w:trPr>
          <w:trHeight w:val="198"/>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39,459</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52,387</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1,172</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53,559</w:t>
            </w:r>
          </w:p>
        </w:tc>
      </w:tr>
      <w:tr>
        <w:trPr>
          <w:trHeight w:val="198"/>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39,694</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15,988</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44,555</w:t>
            </w:r>
          </w:p>
        </w:tc>
        <w:tc>
          <w:tcPr>
            <w:tcW w:w="16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4,633</w:t>
            </w:r>
          </w:p>
        </w:tc>
        <w:tc>
          <w:tcPr>
            <w:tcW w:w="2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49,188</w:t>
            </w: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286</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2,557</w:t>
            </w:r>
          </w:p>
        </w:tc>
      </w:tr>
      <w:tr>
        <w:trPr>
          <w:trHeight w:val="20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1,814</w:t>
            </w:r>
          </w:p>
        </w:tc>
      </w:tr>
      <w:tr>
        <w:trPr>
          <w:trHeight w:val="21"/>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months ended July 31,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200" w:type="dxa"/>
            <w:vAlign w:val="bottom"/>
          </w:tcPr>
          <w:p>
            <w:pPr>
              <w:spacing w:after="0"/>
              <w:rPr>
                <w:sz w:val="12"/>
                <w:szCs w:val="12"/>
                <w:color w:val="auto"/>
              </w:rPr>
            </w:pPr>
          </w:p>
        </w:tc>
        <w:tc>
          <w:tcPr>
            <w:tcW w:w="7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6"/>
        </w:trPr>
        <w:tc>
          <w:tcPr>
            <w:tcW w:w="3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41,169</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50,869</w:t>
            </w:r>
          </w:p>
        </w:tc>
      </w:tr>
      <w:tr>
        <w:trPr>
          <w:trHeight w:val="198"/>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41,169</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49,631</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1,238</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50,869</w:t>
            </w:r>
          </w:p>
        </w:tc>
      </w:tr>
      <w:tr>
        <w:trPr>
          <w:trHeight w:val="198"/>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13,524</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40,924</w:t>
            </w:r>
          </w:p>
        </w:tc>
        <w:tc>
          <w:tcPr>
            <w:tcW w:w="16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5,747</w:t>
            </w:r>
          </w:p>
        </w:tc>
        <w:tc>
          <w:tcPr>
            <w:tcW w:w="2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46,671</w:t>
            </w:r>
          </w:p>
        </w:tc>
      </w:tr>
      <w:tr>
        <w:trPr>
          <w:trHeight w:val="20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257</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2,080</w:t>
            </w:r>
          </w:p>
        </w:tc>
      </w:tr>
      <w:tr>
        <w:trPr>
          <w:trHeight w:val="20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(4,766)</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2,118</w:t>
            </w: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Lemons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of fiscal years 2020 and 2019, our fresh lemons segment total net revenues were $39.5 million and $41.2 million, respectively. The 4% decrease of $1.7 million was primarily due to decreases in fresh lemon carton sales of $0.4 million and lemon by-products of $2.5 million, partially offset by an increase in brokerage and other sales of $1.1 million.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fresh lemons segment include harvest costs, growing costs and costs of fruit we procure from third-party growers. For the third quarter of fiscal years 2020 and 2019, our fresh lemons segment costs and expenses were $39.7 million and $35.7 million, respectively. The 11% increase of $4.0 million primarily consisted of the following:</w:t>
      </w:r>
    </w:p>
    <w:p>
      <w:pPr>
        <w:spacing w:after="0" w:line="176" w:lineRule="exact"/>
        <w:rPr>
          <w:sz w:val="20"/>
          <w:szCs w:val="20"/>
          <w:color w:val="auto"/>
        </w:rPr>
      </w:pPr>
    </w:p>
    <w:p>
      <w:pPr>
        <w:ind w:left="480" w:hanging="310"/>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third quarter of fiscal year 2020 were $0.3 million lower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third quarter of fiscal year 2020 were $2.3 million lower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for the third quarter of fiscal year 2020 were $0.5 million lower than the same period of fiscal year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9" w:name="page40"/>
    <w:bookmarkEnd w:id="39"/>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 for the third quarter of fiscal year 2020 were $1.1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costs and expenses for the third quarter of fiscal year 2020 were $6.1 million higher than the same period of fiscal year 2019.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Lemon Packing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Lemon packing segment revenue is comprised of intersegment packing revenue and shipping and handling revenue. For the third quarter of fiscal years 2020 and 2019, our lemon packing segment total net revenues were $20.1 million and $15.5 million,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third quarter of fiscal years 2020 and 2019, our lemon packing costs and expenses were $16.0 million and $13.5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years 2020 and 2019, lemon packing segment operating income per carton sold was $2.08 and $1.05, respectively.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third quarter of fiscal years 2020 and 2019, the lemon packing segment included $16.3 million and $10.3 million, respectively, of intersegment revenues that were charged to the fresh lemons segment to pack lemons for sale. Such intersegment revenues and expenses are eliminated in our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Avocados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years 2020 and 2019, our avocados segment had total net revenues of $6.1 million and $2.5 million,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harvest and growing costs. For the third quarter of fiscal years 2020 and 2019, our avocados segment costs and expenses were $2.5 million and $1.2 million, respectively. The 114% increase of $1.4 million primarily consisted of the following:</w:t>
      </w:r>
    </w:p>
    <w:p>
      <w:pPr>
        <w:spacing w:after="0" w:line="176" w:lineRule="exact"/>
        <w:rPr>
          <w:sz w:val="20"/>
          <w:szCs w:val="20"/>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third quarter of fiscal year 2020 were $0.6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third quarter of fiscal year 2020 were $0.7 million higher than the same period of fiscal year 2019.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Agribusiness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third quarter of fiscal years 2020 and 2019, our other agribusiness segment total net revenues were $3.0 million and $0.7 million, respectively. The 325% increase of $2.3 million primarily consisted of the following:</w:t>
      </w:r>
    </w:p>
    <w:p>
      <w:pPr>
        <w:spacing w:after="0" w:line="162" w:lineRule="exact"/>
        <w:rPr>
          <w:sz w:val="20"/>
          <w:szCs w:val="20"/>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revenues for the third quarter of fiscal year 2020 were $1.5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revenues for the third quarter of fiscal year 2020 were $0.8 million higher than the same period of fiscal year 2019.</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harvest costs, growing costs and purchased fruit costs. For the third quarter of fiscal years 2020 and 2019, our other agribusiness costs and expenses were $2.7 million and $0.8 million, respectively. The 223% increase of $1.8 million primarily consisted of the following:</w:t>
      </w:r>
    </w:p>
    <w:p>
      <w:pPr>
        <w:spacing w:after="0" w:line="203" w:lineRule="exact"/>
        <w:rPr>
          <w:sz w:val="20"/>
          <w:szCs w:val="20"/>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third quarter of fiscal year 2020 were $0.1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third quarter of fiscal year 2020 were $1.3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fruit costs for the third quarter of fiscal year 2020 were $0.4 million higher than the same period of fiscal year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Total agribusiness depreciation and amortization expenses for the third quarter of fiscal year 2020 were $0.4 million higher than the same period of fiscal year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rental operations had total net revenues of approximately $1.2 million for the third quarter of fiscal years 2020 and 2019.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in rental operations and real estate development for the third quarter of fiscal years 2020 and 2019 were similar at approximately $1.0 million. Depreciation and amortization expenses for the third quarter of fiscal years 2020 and 2019 were similar at approximately $0.3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and expenses include other costs not allocated to the operating segments. Selling, general and administrative costs and expenses for the third quarter of fiscal year 2020 were $1.1 million lower than the same period of fiscal year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2020 Compared to the Nine Months Ended July 31,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nine months ended July 31,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60" w:type="dxa"/>
            <w:vAlign w:val="bottom"/>
          </w:tcPr>
          <w:p>
            <w:pPr>
              <w:spacing w:after="0"/>
              <w:rPr>
                <w:sz w:val="12"/>
                <w:szCs w:val="12"/>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6"/>
        </w:trPr>
        <w:tc>
          <w:tcPr>
            <w:tcW w:w="3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100,231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3,477</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134,786</w:t>
            </w:r>
          </w:p>
        </w:tc>
      </w:tr>
      <w:tr>
        <w:trPr>
          <w:trHeight w:val="198"/>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31,889</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(31,889)</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100,231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131,309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3,477</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134,786</w:t>
            </w:r>
          </w:p>
        </w:tc>
      </w:tr>
      <w:tr>
        <w:trPr>
          <w:trHeight w:val="198"/>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101,006</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34,925</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(31,889)</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9,990</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118,603</w:t>
            </w:r>
          </w:p>
        </w:tc>
        <w:tc>
          <w:tcPr>
            <w:tcW w:w="16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18,113</w:t>
            </w:r>
          </w:p>
        </w:tc>
        <w:tc>
          <w:tcPr>
            <w:tcW w:w="2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136,716</w:t>
            </w:r>
          </w:p>
        </w:tc>
      </w:tr>
      <w:tr>
        <w:trPr>
          <w:trHeight w:val="20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840</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7,555</w:t>
            </w:r>
          </w:p>
        </w:tc>
      </w:tr>
      <w:tr>
        <w:trPr>
          <w:trHeight w:val="20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(15,476)</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(9,485)</w:t>
            </w:r>
          </w:p>
        </w:tc>
      </w:tr>
      <w:tr>
        <w:trPr>
          <w:trHeight w:val="21"/>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nine months ended July 31,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Fresh</w:t>
            </w:r>
          </w:p>
        </w:tc>
        <w:tc>
          <w:tcPr>
            <w:tcW w:w="180" w:type="dxa"/>
            <w:vAlign w:val="bottom"/>
          </w:tcPr>
          <w:p>
            <w:pPr>
              <w:spacing w:after="0"/>
              <w:rPr>
                <w:sz w:val="12"/>
                <w:szCs w:val="12"/>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Lemon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88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6"/>
        </w:trPr>
        <w:tc>
          <w:tcPr>
            <w:tcW w:w="3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Lemons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Packing</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Avocados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Agribusiness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3,668</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134,922</w:t>
            </w:r>
          </w:p>
        </w:tc>
      </w:tr>
      <w:tr>
        <w:trPr>
          <w:trHeight w:val="198"/>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Intersegment revenue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108,090</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131,254</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3,668</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134,922</w:t>
            </w:r>
          </w:p>
        </w:tc>
      </w:tr>
      <w:tr>
        <w:trPr>
          <w:trHeight w:val="198"/>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95,650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32,972</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113,190</w:t>
            </w:r>
          </w:p>
        </w:tc>
        <w:tc>
          <w:tcPr>
            <w:tcW w:w="160" w:type="dxa"/>
            <w:vAlign w:val="bottom"/>
          </w:tcPr>
          <w:p>
            <w:pPr>
              <w:spacing w:after="0"/>
              <w:rPr>
                <w:sz w:val="17"/>
                <w:szCs w:val="17"/>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17,312</w:t>
            </w:r>
          </w:p>
        </w:tc>
        <w:tc>
          <w:tcPr>
            <w:tcW w:w="2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130,502</w:t>
            </w:r>
          </w:p>
        </w:tc>
      </w:tr>
      <w:tr>
        <w:trPr>
          <w:trHeight w:val="20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776</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6,327</w:t>
            </w:r>
          </w:p>
        </w:tc>
      </w:tr>
      <w:tr>
        <w:trPr>
          <w:trHeight w:val="20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(14,420)</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(1,907)</w:t>
            </w: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Fresh Lemons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nine months of fiscal years 2020 and 2019, our fresh lemons segment total net revenues were $100.2 million and $108.1 million, respectively. The 7% decrease of $7.9 million was primarily due to decreases in fresh lemon carton sales of $5.3 million and lemon by-products of $6.3 million, partially offset by an increase in brokerage and other sales of $3.7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associated with our fresh lemons segment include harvest costs, growing costs and costs of fruit we procure from third-party growers.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fiscal years 2020 and 2019, our fresh lemons segment costs and expenses were $101.0 million and $95.7 million,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6% increase of $5.4 million primarily consisted of the following:</w:t>
      </w:r>
    </w:p>
    <w:p>
      <w:pPr>
        <w:spacing w:after="0" w:line="207" w:lineRule="exact"/>
        <w:rPr>
          <w:sz w:val="20"/>
          <w:szCs w:val="20"/>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first nine months of fiscal year 2020 were $1.1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first nine months of fiscal year 2020 were $0.3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for the first nine months of fiscal year 2020 were $4.9 million lower than the same period of fiscal year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ind w:left="480" w:hanging="310"/>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costs for the first nine months of fiscal year 2020 were $2.4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Intersegment costs and expenses for the first nine months of fiscal year 2020 were $6.4 million higher than the same period of fiscal year 2019.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Lemon Packing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Lemon packing segment revenue is comprised of intersegment packing revenue and shipping and handling revenue. For the first nine months of fiscal years 2020 and 2019, our lemon packing segment total net revenues were $43.6 million and $38.8 million,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nine months of fiscal years 2020 and 2019, our lemon packing costs and expenses were $34.9 million and $33.0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fiscal years 2020 and 2019, lemon packing segment operating income per carton sold was $1.84 and $1.30, respectively.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first nine months of fiscal years 2020 and 2019, the lemon packing segment included $31.9 million and $25.5 million, respectively, of intersegment revenues that were charged to the fresh lemons segment to pack lemons for sale. Such intersegment revenues and expenses are eliminated in our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Avocados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fiscal years 2020 and 2019, our avocados segment had total net revenues of $8.3 million and $3.1 million,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avocados segment include harvest and growing costs. For the first nine months of fiscal years 2020 and 2019, our avocados segment costs and expenses were $4.6 million and $2.8 million, respectively. The 62% increase of $1.7 million primarily consisted of the following:</w:t>
      </w:r>
    </w:p>
    <w:p>
      <w:pPr>
        <w:spacing w:after="0" w:line="176" w:lineRule="exact"/>
        <w:rPr>
          <w:sz w:val="20"/>
          <w:szCs w:val="20"/>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first nine months of fiscal year 2020 were $0.8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first nine months of fiscal year 2020 were $1.0 million higher than the same period of fiscal year 2019.</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Agribusiness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fiscal years 2020 and 2019, our other agribusiness segment total net revenues were $11.0 million and $6.8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62% increase of $4.2 million primarily consisted of the following:</w:t>
      </w:r>
    </w:p>
    <w:p>
      <w:pPr>
        <w:spacing w:after="0" w:line="207" w:lineRule="exact"/>
        <w:rPr>
          <w:sz w:val="20"/>
          <w:szCs w:val="20"/>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revenues for the first nine months of fiscal year 2020 were $3.4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revenues for the first nine months of fiscal year 2020 were $0.8 million higher than the same period of fiscal year 2019.</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other agribusiness segment include harvest costs, growing costs and purchased fruit costs. For the first nine months of fiscal years 2020 and 2019, our other agribusiness costs and expenses were $10.0 million and $7.2 million, respectively. The 39% increase of $2.8 million primarily consisted of the following:</w:t>
      </w:r>
    </w:p>
    <w:p>
      <w:pPr>
        <w:spacing w:after="0" w:line="203" w:lineRule="exact"/>
        <w:rPr>
          <w:sz w:val="20"/>
          <w:szCs w:val="20"/>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first nine months of fiscal year 2020 were $0.1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first nine months of fiscal year 2020 were $0.9 million higher than the same period of fiscal year 2019.</w:t>
      </w:r>
    </w:p>
    <w:p>
      <w:pPr>
        <w:spacing w:after="0" w:line="252"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Purchased fruit costs for the first nine months of fiscal year 2020 were $1.8 million higher than the same period of fiscal year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Total agribusiness depreciation and amortization expenses for the first nine months of fiscal year 2020 were $1.2 million higher than the same period of fiscal year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rental operations had total net revenues of approximately $3.5 million and $3.7 million for the first nine months of fiscal years 2020 and 2019,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and expenses in rental operations and real estate development for the first nine months of fiscal years 2020 and 2019 were $3.4 million and $3.3 million, respectively. Depreciation and amortization expenses for the first nine months of fiscal years 2020 and 2019 were similar at approximately $0.8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and expenses include other costs not allocated to the operating segments. Selling, general and administrative costs and expenses for the first nine months of fiscal year 2020 were $0.7 million higher than the same period of fiscal year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Trailing Twelve Months Ended July 31, 2020 and 2019</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unaudited results of operations (in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2"/>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Trailing Twelve Months Ended July</w:t>
            </w:r>
          </w:p>
        </w:tc>
      </w:tr>
      <w:tr>
        <w:trPr>
          <w:trHeight w:val="238"/>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w:t>
            </w:r>
          </w:p>
        </w:tc>
        <w:tc>
          <w:tcPr>
            <w:tcW w:w="112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Agribusiness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144,723</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149,636</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Agribusiness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135,881</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4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real estate development assets</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sale of property assets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19,343</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161,124</w:t>
            </w: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(11,488)</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 earnings of investments, net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43"/>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stock in Calavo Growers, Inc.</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7"/>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attributable to noncontrolling interest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Limoneira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27" w:lineRule="exact"/>
        <w:rPr>
          <w:sz w:val="20"/>
          <w:szCs w:val="20"/>
          <w:color w:val="auto"/>
        </w:rPr>
      </w:pPr>
    </w:p>
    <w:p>
      <w:pPr>
        <w:ind w:left="500" w:hanging="330"/>
        <w:spacing w:after="0" w:line="282"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$21.6 million in the twelve months ended July 31, 2020 compared to the twelve months ended July 31, 2019 primarily due to increased agribusiness revenues, particularly increased lemon, avocado and orange sales.</w:t>
      </w:r>
    </w:p>
    <w:p>
      <w:pPr>
        <w:spacing w:after="0" w:line="188"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increased $23.2 million in the twelve months ended July 31, 2020 compared to the twelve months ended July 31, 2019 primarily due to increases in our agribusiness costs and selling, general and administrative expenses. The increase in agribusiness costs is associated with increased agribusiness production and the increase in selling, general and administrative expenses is primarily attributable to increased administrative personnel, salaries and benefits, and certain corporate expenses associated with our strategic initiatives.</w:t>
      </w:r>
    </w:p>
    <w:p>
      <w:pPr>
        <w:spacing w:after="0" w:line="206"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other expense increased $11.5 million in the twelve months ended July 31, 2020 compared to the twelve months ended July 31, 2019 primarily due to increased losses on stock in Calavo, decreased equity in earnings of investments and an increase in interest expense, net.</w:t>
      </w:r>
    </w:p>
    <w:p>
      <w:pPr>
        <w:spacing w:after="0" w:line="188"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benefit increased $4.9 million in the twelve months ended July 31, 2020 compared to the twelve months ended July 31, 2019 primarily due to a decrease in income before taxes as a result of decreased operating income and increased total other expense plus discrete items related to the CARES Act.</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July 31, 2020, net cash used in operating activities was $11.4 million compared to net cash provided by operating activities of $4.3 million for the nine months ended July 31, 2019. The significant components of our cash flows used in operating activities were as follows:</w:t>
      </w:r>
    </w:p>
    <w:p>
      <w:pPr>
        <w:spacing w:after="0" w:line="162" w:lineRule="exact"/>
        <w:rPr>
          <w:sz w:val="20"/>
          <w:szCs w:val="20"/>
          <w:color w:val="auto"/>
        </w:rPr>
      </w:pPr>
    </w:p>
    <w:p>
      <w:pPr>
        <w:jc w:val="both"/>
        <w:ind w:left="500" w:hanging="330"/>
        <w:spacing w:after="0" w:line="266"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nine months ended July 31, 2020 was $10.4 million compared to net loss of $2.3 million for the nine months ended July 31, 2019. The components of net loss in the nine months ended July 31, 2020 compared to the same period in fiscal year 2019 consist of a decrease in operating income of $7.6 million, an increase in total other expense of $6.2 million and an increase in income tax benefit of $5.7 million.</w:t>
      </w:r>
    </w:p>
    <w:p>
      <w:pPr>
        <w:spacing w:after="0" w:line="202"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to reconcile net loss to net cash (used in) provided by operating activities provided $15.4 million of cash in the nine months ended July 31, 2020 compared to providing $7.5 million of cash in the same period in fiscal year 2019, primarily due to significant changes in depreciation and amortization, loss on stock in Calavo and equity in earnings of investments.</w:t>
      </w:r>
    </w:p>
    <w:p>
      <w:pPr>
        <w:spacing w:after="0" w:line="202"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operating assets and liabilities used $16.4 million of operating cash in the nine months ended July 31, 2020 compared to using $0.9 million of operating cash in the same period in fiscal year 2019, primarily due to significant changes in accounts receivable, income tax receivable and accounts payable and growers payable.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July 31, 2020, net cash provided by investing activities was $0.3 million compared to net cash used in investing activities of $31.4 million during the same period in fiscal year 2019. Net cash provided by investing activities for the nine months ended July 31, 2020 was primarily comprised of proceeds from sale of stock in Calavo, offset by capital expenditures and investments.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were $8.2 million in the nine months ended July 31, 2020, comprised of $7.9 million for property, plant and equipment primarily related to orchard and vineyard development and $0.3 million for real estate development projects. Additionally, in the nine months ended July 31, 2020, we received proceeds from sale of stock in Calavo of $11.0 million, and contributed $2.8 million to the Joint Venture for the development of our East Area I real estate development project.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expenditures were $12.6 million in the nine months ended July 31, 2019, comprised of $12.0 million for property, plant and equipment primarily related to orchard and vineyard development and the purchase of a photovoltaic solar array and $0.6 million for real estate development projects. Additionally, in the nine months ended July 31, 2019, we purchased an agriculture property for $0.4 million, contributed $4.0 million to the Joint Venture for the development of our East Area I real estate development project and paid $15.0 million for the Trapani Fresh joint venture formation in Argentina. Additionally, we sold 10,000 shares of Calavo stock for net proceeds of $1.0 million.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July 31, 2020 and 2019, net cash financing activities was $11.5 million and $27.5 million, respectively.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$11.5 million of cash provided by financing activities during the nine months ended July 31, 2020 was primarily comprised of net borrowings of long-term debt in the amount $16.7 million partially offset by common and preferred dividends, in aggregate, of $4.4 million and purchases of shares of our common stock of $0.6 million under our share repurchase program. The $27.5 million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July 31, 2019 was primarily comprised of net borrowings of long-term debt in the amount $32.2 million partially offset by common and preferred dividends, in aggregate, of $4.4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Affecting Liquidity and Capital Resources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Company and Farm Credit West, FLCA (“Farm Credit West”) are parties to that certain Master Loan Agreement (the “Loan Agreement”), dated June 20, 2017, which includes a Revolving Credit Supplement and a Non-Revolving Credit Supplement (together, the “Supplements”).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2020, we entered into a Conversion Agreement with Farm Credit West to convert term loans to fixed interest rates effective July 1, 2020. No changes were made to the outstanding principal balances on the term loans and no cash repayments of principal were made by us. The rates are subject to a prepayment restriction period for a portion of the fixed rate term that will expire on January 1, 2021, after which we may prepay any amounts without penalty.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we entered into a revolving equity line of credit promissory note and loan agreement with Farm Credit West for a $15.0 million Revolving Equity Line of Credit (the "RELOC") secured by a first lien on the Windfall Investors, LLC property. The RELOC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Supplements and RELOC provide aggregate borrowing capacity of $130.0 million comprised of $75.0 million under the Revolving Credit Supplement, $40.0 million under the Non-Revolving Credit Supplement and $15.0 million under the RELOC. The borrowing capacity based on collateral value was $130.0 million at July 31, 2020.</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1st of each year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indebtedness under the Loan Agreement and RELOC with Farm Credit West,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the Loan Agreement we are required to comply with a minimum debt service coverage ratio (as calculated in accordance with the Loan Agreement) of 1.25:1.0 measured as of October 31 each year. On May 29, 2020, the Loan Agreement was amended to adjust the debt service ratio to 1.00:1.0 for October 31, 2020. In August 2020, Farm Credit West modified the covenant to defer measurement at October 31, 2020 and revert to a debt service coverage ratio of 1.25:1.0 measured as of October 31, 2021.</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2020, we received an annual patronage dividend of $1.0 million from Farm Credit West, of which $0.7 million was recorded as a reduction in interest expense and $0.3 million reduced our real estate development assets. In July 2020, Farm Credit West declared an additional annual cash patronage dividend of $0.6 million received in August 2020, of which we recorded $0.4 million as a reduction in interest expense and $0.2 million reduction in our real estate development assets as of July 31, 2020.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2020, we entered into a Promissory Note with City National Bank for a $3.6 million loan (the “PPP Loan”) pursuant to the Paycheck Protection Program under the CARES Act. The PPP Loan had a two-year term, an interest rate of 1.0% per annum, and was able to be prepaid at any time prior to maturity with no prepayment penalties. In April 2020, we returned the $3.6 million in proceeds from the PPP Loan.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We finance our working capital and other liquidity requirements primarily through cash from operations and our Farm Credit West Credit Facility, which includes the Loan Agreement, Supplements and RELOC. In addition, we have Farm Credit West term loans, the Wells Fargo term loan, the Banco de Chile term loan and a note payable to the sellers of a land parcel. Additional information regarding the Farm Credit West Credit Facility, the Farm Credit West term loans, the Wells Fargo term loan, the Banco de Chile term loan and the note payable can be found in the notes to consolidated financial statements included in this Quarterly Report on Form 10-Q.</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next twelve months. In addition, we have the ability to control a portion of our investing cash flows to the extent necessary based on our liquidity demands.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disclosed in our fiscal year 2019 Annual Report on Form 10-K, except as follows: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2018, the Joint Venture entered into a $45.0 million unsecured Line of Credit Loan Agreement and Promissory Note (the “Loan”) with Bank of America, N.A. to fund early development activities. The Loan originally matured in January 2020 and was extended to February 22, 2021 per the terms thereof. The interest rate on the Loan is LIBOR plus 2.85% and is payable monthly. The Loan contains certain customary default provisions and the Joint Venture may prepay any amounts outstanding under the Loan without penalty. The Joint Venture recorded a $39.4 million outstanding loan balance at July 31, 2020 related to this Loan. The obligations under the Loan are guaranteed by certain principals from Lewis and by 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and Variable Rate Debt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Details of amounts included in long-term debt can be found in the notes to consolidated financial statements included in this Quarterly Report on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and in Note 7 – Real Estate Development and Note 8 – Equity in Investments in the notes to consolidated financial statements included in our fiscal year 2019 Annual Report on Form 10-K, we have investments in joint ventures and partnerships that are accounted for using the equity method of accounting.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inflation has not had a material effect on our results of operations. However, significant increases in inflation, including in Argentina, could have an adverse impact on our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Policies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2019, we adopted Financial Accounting Standards Board ("FASB") Accounting Standards Update ("ASU") No. 2016-02, Leases (as amended, "ASU 2016-02" or the "new lease standard"). A lease is defined as a contract that conveys the right to control the use of an identified asset for a period of time in exchange for consideration. We enter into contracts that are, or contain, leases as both a lessee and a lessor. The following accounting policies have been updated as part of the adoption of the new lease standard.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Accounting for Operating Leases as a Lessee </w:t>
      </w:r>
      <w:r>
        <w:rPr>
          <w:rFonts w:ascii="Times New Roman" w:cs="Times New Roman" w:eastAsia="Times New Roman" w:hAnsi="Times New Roman"/>
          <w:sz w:val="18"/>
          <w:szCs w:val="18"/>
          <w:color w:val="auto"/>
        </w:rPr>
        <w:t>- In our ordinary course of business, we enter into leases as a lessee generally for agricultural land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packinghouse equipment. We determine if an arrangement is a lease or contains a lease at inception. Operating leases are included in other assets, accrued liabilities and other long-term liabilities on our Consolidated Balance Sheets. Operating lease right-of-use (“ROU”) assets represent the right to use an underlying asset for the lease term and lease liabilities represent the obligation to make lease payments arising from the lease, measured on a discounted basis.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Leases with an initial term of 12 months or less are not recorded on the balance sheet as we have elected to recognize lease expense for these leases on a straight-line basis over the lease term. We have material leases with related parties which are further described in Note 15 - Related-Party Transactions of the notes to consolidated financial statements included in this Quarterly Report on Form 10-Q. Certain of our agricultural land agreements contain variable costs based on a percentage of the operating results of the leased property. Such variable lease costs are expensed as incurred. These land agreements also contain costs for non-lease components such as water usage. We account for the lease and non-lease components separately. For all other agreements, we generally combine lease and non-lease components in calculating the ROU assets and lease liabilities. See Note 13 - Leases of the notes to consolidated financial statements included in this Quarterly Report on Form 10-Q for additional information.</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for Leases as a Lessor </w:t>
      </w:r>
      <w:r>
        <w:rPr>
          <w:rFonts w:ascii="Times New Roman" w:cs="Times New Roman" w:eastAsia="Times New Roman" w:hAnsi="Times New Roman"/>
          <w:sz w:val="18"/>
          <w:szCs w:val="18"/>
          <w:color w:val="auto"/>
        </w:rPr>
        <w:t>- Leases in which we act as the lessor include land and residential and commercial units and are all classified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leases. Certain of our contracts contain variable income based on a percentage of the operating results of the leased asset. Certain of our contracts contain non-lease components such as water, utilities and common area services. We have elected to not separate lease and non-lease components for our lessor arrangements and the combined component is accounted for entirely under ASC 842. The underlying asset in an operating lease arrangement is carried at depreciated cost within Property, plant and equipment, net on the consolidated balance sheets. Depreciation is calculated using the straight-line method over the useful life of the underlying asset. We recognize operating lease revenue on a straight-line basis over the lease term.</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account for our agribusiness revenue in accordance with ASC 606, Revenue from Contracts with Customers. The core principle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standard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209"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determine the appropriate method by which we recognize revenue by analyzing the nature of the products or services being provided as well as the terms and conditions of contracts or arrangements entered into with our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majority of our revenue at a point in time when we satisfy a performance obligation and transfer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Agribusiness revenue </w:t>
      </w:r>
      <w:r>
        <w:rPr>
          <w:rFonts w:ascii="Times New Roman" w:cs="Times New Roman" w:eastAsia="Times New Roman" w:hAnsi="Times New Roman"/>
          <w:sz w:val="18"/>
          <w:szCs w:val="18"/>
          <w:color w:val="auto"/>
        </w:rPr>
        <w:t>- Revenue from lemon sales is generally recognized at a point in time when the customer takes control of the fruit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packinghouse which aligns with the transfer of title to the customer. We have elected to treat any shipping and handling costs incurred after control of the goods has been transferred to the customer as agribusiness costs.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Our avocados, oranges, specialty citrus and other specialty crops are packed and sold by Calavo and other third-party packinghouses. We deliver the majority of our avocado production from our orchards to Calavo. These avocados are then packed by Calavo at its packinghouse and sold and distributed under Calavo brands to its customers primarily in the United States and Canada. Our arrangements with other third-party packinghouses related to our oranges, specialty citrus and other specialty crops are similar to our arrangement with Calavo. Our arrangements with our third-party packinghouses are such that we are the producer and supplier of the product and the third-party packinghouses are our customers.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revenues we recognize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We control the product until it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statements of operations.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or harvest period. Calavo and other third-party packinghouses are agricultural cooperatives or function in a similar manner as an agricultural cooperative. We estimate the variable consideration using 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we have the present right to payment and Calavo and other third-party packinghouses have the present right to direct the use of, and obtain substantially all of the remaining benefits from, the delivered fruit. We do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 price information provided to us by Calavo and other third-party packinghouses at the time of delivery, have not materially differed from the actual amounts that are paid after the monthly or harvest period pools are closed.</w:t>
      </w:r>
    </w:p>
    <w:p>
      <w:pPr>
        <w:spacing w:after="0" w:line="2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brokerage arrangements with third-party international packinghouses. In these arrangements, we have the exclusive ability to direct the use of, and obtain substantially all of the remaining benefits from the fruit, and are therefore acting as a principal. As such, we record the related revenue and costs of the fruit gross in the consolidated statement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crop insurance proceeds is recorded when the amount can be reasonably determined and upon establishment of the present right to payment.</w:t>
      </w:r>
    </w:p>
    <w:p>
      <w:pPr>
        <w:spacing w:after="0" w:line="2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Real Estate Development Costs </w:t>
      </w:r>
      <w:r>
        <w:rPr>
          <w:rFonts w:ascii="Times New Roman" w:cs="Times New Roman" w:eastAsia="Times New Roman" w:hAnsi="Times New Roman"/>
          <w:sz w:val="18"/>
          <w:szCs w:val="18"/>
          <w:color w:val="auto"/>
        </w:rPr>
        <w:t>- We capitalize the planning, entitlement, construction and development costs associated with our various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Costs incurred to sell the real estate are evaluated for capitalization in accordance with ASC 340-40, and incremental costs of obtaining a contract and costs to fulfill a contract are capitalized only if the costs relate directly to a specifically identified contract, enhance resources to satisfy performance obligations in the future and are expected to be recovered.</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and payment </w:t>
      </w:r>
      <w:r>
        <w:rPr>
          <w:rFonts w:ascii="Times New Roman" w:cs="Times New Roman" w:eastAsia="Times New Roman" w:hAnsi="Times New Roman"/>
          <w:sz w:val="18"/>
          <w:szCs w:val="18"/>
          <w:color w:val="auto"/>
        </w:rPr>
        <w:t>- Our payment terms vary by the type and location of our customer and the products or services offered. Payment terms differ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and customer but payment is generally required in a term ranging from 30 to 60 days from date of shipment or satisfaction of the performance obligation. We do not provide financing with extended payment terms beyond generally standard commercial payment terms for the applicable industry.</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Practical expedients and exemptions </w:t>
      </w:r>
      <w:r>
        <w:rPr>
          <w:rFonts w:ascii="Times New Roman" w:cs="Times New Roman" w:eastAsia="Times New Roman" w:hAnsi="Times New Roman"/>
          <w:sz w:val="18"/>
          <w:szCs w:val="18"/>
          <w:color w:val="auto"/>
        </w:rPr>
        <w:t>- Taxes collected from customers and remitted to government authorities and that are related to the sales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excluded from revenues.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original expected lengths of one year or less or (ii) contracts for which we recognize revenue at the amount to which we have the right to invoice for the services performed.</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PDA and San Pablo’s functional currency is the Chilean Peso. Their balance sheets are translated to U.S. dollars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rates in effect at the balance sheet dates and their income statements are translated at average exchange rates during the reporting period. The resulting foreign currency translation adjustments are recorded as a separate component of accumulated other comprehensive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Deferred income tax assets and liabilities are computed annually for differences between the financial statement and income tax bases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and Asset Acquisitions </w:t>
      </w:r>
      <w:r>
        <w:rPr>
          <w:rFonts w:ascii="Times New Roman" w:cs="Times New Roman" w:eastAsia="Times New Roman" w:hAnsi="Times New Roman"/>
          <w:sz w:val="18"/>
          <w:szCs w:val="18"/>
          <w:color w:val="auto"/>
        </w:rPr>
        <w:t>- Business combinations are accounted for under the acquisition method in accordance with ASC 805,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Combinations. The acquisition method requires identifiable assets acquired and liabilities assumed and any noncontrolling interest in the business 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We evaluate our long-lived assets including our real estate development projects for impairment when events or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circumstances indicate the carrying value of these assets may not be recoverable.</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Defined Benefit Retirement Plan </w:t>
      </w:r>
      <w:r>
        <w:rPr>
          <w:rFonts w:ascii="Times New Roman" w:cs="Times New Roman" w:eastAsia="Times New Roman" w:hAnsi="Times New Roman"/>
          <w:sz w:val="18"/>
          <w:szCs w:val="18"/>
          <w:color w:val="auto"/>
        </w:rPr>
        <w:t>- As discussed in the notes to our consolidated financial statements, we sponsor a defined benefit retirement plan that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frozen in June 2004, and no future benefits accrued to participants subsequent to that time. Ongoing accounting for this plan under FASB ASC 715 provides guidance as to, among other things, future estimated pension expense, pension liability and minimum funding requirements. Third-party actuarial consultants provide this information to us. In developing this data, certain estimates and assumptions are used, including among other things, discount rate, long-term rate of return and mortality tables. During 2019, the Society of Actuaries (“SOA”) released a new mortality improvement scale table, referred to as MP-2019, which is believed to better reflect mortality improvements and is to be used in calculating defined benefit pension obligations. In addition, during fiscal year 2019, the assumed discount rate to measure the pension obligation decreased to 3.0%. We used the latest mortality tables released by the SOA through October 2019 to measure our pension obligation as of October 31, 2019 and combined with the assumed discount rate and other demographic assumptions, our pension liability increased by approximately $0.6 million as of October 31, 2019. Further changes in any of these estimates could materially affect the amounts recorded that are related to our defined benefit retirement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 "Summary of Significant Accounting Policies" of the notes to consolidated financial statements included in this Quarterly Report on Form 10-Q for information concerning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the broad effects of COVID-19 as a result of its negative impact on the global economy and major financial markets, there have been no material changes in the disclosures discussed in the section entitled “Quantitative and Qualitative Disclosures about Market Risk” in Part II, Item 7A of our Annual Report on Form 10-K for the fiscal year ended October 31, 2019 as filed with the SEC on January 13, 2020. The outbreak of COVID-19 poses increasing risks and has accounting implications for us with exposure to a broader economic downturn and decline in financial markets. We have experienced a decrease in demand for our fresh citrus which has resulted in supply chain disruptions and reduced export sales to areas acutely affected by the virus.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As of July 31, 2020, we carried out an evaluation, under the supervision and with the participation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material changes in our internal control over financial reporting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covered by this Quarterly Report on Form 10-Q or, to our knowledge, in other factors that have materially affected, or are reasonably likely to materially affect, our internal control over financial reporting.</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the Effectiveness of Controls. </w:t>
      </w:r>
      <w:r>
        <w:rPr>
          <w:rFonts w:ascii="Times New Roman" w:cs="Times New Roman" w:eastAsia="Times New Roman" w:hAnsi="Times New Roman"/>
          <w:sz w:val="18"/>
          <w:szCs w:val="18"/>
          <w:color w:val="auto"/>
        </w:rPr>
        <w:t>Control systems, no matter how well conceived and operated, are designed to provide a reasonable,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risk factors should be read in conjunction with, and supplement the section entitled “Risk Factors” in Part I, Item 1A of our Annual Report on Form 10-K for the fiscal year ended October 31, 2019, as filed with the SEC on January 13, 2020.</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for fiscal year 2020 and beyond have been and are expected to continue to be adversely affected by the recent novel coronavirus (or COVID-19) pandemic.</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2019, a novel coronavirus disease (“COVID-19”) was initially reported and on March 11, 2020, the World Health Organization characterized COVID-19 as a pandemic. COVID-19 has had a widespread and detrimental effect on the global economy and has created significant volatility and disruption of financial markets as a result of the continued increase in the number of cases and affected countries and actions by public health and governmental authorities, businesses, other organizations and individuals to address the outbreak, including travel bans and restrictions, quarantines, shelter in place, stay at home or lock-down orders and business limitations and shutdowns. The duration and severity of COVID-19 and the degree of its ongoing impact on our business is uncertain and difficult to predict.</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continued spread of the outbreak could result in one or more of the following conditions that could have a material adverse impact on our business operations and financial condition: decreased business spending by our customers and prospective customers; reduced demand for our products and services; increased customer losses; increased challenges in or cost of acquiring new customers; increased competition; increased risk in collectability of accounts receivable; reduced productivity due to remote work arrangements; lost productivity due to illness and/or illness of family members or adherence to mandated stay-at-home order; inability to hire key roles; adverse effects on our strategic partners’ businesses; impairment charges; inability to recover costs from insurance carriers; business continuity concerns for us and our third-party vendors and suppliers; increased risk of privacy and cybersecurity breaches from increased remote working; and challenges with Internet infrastructure due to high loads. If we are not able to respond to and manage the potential impact of such events effectively, our business could be harmed. Furthermore, while many governmental authorities around the world have and continue to enact legislation to address the impact of COVID-19, including measures intended to mitigate some of the more severe anticipated economic effects of the virus, we may not benefit from such legislation or such legislation may prove to be ineffective in addressing COVID-19’s impact on our and our customer’s businesses and operations.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after the COVID-19 outbreak has subsided, we may continue to experience impacts to our business as a result of the coronavirus’ global economic impact and any recession that has occurred or may occur in the future. Since the COVID-19 situation is unprecedented and continuously evolving, COVID-19 may also affect our operating and financial results in a manner that is not presently known to us, or in a manner that we currently do not consider as presenting significant risks to our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volatile and is impacted by factors other than our financial performance.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 stock market fluctuations related to the current COVID-19 pandemic have been particularly significant. These fluctuations have often been unrelated to our operating performance. Factors that can cause such fluctuations include the impact of natural disasters and global events, such as the current COVID-19 pandemic, general market fluctuations and macroeconomic conditions, any of which may cause the market price of our common stock to fluctuate widely.</w:t>
      </w:r>
    </w:p>
    <w:p>
      <w:pPr>
        <w:spacing w:after="0" w:line="20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substantial and sustained downturn in our operations due to the COVID-19 pandemic or other factors may cause us to be in breach of our covenants in the agreements governing our indebtedness.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required to maintain affirmative and restrictive covenants, among other customary covenants, specifically a debt service coverage ratio, under our loan agreements. Under our Loan Agreement with Farm Credit West, we are required to comply with a minimum debt service coverage ratio (as calculated in accordance with the Loan Agreement) of 1.25:1.0 measured as of October 31 each year. On May 29, 2020, the Loan Agreement was amended to adjust the debt service ratio to 1.00:1.0 for October 31, 2020. In</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August 2020, Farm Credit West modified the covenant to defer measurement at October 31, 2020 and revert to a debt service coverage ratio of 1.25:1.0 measured as of October 31, 2021.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equal partners in a joint venture with the Lewis Group (“Joint Venture”) which is also required to maintain affirmative and restrictive covenants, among other customary covenants, under its loan agreement (the "Loan"). We serve as guarantor on the Loan. The Joint Venture or we may be unable to be in compliance with covenants as a result of a substantial and sustained downturn in our operations due to the COVID-19 pandemic. If the Joint Venture were to default on its obligations under the Loan, it may cause us to be liable for any such obligations and could create a cross default under our loan agreements.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expect to be out of compliance with our Loan Agreement with Farm Credit West or any of our loan agreements, we would seek waivers from the lenders prior to any covenant violation. Any covenant waiver may lead to increased costs, increased interest rates, additional restrictive covenants and other available lender protections that would be applicable. Absent a waiver or amendment from participating lenders, failure to meet the covenants under our loan agreements would constitute an event of default and cause acceleration of the outstanding obligations under our loan agreements, termination of the lenders’ commitment to provide a revolving line of credit, an increase in our effective cost of funds and cross-default of other credit arrangements, which would have a material adverse impact on our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fiscal year 2020, we purchased shares of our common stock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Maximum Number (or</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7"/>
                <w:szCs w:val="17"/>
                <w:color w:val="auto"/>
              </w:rPr>
            </w:pPr>
          </w:p>
        </w:tc>
        <w:tc>
          <w:tcPr>
            <w:tcW w:w="22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20" w:type="dxa"/>
            <w:vAlign w:val="bottom"/>
          </w:tcPr>
          <w:p>
            <w:pPr>
              <w:spacing w:after="0"/>
              <w:rPr>
                <w:sz w:val="17"/>
                <w:szCs w:val="17"/>
                <w:color w:val="auto"/>
              </w:rPr>
            </w:pPr>
          </w:p>
        </w:tc>
        <w:tc>
          <w:tcPr>
            <w:tcW w:w="22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203"/>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 Price</w:t>
            </w: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20" w:type="dxa"/>
            <w:vAlign w:val="bottom"/>
          </w:tcPr>
          <w:p>
            <w:pPr>
              <w:spacing w:after="0"/>
              <w:rPr>
                <w:sz w:val="17"/>
                <w:szCs w:val="17"/>
                <w:color w:val="auto"/>
              </w:rPr>
            </w:pPr>
          </w:p>
        </w:tc>
        <w:tc>
          <w:tcPr>
            <w:tcW w:w="222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218"/>
        </w:trPr>
        <w:tc>
          <w:tcPr>
            <w:tcW w:w="3080" w:type="dxa"/>
            <w:vAlign w:val="bottom"/>
            <w:gridSpan w:val="2"/>
            <w:vMerge w:val="continue"/>
          </w:tcPr>
          <w:p>
            <w:pPr>
              <w:spacing w:after="0"/>
              <w:rPr>
                <w:sz w:val="18"/>
                <w:szCs w:val="18"/>
                <w:color w:val="auto"/>
              </w:rPr>
            </w:pPr>
          </w:p>
        </w:tc>
        <w:tc>
          <w:tcPr>
            <w:tcW w:w="19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Purchased (1)</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 (2)</w:t>
            </w:r>
          </w:p>
        </w:tc>
        <w:tc>
          <w:tcPr>
            <w:tcW w:w="120" w:type="dxa"/>
            <w:vAlign w:val="bottom"/>
          </w:tcPr>
          <w:p>
            <w:pPr>
              <w:spacing w:after="0"/>
              <w:rPr>
                <w:sz w:val="18"/>
                <w:szCs w:val="18"/>
                <w:color w:val="auto"/>
              </w:rPr>
            </w:pPr>
          </w:p>
        </w:tc>
        <w:tc>
          <w:tcPr>
            <w:tcW w:w="22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Programs (2)</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2020 - May 31, 2020</w:t>
            </w:r>
          </w:p>
        </w:tc>
        <w:tc>
          <w:tcPr>
            <w:tcW w:w="190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 2020 - June 30, 2020</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2020 - July 31, 2020</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9,437,701</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spacing w:after="0"/>
              <w:rPr>
                <w:sz w:val="20"/>
                <w:szCs w:val="20"/>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42,100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9,437,701</w:t>
            </w:r>
          </w:p>
        </w:tc>
        <w:tc>
          <w:tcPr>
            <w:tcW w:w="0" w:type="dxa"/>
            <w:vAlign w:val="bottom"/>
          </w:tcPr>
          <w:p>
            <w:pPr>
              <w:spacing w:after="0"/>
              <w:rPr>
                <w:sz w:val="1"/>
                <w:szCs w:val="1"/>
                <w:color w:val="auto"/>
              </w:rPr>
            </w:pPr>
          </w:p>
        </w:tc>
      </w:tr>
      <w:tr>
        <w:trPr>
          <w:trHeight w:val="351"/>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__________________________________</w:t>
            </w: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acquire any shares from our employees in accordance with our stock-based compensation plan.</w:t>
      </w:r>
    </w:p>
    <w:p>
      <w:pPr>
        <w:spacing w:after="0" w:line="233" w:lineRule="exact"/>
        <w:rPr>
          <w:rFonts w:ascii="Times New Roman" w:cs="Times New Roman" w:eastAsia="Times New Roman" w:hAnsi="Times New Roman"/>
          <w:sz w:val="18"/>
          <w:szCs w:val="18"/>
          <w:color w:val="auto"/>
        </w:rPr>
      </w:pPr>
    </w:p>
    <w:p>
      <w:pPr>
        <w:ind w:right="20" w:firstLine="8"/>
        <w:spacing w:after="0" w:line="282" w:lineRule="auto"/>
        <w:tabs>
          <w:tab w:leader="none" w:pos="2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2020, the Board of Directors of our Company approved a share repurchase program authorizing us to repurchase up to $10.0 million of our outstanding shares of common stock through March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8751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ectPr>
          <w:pgSz w:w="11900" w:h="16838" w:orient="portrait"/>
          <w:cols w:equalWidth="0" w:num="1">
            <w:col w:w="10820"/>
          </w:cols>
          <w:pgMar w:left="320" w:top="927" w:right="759" w:bottom="1440" w:gutter="0" w:footer="0" w:header="0"/>
        </w:sectPr>
      </w:pP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3.6</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3.7</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3.8.2</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3.8.3</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3.8.4</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Restated Certificate of Incorporation of Limoneira Company, dated July 5, 1990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Company’s Registration Statement on Form 10, and amendments thereto, declared effective April 13, 2010 (File No. 000-53885))</w:t>
        </w:r>
      </w:hyperlink>
    </w:p>
    <w:p>
      <w:pPr>
        <w:spacing w:after="0" w:line="266" w:lineRule="exact"/>
        <w:rPr>
          <w:sz w:val="20"/>
          <w:szCs w:val="20"/>
          <w:color w:val="auto"/>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Certificate of Merger of Limoneira Company and The Samuel Edwards Associates into Limoneira Company, dated October 31,</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1990 (Incorporated by reference to exhibit 3.2 to the Company’s Registration Statement on Form 10, and amendments thereto,</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declared effective April 13, 2010 (File No. 000-53885))</w:t>
        </w:r>
      </w:hyperlink>
    </w:p>
    <w:p>
      <w:pPr>
        <w:spacing w:after="0" w:line="266"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Certificate of Merger of McKevett Corporation into Limoneira Company dated December 31, 1994 (Incorporated by reference to</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exhibit 3.3 to the Company’s Registration Statement on Form 10, and amendments thereto, declared effective April 13, 2010 (File No.</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000-53885))</w:t>
        </w:r>
      </w:hyperlink>
    </w:p>
    <w:p>
      <w:pPr>
        <w:spacing w:after="0" w:line="266" w:lineRule="exact"/>
        <w:rPr>
          <w:rFonts w:ascii="Times New Roman" w:cs="Times New Roman" w:eastAsia="Times New Roman" w:hAnsi="Times New Roman"/>
          <w:sz w:val="18"/>
          <w:szCs w:val="18"/>
          <w:u w:val="single" w:color="auto"/>
          <w:color w:val="0000FF"/>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Agreement of Merger Between Ronald Michaelis Ranches, Inc. and Limoneira Company, dated June 24, 1997 (Incorporated by</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reference to exhibit 3.6 to the Company’s Registration Statement on Form 10, and amendments thereto, declared effective April 13,</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2010 (File No. 000-53885))</w:t>
        </w:r>
      </w:hyperlink>
    </w:p>
    <w:p>
      <w:pPr>
        <w:spacing w:after="0" w:line="266"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Certificate of Amendment of Certificate of Incorporation of Limoneira Company, dated April 22, 2003 (Incorporated by reference to</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exhibit 3.7 to the Company’s Registration Statement on Form 10, and amendments thereto, declared effective April 13, 2010 (File No.</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000-53885))</w:t>
        </w:r>
      </w:hyperlink>
    </w:p>
    <w:p>
      <w:pPr>
        <w:spacing w:after="0" w:line="266"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Certificate of Amendment of Certificate of Incorporation of Limoneira Company, dated March 24, 2010 (Incorporated by reference to</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exhibit 3.9 to the Company’s Registration Statement on Form 10, and amendments thereto, declared effective April 13, 2010 (File No.</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000-53885))</w:t>
        </w:r>
      </w:hyperlink>
    </w:p>
    <w:p>
      <w:pPr>
        <w:spacing w:after="0" w:line="266"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Certificate of Amendment of Certificate of Incorporation of Limoneira Company, dated March 29, 2017 (Incorporated by reference to</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exhibit 3.1 to the Company’s Current Report on Form 8-K, filed March 31, 2017 (File No. 001-34755))</w:t>
        </w:r>
      </w:hyperlink>
    </w:p>
    <w:p>
      <w:pPr>
        <w:spacing w:after="0" w:line="266"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Amended and Restated Bylaws of Limoneira Company (Incorporated by reference to exhibit 3.10 to the Company’s Annual Report</w:t>
        </w:r>
      </w:hyperlink>
      <w:r>
        <w:rPr>
          <w:rFonts w:ascii="Times New Roman" w:cs="Times New Roman" w:eastAsia="Times New Roman" w:hAnsi="Times New Roman"/>
          <w:sz w:val="18"/>
          <w:szCs w:val="18"/>
          <w:u w:val="single" w:color="auto"/>
          <w:color w:val="0000FF"/>
        </w:rPr>
        <w:t xml:space="preserve"> </w:t>
      </w:r>
      <w:hyperlink r:id="rId102">
        <w:r>
          <w:rPr>
            <w:rFonts w:ascii="Times New Roman" w:cs="Times New Roman" w:eastAsia="Times New Roman" w:hAnsi="Times New Roman"/>
            <w:sz w:val="18"/>
            <w:szCs w:val="18"/>
            <w:u w:val="single" w:color="auto"/>
            <w:color w:val="0000FF"/>
          </w:rPr>
          <w:t>on Form 10-K, filed January 14, 2013 (File No. 001-34755))</w:t>
        </w:r>
      </w:hyperlink>
    </w:p>
    <w:p>
      <w:pPr>
        <w:spacing w:after="0" w:line="266"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03">
        <w:r>
          <w:rPr>
            <w:rFonts w:ascii="Times New Roman" w:cs="Times New Roman" w:eastAsia="Times New Roman" w:hAnsi="Times New Roman"/>
            <w:sz w:val="18"/>
            <w:szCs w:val="18"/>
            <w:u w:val="single" w:color="auto"/>
            <w:color w:val="0000FF"/>
          </w:rPr>
          <w:t>Amendment to Amended and Restated Bylaws of Limoneira Company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103">
        <w:r>
          <w:rPr>
            <w:rFonts w:ascii="Times New Roman" w:cs="Times New Roman" w:eastAsia="Times New Roman" w:hAnsi="Times New Roman"/>
            <w:sz w:val="18"/>
            <w:szCs w:val="18"/>
            <w:u w:val="single" w:color="auto"/>
            <w:color w:val="0000FF"/>
          </w:rPr>
          <w:t>Current Report on Form 8-K, filed September 25, 2013 (File No. 001-34755))</w:t>
        </w:r>
      </w:hyperlink>
    </w:p>
    <w:p>
      <w:pPr>
        <w:spacing w:after="0" w:line="266"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Amendment to Amended and Restated Bylaws of Limoneira Company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Current Report on Form 8-K, filed December 18, 2014 (File No. 001-34755))</w:t>
        </w:r>
      </w:hyperlink>
    </w:p>
    <w:p>
      <w:pPr>
        <w:spacing w:after="0" w:line="266"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Amendment to Amended and Restated Bylaws of Limoneira Company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Current Report on Form 8-K, filed January 25, 2017 (File No. 001-34755))</w:t>
        </w:r>
      </w:hyperlink>
    </w:p>
    <w:p>
      <w:pPr>
        <w:spacing w:after="0" w:line="266" w:lineRule="exact"/>
        <w:rPr>
          <w:sz w:val="20"/>
          <w:szCs w:val="20"/>
          <w:color w:val="auto"/>
        </w:rPr>
      </w:pPr>
    </w:p>
    <w:p>
      <w:pPr>
        <w:jc w:val="both"/>
        <w:spacing w:after="0" w:line="237"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Amendment to Amended and Restated Bylaws of Limoneira Company (Incorporated by reference to exhibit 3.1 to the Company’s</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Current Report on Form 8-K, filed July 26, 2017 (File No. 001-34755))</w:t>
        </w:r>
      </w:hyperlink>
    </w:p>
    <w:p>
      <w:pPr>
        <w:spacing w:after="0" w:line="266" w:lineRule="exact"/>
        <w:rPr>
          <w:sz w:val="20"/>
          <w:szCs w:val="20"/>
          <w:color w:val="auto"/>
        </w:rPr>
      </w:pPr>
    </w:p>
    <w:p>
      <w:pPr>
        <w:jc w:val="both"/>
        <w:ind w:right="20"/>
        <w:spacing w:after="0" w:line="237"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Specimen Certificate representing shares of Common Stock, par value $0.01 per share (Incorporated by reference to exhibit 4.1 to the</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Company’s Registration Statement on Form 10, and amendments thereto, declared effective April 13, 2010 (File No. 000-53885))</w:t>
        </w:r>
      </w:hyperlink>
    </w:p>
    <w:p>
      <w:pPr>
        <w:spacing w:after="0" w:line="266" w:lineRule="exact"/>
        <w:rPr>
          <w:sz w:val="20"/>
          <w:szCs w:val="20"/>
          <w:color w:val="auto"/>
        </w:rPr>
      </w:pPr>
    </w:p>
    <w:p>
      <w:pPr>
        <w:jc w:val="both"/>
        <w:spacing w:after="0" w:line="226"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Rights Agreement dated December 20, 2006 between Limoneira Company and The Bank of New York, as Rights</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Agent (Incorporated by reference to exhibit 4.2 to the Company’s Registration Statement on Form 10, and amendments thereto,</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declared effective April 13, 2010 (File No. 000-53885))</w:t>
        </w:r>
      </w:hyperlink>
    </w:p>
    <w:p>
      <w:pPr>
        <w:spacing w:after="0" w:line="266" w:lineRule="exact"/>
        <w:rPr>
          <w:rFonts w:ascii="Times New Roman" w:cs="Times New Roman" w:eastAsia="Times New Roman" w:hAnsi="Times New Roman"/>
          <w:sz w:val="18"/>
          <w:szCs w:val="18"/>
          <w:u w:val="single" w:color="auto"/>
          <w:color w:val="0000FF"/>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Certificate of Designation, Preferences and Rights of $8.75 Voting Preferred Stock, $100.00 Par Value, Series B of Limoneira</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Company, dated May 21, 1997 (Incorporated by reference to exhibit 3.4 to the Company’s Registration Statement on Form 10, and</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amendments thereto, declared effective April 13, 2010 (File No. 000-53885))</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420" w:space="720"/>
            <w:col w:w="9680"/>
          </w:cols>
          <w:pgMar w:left="320" w:top="927" w:right="75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3" w:lineRule="exact"/>
        <w:rPr>
          <w:rFonts w:ascii="Times New Roman" w:cs="Times New Roman" w:eastAsia="Times New Roman" w:hAnsi="Times New Roman"/>
          <w:sz w:val="18"/>
          <w:szCs w:val="18"/>
          <w:u w:val="single" w:color="auto"/>
          <w:color w:val="0000FF"/>
        </w:rPr>
      </w:pPr>
    </w:p>
    <w:p>
      <w:pPr>
        <w:jc w:val="center"/>
        <w:ind w:right="-4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927" w:right="7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8751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ectPr>
          <w:pgSz w:w="11900" w:h="16838" w:orient="portrait"/>
          <w:cols w:equalWidth="0" w:num="1">
            <w:col w:w="10820"/>
          </w:cols>
          <w:pgMar w:left="340" w:top="1076" w:right="739" w:bottom="1440" w:gutter="0" w:footer="0" w:header="0"/>
        </w:sect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333" w:lineRule="exact"/>
        <w:rPr>
          <w:sz w:val="20"/>
          <w:szCs w:val="20"/>
          <w:color w:val="auto"/>
        </w:rPr>
      </w:pPr>
    </w:p>
    <w:p>
      <w:pPr>
        <w:jc w:val="right"/>
        <w:ind w:right="40"/>
        <w:spacing w:after="0" w:line="470" w:lineRule="auto"/>
        <w:rPr>
          <w:sz w:val="20"/>
          <w:szCs w:val="20"/>
          <w:color w:val="auto"/>
        </w:rPr>
      </w:pPr>
      <w:r>
        <w:rPr>
          <w:rFonts w:ascii="Times New Roman" w:cs="Times New Roman" w:eastAsia="Times New Roman" w:hAnsi="Times New Roman"/>
          <w:sz w:val="18"/>
          <w:szCs w:val="18"/>
          <w:color w:val="auto"/>
        </w:rPr>
        <w:t>101.PRE* *</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Amended Certificate of Designation, Preferences and Rights of $8.75 Voting Preferred Stock, $100.00 Par Value, Series B of</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Limoneira Company, dated May 21, 1997 (Incorporated by reference to exhibit 3.5 to the Company’s Registration Statement on Form</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10, and amendments thereto, declared effective April 13, 2010 (File No. 000-53885))</w:t>
        </w:r>
      </w:hyperlink>
    </w:p>
    <w:p>
      <w:pPr>
        <w:spacing w:after="0" w:line="266" w:lineRule="exact"/>
        <w:rPr>
          <w:rFonts w:ascii="Times New Roman" w:cs="Times New Roman" w:eastAsia="Times New Roman" w:hAnsi="Times New Roman"/>
          <w:sz w:val="18"/>
          <w:szCs w:val="18"/>
          <w:u w:val="single" w:color="auto"/>
          <w:color w:val="0000FF"/>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Certificate of Designation, Preferences and Rights of Series A Junior Participating Preferred Stock, $.01 Par Value, of Limoneira</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Company, dated November 21, 2006 (Incorporated by reference to exhibit 3.8 to the Company’s Registration Statement on Form 10,</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and amendments thereto, declared effective April 13, 2010 (File No. 000-53885))</w:t>
        </w:r>
      </w:hyperlink>
    </w:p>
    <w:p>
      <w:pPr>
        <w:spacing w:after="0" w:line="266" w:lineRule="exact"/>
        <w:rPr>
          <w:rFonts w:ascii="Times New Roman" w:cs="Times New Roman" w:eastAsia="Times New Roman" w:hAnsi="Times New Roman"/>
          <w:sz w:val="18"/>
          <w:szCs w:val="18"/>
          <w:u w:val="single" w:color="auto"/>
          <w:color w:val="0000FF"/>
        </w:rPr>
      </w:pPr>
    </w:p>
    <w:p>
      <w:pPr>
        <w:jc w:val="both"/>
        <w:ind w:right="20"/>
        <w:spacing w:after="0" w:line="226"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Certificate of Designation, Preferences and Rights of 4% Voting Preferred Stock, $100.00 Par Value, Series B-2 of Limoneira</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Company, dated March 20, 2014 (Incorporated by reference to exhibit 3.1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March 24, 2014 (File No. 001-34755))</w:t>
        </w:r>
      </w:hyperlink>
    </w:p>
    <w:p>
      <w:pPr>
        <w:spacing w:after="0" w:line="306"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Certification of the Principal Executive Officer pursuant to Exchange Act Rule 13a-14(a) and 15d-14(a)</w:t>
        </w:r>
      </w:hyperlink>
    </w:p>
    <w:p>
      <w:pPr>
        <w:spacing w:after="0" w:line="333"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Certification of the Principal Financial Officer pursuant to Exchange Act Rule 13a-14(a) and 15d-14(a)</w:t>
        </w:r>
      </w:hyperlink>
    </w:p>
    <w:p>
      <w:pPr>
        <w:spacing w:after="0" w:line="293" w:lineRule="exact"/>
        <w:rPr>
          <w:rFonts w:ascii="Times New Roman" w:cs="Times New Roman" w:eastAsia="Times New Roman" w:hAnsi="Times New Roman"/>
          <w:sz w:val="18"/>
          <w:szCs w:val="18"/>
          <w:u w:val="single" w:color="auto"/>
          <w:color w:val="0000FF"/>
        </w:rPr>
      </w:pPr>
    </w:p>
    <w:p>
      <w:pPr>
        <w:jc w:val="both"/>
        <w:ind w:right="20"/>
        <w:spacing w:after="0" w:line="237" w:lineRule="auto"/>
        <w:rPr>
          <w:rFonts w:ascii="Times New Roman" w:cs="Times New Roman" w:eastAsia="Times New Roman" w:hAnsi="Times New Roman"/>
          <w:sz w:val="18"/>
          <w:szCs w:val="18"/>
          <w:u w:val="single" w:color="auto"/>
          <w:color w:val="0000FF"/>
        </w:rPr>
      </w:pPr>
      <w:hyperlink w:anchor="page59">
        <w:r>
          <w:rPr>
            <w:rFonts w:ascii="Times New Roman" w:cs="Times New Roman" w:eastAsia="Times New Roman" w:hAnsi="Times New Roman"/>
            <w:sz w:val="18"/>
            <w:szCs w:val="18"/>
            <w:u w:val="single" w:color="auto"/>
            <w:color w:val="0000FF"/>
          </w:rPr>
          <w:t>Certification of the Principal Executive Officer pursuant to 18 U.S.C. Section 1350, as adopted pursuant to Section 906 of the</w:t>
        </w:r>
      </w:hyperlink>
      <w:r>
        <w:rPr>
          <w:rFonts w:ascii="Times New Roman" w:cs="Times New Roman" w:eastAsia="Times New Roman" w:hAnsi="Times New Roman"/>
          <w:sz w:val="18"/>
          <w:szCs w:val="18"/>
          <w:u w:val="single" w:color="auto"/>
          <w:color w:val="0000FF"/>
        </w:rPr>
        <w:t xml:space="preserve"> </w:t>
      </w:r>
      <w:hyperlink w:anchor="page59">
        <w:r>
          <w:rPr>
            <w:rFonts w:ascii="Times New Roman" w:cs="Times New Roman" w:eastAsia="Times New Roman" w:hAnsi="Times New Roman"/>
            <w:sz w:val="18"/>
            <w:szCs w:val="18"/>
            <w:u w:val="single" w:color="auto"/>
            <w:color w:val="0000FF"/>
          </w:rPr>
          <w:t>Sarbanes-Oxley Act of 2002</w:t>
        </w:r>
      </w:hyperlink>
    </w:p>
    <w:p>
      <w:pPr>
        <w:spacing w:after="0" w:line="266" w:lineRule="exact"/>
        <w:rPr>
          <w:sz w:val="20"/>
          <w:szCs w:val="20"/>
          <w:color w:val="auto"/>
        </w:rPr>
      </w:pPr>
    </w:p>
    <w:p>
      <w:pPr>
        <w:jc w:val="both"/>
        <w:ind w:right="40"/>
        <w:spacing w:after="0" w:line="237" w:lineRule="auto"/>
        <w:rPr>
          <w:rFonts w:ascii="Times New Roman" w:cs="Times New Roman" w:eastAsia="Times New Roman" w:hAnsi="Times New Roman"/>
          <w:sz w:val="18"/>
          <w:szCs w:val="18"/>
          <w:u w:val="single" w:color="auto"/>
          <w:color w:val="0000FF"/>
        </w:rPr>
      </w:pPr>
      <w:hyperlink w:anchor="page60">
        <w:r>
          <w:rPr>
            <w:rFonts w:ascii="Times New Roman" w:cs="Times New Roman" w:eastAsia="Times New Roman" w:hAnsi="Times New Roman"/>
            <w:sz w:val="18"/>
            <w:szCs w:val="18"/>
            <w:u w:val="single" w:color="auto"/>
            <w:color w:val="0000FF"/>
          </w:rPr>
          <w:t>Certification of the Principal Financial Officer pursuant to 18 U.S.C. Section 1350, as adopted pursuant to Section 906 of the</w:t>
        </w:r>
      </w:hyperlink>
      <w:r>
        <w:rPr>
          <w:rFonts w:ascii="Times New Roman" w:cs="Times New Roman" w:eastAsia="Times New Roman" w:hAnsi="Times New Roman"/>
          <w:sz w:val="18"/>
          <w:szCs w:val="18"/>
          <w:u w:val="single" w:color="auto"/>
          <w:color w:val="0000FF"/>
        </w:rPr>
        <w:t xml:space="preserve"> </w:t>
      </w:r>
      <w:hyperlink w:anchor="page60">
        <w:r>
          <w:rPr>
            <w:rFonts w:ascii="Times New Roman" w:cs="Times New Roman" w:eastAsia="Times New Roman" w:hAnsi="Times New Roman"/>
            <w:sz w:val="18"/>
            <w:szCs w:val="18"/>
            <w:u w:val="single" w:color="auto"/>
            <w:color w:val="0000FF"/>
          </w:rPr>
          <w:t>Sarbanes-Oxley Act of 2002</w:t>
        </w:r>
      </w:hyperlink>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or furnished herewith,</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ectPr>
          <w:pgSz w:w="11900" w:h="16838" w:orient="portrait"/>
          <w:cols w:equalWidth="0" w:num="2">
            <w:col w:w="780" w:space="340"/>
            <w:col w:w="9700"/>
          </w:cols>
          <w:pgMar w:left="340" w:top="1076"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40" w:top="1076" w:right="7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LIMONEIRA COMPANY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1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LIMONEIRA COMPANY</w:t>
      </w:r>
    </w:p>
    <w:p>
      <w:pPr>
        <w:spacing w:after="0" w:line="333" w:lineRule="exact"/>
        <w:rPr>
          <w:sz w:val="20"/>
          <w:szCs w:val="20"/>
          <w:color w:val="auto"/>
        </w:rPr>
      </w:pPr>
    </w:p>
    <w:p>
      <w:pPr>
        <w:ind w:left="20"/>
        <w:spacing w:after="0"/>
        <w:tabs>
          <w:tab w:leader="none" w:pos="5320" w:val="left"/>
          <w:tab w:leader="none" w:pos="5820" w:val="left"/>
        </w:tabs>
        <w:rPr>
          <w:sz w:val="20"/>
          <w:szCs w:val="20"/>
          <w:color w:val="auto"/>
        </w:rPr>
      </w:pPr>
      <w:r>
        <w:rPr>
          <w:rFonts w:ascii="Times New Roman" w:cs="Times New Roman" w:eastAsia="Times New Roman" w:hAnsi="Times New Roman"/>
          <w:sz w:val="18"/>
          <w:szCs w:val="18"/>
          <w:color w:val="auto"/>
        </w:rPr>
        <w:t>September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37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left="20"/>
        <w:spacing w:after="0"/>
        <w:tabs>
          <w:tab w:leader="none" w:pos="5320" w:val="left"/>
          <w:tab w:leader="none" w:pos="5820" w:val="left"/>
        </w:tabs>
        <w:rPr>
          <w:sz w:val="20"/>
          <w:szCs w:val="20"/>
          <w:color w:val="auto"/>
        </w:rPr>
      </w:pPr>
      <w:r>
        <w:rPr>
          <w:rFonts w:ascii="Times New Roman" w:cs="Times New Roman" w:eastAsia="Times New Roman" w:hAnsi="Times New Roman"/>
          <w:sz w:val="18"/>
          <w:szCs w:val="18"/>
          <w:color w:val="auto"/>
        </w:rPr>
        <w:t>September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34290</wp:posOffset>
            </wp:positionV>
            <wp:extent cx="3437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Treasurer and Corporate Secretary</w:t>
      </w:r>
    </w:p>
    <w:p>
      <w:pPr>
        <w:spacing w:after="0" w:line="4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365"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S. Edwards, certify that:</w:t>
      </w:r>
    </w:p>
    <w:p>
      <w:pPr>
        <w:spacing w:after="0" w:line="252" w:lineRule="exact"/>
        <w:rPr>
          <w:sz w:val="20"/>
          <w:szCs w:val="20"/>
          <w:color w:val="auto"/>
        </w:rPr>
      </w:pPr>
    </w:p>
    <w:p>
      <w:pPr>
        <w:ind w:left="220" w:hanging="172"/>
        <w:spacing w:after="0"/>
        <w:tabs>
          <w:tab w:leader="none" w:pos="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ind w:left="460" w:hanging="412"/>
        <w:spacing w:after="0" w:line="266"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2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460" w:hanging="412"/>
        <w:spacing w:after="0" w:line="266" w:lineRule="auto"/>
        <w:tabs>
          <w:tab w:leader="none" w:pos="2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00" w:hanging="406"/>
        <w:spacing w:after="0" w:line="266" w:lineRule="auto"/>
        <w:tabs>
          <w:tab w:leader="none" w:pos="7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00" w:hanging="406"/>
        <w:spacing w:after="0" w:line="266" w:lineRule="auto"/>
        <w:tabs>
          <w:tab w:leader="none" w:pos="78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7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900" w:hanging="406"/>
        <w:spacing w:after="0" w:line="266" w:lineRule="auto"/>
        <w:tabs>
          <w:tab w:leader="none" w:pos="7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60" w:right="20" w:hanging="412"/>
        <w:spacing w:after="0" w:line="282" w:lineRule="auto"/>
        <w:tabs>
          <w:tab w:leader="none" w:pos="23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00" w:hanging="406"/>
        <w:spacing w:after="0" w:line="282" w:lineRule="auto"/>
        <w:tabs>
          <w:tab w:leader="none" w:pos="7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75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20"/>
        <w:spacing w:after="0"/>
        <w:tabs>
          <w:tab w:leader="none" w:pos="5900" w:val="left"/>
        </w:tabs>
        <w:rPr>
          <w:sz w:val="20"/>
          <w:szCs w:val="20"/>
          <w:color w:val="auto"/>
        </w:rPr>
      </w:pPr>
      <w:r>
        <w:rPr>
          <w:rFonts w:ascii="Times New Roman" w:cs="Times New Roman" w:eastAsia="Times New Roman" w:hAnsi="Times New Roman"/>
          <w:sz w:val="18"/>
          <w:szCs w:val="18"/>
          <w:color w:val="auto"/>
        </w:rPr>
        <w:t>September 9, 2020</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68580</wp:posOffset>
            </wp:positionV>
            <wp:extent cx="33858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 and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Palamountain, certify that:</w:t>
      </w:r>
    </w:p>
    <w:p>
      <w:pPr>
        <w:spacing w:after="0" w:line="252" w:lineRule="exact"/>
        <w:rPr>
          <w:sz w:val="20"/>
          <w:szCs w:val="20"/>
          <w:color w:val="auto"/>
        </w:rPr>
      </w:pPr>
    </w:p>
    <w:p>
      <w:pPr>
        <w:ind w:left="220" w:hanging="172"/>
        <w:spacing w:after="0"/>
        <w:tabs>
          <w:tab w:leader="none" w:pos="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ind w:left="460" w:hanging="412"/>
        <w:spacing w:after="0" w:line="266"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60" w:hanging="412"/>
        <w:spacing w:after="0" w:line="282" w:lineRule="auto"/>
        <w:tabs>
          <w:tab w:leader="none" w:pos="2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460" w:hanging="412"/>
        <w:spacing w:after="0" w:line="266" w:lineRule="auto"/>
        <w:tabs>
          <w:tab w:leader="none" w:pos="2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00" w:hanging="406"/>
        <w:spacing w:after="0" w:line="266" w:lineRule="auto"/>
        <w:tabs>
          <w:tab w:leader="none" w:pos="7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00" w:hanging="406"/>
        <w:spacing w:after="0" w:line="266" w:lineRule="auto"/>
        <w:tabs>
          <w:tab w:leader="none" w:pos="78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00" w:hanging="406"/>
        <w:spacing w:after="0" w:line="282" w:lineRule="auto"/>
        <w:tabs>
          <w:tab w:leader="none" w:pos="7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900" w:hanging="406"/>
        <w:spacing w:after="0" w:line="257" w:lineRule="auto"/>
        <w:tabs>
          <w:tab w:leader="none" w:pos="75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460" w:right="20" w:hanging="412"/>
        <w:spacing w:after="0" w:line="260" w:lineRule="auto"/>
        <w:tabs>
          <w:tab w:leader="none" w:pos="2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18"/>
          <w:szCs w:val="18"/>
          <w:color w:val="auto"/>
        </w:rPr>
      </w:pPr>
    </w:p>
    <w:p>
      <w:pPr>
        <w:ind w:left="900" w:hanging="406"/>
        <w:spacing w:after="0" w:line="282" w:lineRule="auto"/>
        <w:tabs>
          <w:tab w:leader="none" w:pos="7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00" w:right="20" w:hanging="406"/>
        <w:spacing w:after="0" w:line="282" w:lineRule="auto"/>
        <w:tabs>
          <w:tab w:leader="none" w:pos="7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20"/>
        <w:spacing w:after="0"/>
        <w:tabs>
          <w:tab w:leader="none" w:pos="5900" w:val="left"/>
        </w:tabs>
        <w:rPr>
          <w:sz w:val="20"/>
          <w:szCs w:val="20"/>
          <w:color w:val="auto"/>
        </w:rPr>
      </w:pPr>
      <w:r>
        <w:rPr>
          <w:rFonts w:ascii="Times New Roman" w:cs="Times New Roman" w:eastAsia="Times New Roman" w:hAnsi="Times New Roman"/>
          <w:sz w:val="18"/>
          <w:szCs w:val="18"/>
          <w:color w:val="auto"/>
        </w:rPr>
        <w:t>September 9, 2020</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68580</wp:posOffset>
            </wp:positionV>
            <wp:extent cx="33858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July 31, 2020 (the “Report”) of Limoneira Company (the “Registrant”), as filed with the Securities and Exchange Commission on the date hereof, I, Harold S. Edwards, hereby certify that:</w:t>
      </w:r>
    </w:p>
    <w:p>
      <w:pPr>
        <w:spacing w:after="0" w:line="40" w:lineRule="exact"/>
        <w:rPr>
          <w:sz w:val="20"/>
          <w:szCs w:val="20"/>
          <w:color w:val="auto"/>
        </w:rPr>
      </w:pPr>
    </w:p>
    <w:p>
      <w:pPr>
        <w:ind w:left="740" w:hanging="246"/>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140" w:val="left"/>
        </w:tabs>
        <w:rPr>
          <w:sz w:val="20"/>
          <w:szCs w:val="20"/>
          <w:color w:val="auto"/>
        </w:rPr>
      </w:pPr>
      <w:r>
        <w:rPr>
          <w:rFonts w:ascii="Times New Roman" w:cs="Times New Roman" w:eastAsia="Times New Roman" w:hAnsi="Times New Roman"/>
          <w:sz w:val="18"/>
          <w:szCs w:val="18"/>
          <w:color w:val="auto"/>
        </w:rPr>
        <w:t>September 9, 2020</w:t>
      </w:r>
      <w:r>
        <w:rPr>
          <w:sz w:val="20"/>
          <w:szCs w:val="20"/>
          <w:color w:val="auto"/>
        </w:rPr>
        <w:tab/>
      </w:r>
      <w:r>
        <w:rPr>
          <w:rFonts w:ascii="Times New Roman" w:cs="Times New Roman" w:eastAsia="Times New Roman" w:hAnsi="Times New Roman"/>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68580</wp:posOffset>
            </wp:positionV>
            <wp:extent cx="32404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Harold S. Edwards,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765"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3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July 31, 2020 (the “Report”) of Limoneira Company (the “Registrant”), as filed with the Securities and Exchange Commission on the date hereof, I, Mark Palamountain, hereby certify that:</w:t>
      </w:r>
    </w:p>
    <w:p>
      <w:pPr>
        <w:spacing w:after="0" w:line="40" w:lineRule="exact"/>
        <w:rPr>
          <w:sz w:val="20"/>
          <w:szCs w:val="20"/>
          <w:color w:val="auto"/>
        </w:rPr>
      </w:pPr>
    </w:p>
    <w:p>
      <w:pPr>
        <w:ind w:left="740" w:hanging="246"/>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90" w:lineRule="exact"/>
        <w:rPr>
          <w:sz w:val="20"/>
          <w:szCs w:val="20"/>
          <w:color w:val="auto"/>
        </w:rPr>
      </w:pPr>
    </w:p>
    <w:p>
      <w:pPr>
        <w:ind w:left="220"/>
        <w:spacing w:after="0"/>
        <w:tabs>
          <w:tab w:leader="none" w:pos="6140" w:val="left"/>
        </w:tabs>
        <w:rPr>
          <w:sz w:val="20"/>
          <w:szCs w:val="20"/>
          <w:color w:val="auto"/>
        </w:rPr>
      </w:pPr>
      <w:r>
        <w:rPr>
          <w:rFonts w:ascii="Times New Roman" w:cs="Times New Roman" w:eastAsia="Times New Roman" w:hAnsi="Times New Roman"/>
          <w:sz w:val="18"/>
          <w:szCs w:val="18"/>
          <w:color w:val="auto"/>
        </w:rPr>
        <w:t>September 9, 2020</w:t>
      </w:r>
      <w:r>
        <w:rPr>
          <w:sz w:val="20"/>
          <w:szCs w:val="20"/>
          <w:color w:val="auto"/>
        </w:rPr>
        <w:tab/>
      </w:r>
      <w:r>
        <w:rPr>
          <w:rFonts w:ascii="Times New Roman" w:cs="Times New Roman" w:eastAsia="Times New Roman" w:hAnsi="Times New Roman"/>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68580</wp:posOffset>
            </wp:positionV>
            <wp:extent cx="32404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Mark Palamountain,</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Officer, Treasurer and Corporate Secretary</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decimal"/>
      <w:start w:val="2"/>
    </w:lvl>
  </w:abstractNum>
  <w:abstractNum w:abstractNumId="8">
    <w:nsid w:val="628C895D"/>
    <w:multiLevelType w:val="hybridMultilevel"/>
    <w:lvl w:ilvl="0">
      <w:lvlJc w:val="left"/>
      <w:lvlText w:val="%1."/>
      <w:numFmt w:val="decimal"/>
      <w:start w:val="3"/>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9"/>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95" Type="http://schemas.openxmlformats.org/officeDocument/2006/relationships/hyperlink" Target="http://www.sec.gov/Archives/edgar/data/1342423/000114420410007241/v173157_ex3-1.htm" TargetMode="External"/><Relationship Id="rId96" Type="http://schemas.openxmlformats.org/officeDocument/2006/relationships/hyperlink" Target="http://www.sec.gov/Archives/edgar/data/1342423/000114420410007241/v173157_ex3-2.htm" TargetMode="External"/><Relationship Id="rId97" Type="http://schemas.openxmlformats.org/officeDocument/2006/relationships/hyperlink" Target="http://www.sec.gov/Archives/edgar/data/1342423/000114420410007241/v173157_ex3-3.htm" TargetMode="External"/><Relationship Id="rId98" Type="http://schemas.openxmlformats.org/officeDocument/2006/relationships/hyperlink" Target="http://www.sec.gov/Archives/edgar/data/1342423/000114420410007241/v173157_ex3-6.htm" TargetMode="External"/><Relationship Id="rId99" Type="http://schemas.openxmlformats.org/officeDocument/2006/relationships/hyperlink" Target="http://www.sec.gov/Archives/edgar/data/1342423/000114420410007241/v173157_ex3-7.htm" TargetMode="External"/><Relationship Id="rId100" Type="http://schemas.openxmlformats.org/officeDocument/2006/relationships/hyperlink" Target="http://www.sec.gov/Archives/edgar/data/1342423/000114420410017415/v178900_ex3-9.htm" TargetMode="External"/><Relationship Id="rId101" Type="http://schemas.openxmlformats.org/officeDocument/2006/relationships/hyperlink" Target="http://www.sec.gov/Archives/edgar/data/1342423/000114420417018212/v463210_ex3-1.htm" TargetMode="External"/><Relationship Id="rId102" Type="http://schemas.openxmlformats.org/officeDocument/2006/relationships/hyperlink" Target="http://www.sec.gov/Archives/edgar/data/1342423/000114420413002202/v330368_ex3-10.htm" TargetMode="External"/><Relationship Id="rId103" Type="http://schemas.openxmlformats.org/officeDocument/2006/relationships/hyperlink" Target="http://www.sec.gov/Archives/edgar/data/1342423/000114420413052234/v354983_ex3-1.htm" TargetMode="External"/><Relationship Id="rId104" Type="http://schemas.openxmlformats.org/officeDocument/2006/relationships/hyperlink" Target="http://www.sec.gov/Archives/edgar/data/1342423/000114420414074732/v396904_ex3-1.htm" TargetMode="External"/><Relationship Id="rId105" Type="http://schemas.openxmlformats.org/officeDocument/2006/relationships/hyperlink" Target="http://www.sec.gov/Archives/edgar/data/1342423/000114420417003812/v457525_ex3-1.htm" TargetMode="External"/><Relationship Id="rId106" Type="http://schemas.openxmlformats.org/officeDocument/2006/relationships/hyperlink" Target="http://www.sec.gov/Archives/edgar/data/1342423/000114420417038316/v471546_ex3-1.htm" TargetMode="External"/><Relationship Id="rId107" Type="http://schemas.openxmlformats.org/officeDocument/2006/relationships/hyperlink" Target="http://www.sec.gov/Archives/edgar/data/1342423/000114420410007241/v173157_ex4-1.htm" TargetMode="External"/><Relationship Id="rId108" Type="http://schemas.openxmlformats.org/officeDocument/2006/relationships/hyperlink" Target="http://www.sec.gov/Archives/edgar/data/1342423/000114420410007241/v173157_ex4-2.htm" TargetMode="External"/><Relationship Id="rId109" Type="http://schemas.openxmlformats.org/officeDocument/2006/relationships/hyperlink" Target="http://www.sec.gov/Archives/edgar/data/1342423/000114420410007241/v173157_ex3-4.htm" TargetMode="External"/><Relationship Id="rId112" Type="http://schemas.openxmlformats.org/officeDocument/2006/relationships/hyperlink" Target="http://www.sec.gov/Archives/edgar/data/1342423/000114420410007241/v173157_ex3-5.htm" TargetMode="External"/><Relationship Id="rId113" Type="http://schemas.openxmlformats.org/officeDocument/2006/relationships/hyperlink" Target="http://www.sec.gov/Archives/edgar/data/1342423/000114420410007241/v173157_ex3-8.htm" TargetMode="External"/><Relationship Id="rId114" Type="http://schemas.openxmlformats.org/officeDocument/2006/relationships/hyperlink" Target="http://www.sec.gov/Archives/edgar/data/1342423/000114420414017379/v3724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2020-09-09T15:17:17Z</dcterms:created>
  <dcterms:modified xsi:type="dcterms:W3CDTF">2020-09-09T15:17:17Z</dcterms:modified>
</cp:coreProperties>
</file>