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ind w:left="46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90170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-127635</wp:posOffset>
            </wp:positionV>
            <wp:extent cx="40290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51" w:lineRule="exact"/>
        <w:rPr>
          <w:sz w:val="24"/>
          <w:szCs w:val="24"/>
          <w:color w:val="auto"/>
        </w:rPr>
      </w:pPr>
    </w:p>
    <w:p>
      <w:pPr>
        <w:ind w:left="260" w:hanging="218"/>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JANUARY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260" w:hanging="218"/>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260"/>
        <w:spacing w:after="0"/>
        <w:tabs>
          <w:tab w:leader="none" w:pos="42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-7620</wp:posOffset>
            </wp:positionV>
            <wp:extent cx="903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360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-311785</wp:posOffset>
            </wp:positionV>
            <wp:extent cx="402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1556385</wp:posOffset>
            </wp:positionH>
            <wp:positionV relativeFrom="paragraph">
              <wp:posOffset>34290</wp:posOffset>
            </wp:positionV>
            <wp:extent cx="4029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29075" cy="8255"/>
                    </a:xfrm>
                    <a:prstGeom prst="rect">
                      <a:avLst/>
                    </a:prstGeom>
                    <a:noFill/>
                  </pic:spPr>
                </pic:pic>
              </a:graphicData>
            </a:graphic>
          </wp:anchor>
        </w:drawing>
      </w:r>
    </w:p>
    <w:p>
      <w:pPr>
        <w:spacing w:after="0" w:line="192" w:lineRule="exact"/>
        <w:rPr>
          <w:sz w:val="24"/>
          <w:szCs w:val="24"/>
          <w:color w:val="auto"/>
        </w:rPr>
      </w:pPr>
    </w:p>
    <w:tbl>
      <w:tblPr>
        <w:tblLayout w:type="fixed"/>
        <w:tblInd w:w="1280" w:type="dxa"/>
        <w:tblCellMar>
          <w:top w:w="0" w:type="dxa"/>
          <w:left w:w="0" w:type="dxa"/>
          <w:bottom w:w="0" w:type="dxa"/>
          <w:right w:w="0" w:type="dxa"/>
        </w:tblCellMar>
      </w:tblP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52"/>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405"/>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7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17"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17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134620</wp:posOffset>
            </wp:positionV>
            <wp:extent cx="23571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71" w:lineRule="exact"/>
        <w:rPr>
          <w:sz w:val="24"/>
          <w:szCs w:val="24"/>
          <w:color w:val="auto"/>
        </w:rPr>
      </w:pPr>
    </w:p>
    <w:p>
      <w:pPr>
        <w:ind w:left="1400"/>
        <w:spacing w:after="0"/>
        <w:tabs>
          <w:tab w:leader="none" w:pos="4900" w:val="left"/>
          <w:tab w:leader="none" w:pos="7480" w:val="left"/>
        </w:tabs>
        <w:rPr>
          <w:sz w:val="20"/>
          <w:szCs w:val="20"/>
          <w:color w:val="auto"/>
        </w:rPr>
      </w:pPr>
      <w:r>
        <w:rPr>
          <w:rFonts w:ascii="Arial" w:cs="Arial" w:eastAsia="Arial" w:hAnsi="Arial"/>
          <w:sz w:val="18"/>
          <w:szCs w:val="18"/>
          <w:color w:val="auto"/>
        </w:rPr>
        <w:t>Title of Each Class</w:t>
      </w:r>
      <w:r>
        <w:rPr>
          <w:sz w:val="20"/>
          <w:szCs w:val="20"/>
          <w:color w:val="auto"/>
        </w:rPr>
        <w:tab/>
      </w:r>
      <w:r>
        <w:rPr>
          <w:rFonts w:ascii="Arial" w:cs="Arial" w:eastAsia="Arial" w:hAnsi="Arial"/>
          <w:sz w:val="18"/>
          <w:szCs w:val="18"/>
          <w:color w:val="auto"/>
        </w:rPr>
        <w:t>Trading Symbol (s)</w:t>
      </w:r>
      <w:r>
        <w:rPr>
          <w:sz w:val="20"/>
          <w:szCs w:val="20"/>
          <w:color w:val="auto"/>
        </w:rPr>
        <w:tab/>
      </w:r>
      <w:r>
        <w:rPr>
          <w:rFonts w:ascii="Arial" w:cs="Arial" w:eastAsia="Arial" w:hAnsi="Arial"/>
          <w:sz w:val="16"/>
          <w:szCs w:val="16"/>
          <w:color w:val="auto"/>
        </w:rPr>
        <w:t>Name of Each Exchange of Which Registered</w:t>
      </w:r>
    </w:p>
    <w:p>
      <w:pPr>
        <w:spacing w:after="0" w:line="63" w:lineRule="exact"/>
        <w:rPr>
          <w:sz w:val="24"/>
          <w:szCs w:val="24"/>
          <w:color w:val="auto"/>
        </w:rPr>
      </w:pPr>
    </w:p>
    <w:p>
      <w:pPr>
        <w:ind w:left="7240"/>
        <w:spacing w:after="0"/>
        <w:rPr>
          <w:sz w:val="20"/>
          <w:szCs w:val="20"/>
          <w:color w:val="auto"/>
        </w:rPr>
      </w:pPr>
      <w:r>
        <w:rPr>
          <w:rFonts w:ascii="Arial" w:cs="Arial" w:eastAsia="Arial" w:hAnsi="Arial"/>
          <w:sz w:val="17"/>
          <w:szCs w:val="17"/>
          <w:color w:val="auto"/>
        </w:rPr>
        <w:t>The NASDAQ Stock Market LLC (NASDAQ Global</w:t>
      </w:r>
    </w:p>
    <w:p>
      <w:pPr>
        <w:spacing w:after="0" w:line="35" w:lineRule="exact"/>
        <w:rPr>
          <w:sz w:val="24"/>
          <w:szCs w:val="24"/>
          <w:color w:val="auto"/>
        </w:rPr>
      </w:pPr>
    </w:p>
    <w:p>
      <w:pPr>
        <w:ind w:left="920"/>
        <w:spacing w:after="0"/>
        <w:tabs>
          <w:tab w:leader="none" w:pos="5360" w:val="left"/>
          <w:tab w:leader="none" w:pos="8620" w:val="left"/>
        </w:tabs>
        <w:rPr>
          <w:sz w:val="20"/>
          <w:szCs w:val="20"/>
          <w:color w:val="auto"/>
        </w:rPr>
      </w:pPr>
      <w:r>
        <w:rPr>
          <w:rFonts w:ascii="Arial" w:cs="Arial" w:eastAsia="Arial" w:hAnsi="Arial"/>
          <w:sz w:val="18"/>
          <w:szCs w:val="18"/>
          <w:color w:val="auto"/>
        </w:rPr>
        <w:t>Common Stock, $0.01 par value</w:t>
      </w:r>
      <w:r>
        <w:rPr>
          <w:sz w:val="20"/>
          <w:szCs w:val="20"/>
          <w:color w:val="auto"/>
        </w:rPr>
        <w:tab/>
      </w:r>
      <w:r>
        <w:rPr>
          <w:rFonts w:ascii="Arial" w:cs="Arial" w:eastAsia="Arial" w:hAnsi="Arial"/>
          <w:sz w:val="18"/>
          <w:szCs w:val="18"/>
          <w:color w:val="auto"/>
        </w:rPr>
        <w:t>LMNR</w:t>
      </w:r>
      <w:r>
        <w:rPr>
          <w:sz w:val="20"/>
          <w:szCs w:val="20"/>
          <w:color w:val="auto"/>
        </w:rPr>
        <w:tab/>
      </w:r>
      <w:r>
        <w:rPr>
          <w:rFonts w:ascii="Arial" w:cs="Arial" w:eastAsia="Arial" w:hAnsi="Arial"/>
          <w:sz w:val="16"/>
          <w:szCs w:val="16"/>
          <w:color w:val="auto"/>
        </w:rPr>
        <w:t>Select Market)</w:t>
      </w:r>
    </w:p>
    <w:p>
      <w:pPr>
        <w:spacing w:after="0" w:line="7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2" w:lineRule="exact"/>
        <w:rPr>
          <w:sz w:val="24"/>
          <w:szCs w:val="24"/>
          <w:color w:val="auto"/>
        </w:rPr>
      </w:pPr>
    </w:p>
    <w:p>
      <w:pPr>
        <w:jc w:val="both"/>
        <w:ind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p>
      <w:pPr>
        <w:ind w:left="79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w:t>
      </w:r>
    </w:p>
    <w:p>
      <w:pPr>
        <w:spacing w:after="0" w:line="51" w:lineRule="exact"/>
        <w:rPr>
          <w:sz w:val="24"/>
          <w:szCs w:val="24"/>
          <w:color w:val="auto"/>
        </w:rPr>
      </w:pPr>
    </w:p>
    <w:p>
      <w:pPr>
        <w:ind w:left="40"/>
        <w:spacing w:after="0" w:line="207" w:lineRule="exact"/>
        <w:tabs>
          <w:tab w:leader="none" w:pos="360" w:val="left"/>
          <w:tab w:leader="none" w:pos="4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Large 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Accelerated filer</w:t>
      </w:r>
    </w:p>
    <w:p>
      <w:pPr>
        <w:spacing w:after="0" w:line="34" w:lineRule="exact"/>
        <w:rPr>
          <w:sz w:val="24"/>
          <w:szCs w:val="24"/>
          <w:color w:val="auto"/>
        </w:rPr>
      </w:pPr>
    </w:p>
    <w:p>
      <w:pPr>
        <w:ind w:left="40"/>
        <w:spacing w:after="0" w:line="207" w:lineRule="exact"/>
        <w:tabs>
          <w:tab w:leader="none" w:pos="360" w:val="left"/>
          <w:tab w:leader="none" w:pos="45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p>
    <w:p>
      <w:pPr>
        <w:spacing w:after="0" w:line="63" w:lineRule="exact"/>
        <w:rPr>
          <w:sz w:val="24"/>
          <w:szCs w:val="24"/>
          <w:color w:val="auto"/>
        </w:rPr>
      </w:pPr>
    </w:p>
    <w:p>
      <w:pPr>
        <w:jc w:val="both"/>
        <w:ind w:firstLine="445"/>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February 29, 2020, there were 17,857,707 shares outstanding of the registrant’s common stock.</w:t>
      </w:r>
    </w:p>
    <w:p>
      <w:pPr>
        <w:sectPr>
          <w:pgSz w:w="11900" w:h="16838" w:orient="portrait"/>
          <w:cols w:equalWidth="0" w:num="1">
            <w:col w:w="11240"/>
          </w:cols>
          <w:pgMar w:left="320" w:top="450" w:right="339" w:bottom="1108" w:gutter="0" w:footer="0" w:header="0"/>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450" w:right="339" w:bottom="110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9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 I. FINANCIAL INFORMATION</w:t>
            </w:r>
          </w:p>
        </w:tc>
        <w:tc>
          <w:tcPr>
            <w:tcW w:w="1320" w:type="dxa"/>
            <w:vAlign w:val="bottom"/>
            <w:gridSpan w:val="4"/>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Financial Statements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Balance Sheets – January 31, 2020 and October 31, 2019</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 – three months ended January 31, 2020 and 2019</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Comprehensive Loss – three months ended January 31, 2020 and 2019</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and Temporary Equity – three months ended January 31, 2020 and 2019</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176"/>
        </w:trPr>
        <w:tc>
          <w:tcPr>
            <w:tcW w:w="9920" w:type="dxa"/>
            <w:vAlign w:val="bottom"/>
            <w:tcBorders>
              <w:top w:val="single" w:sz="8" w:color="CCEEFF"/>
            </w:tcBorders>
            <w:gridSpan w:val="2"/>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Cash Flows – three months ended January 31, 2020 and 2019</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10</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Controls and Procedures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70"/>
        </w:trPr>
        <w:tc>
          <w:tcPr>
            <w:tcW w:w="9920" w:type="dxa"/>
            <w:vAlign w:val="bottom"/>
            <w:tcBorders>
              <w:top w:val="single" w:sz="8" w:color="CCEEFF"/>
            </w:tcBorders>
            <w:gridSpan w:val="2"/>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9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PART II. OTHER INFORMATION</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Legal Proceedings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Risk Factors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Defaults Upon Senior Securities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Mine Safety Disclosures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Other Information</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8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Exhibits</w:t>
            </w: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270"/>
        </w:trPr>
        <w:tc>
          <w:tcPr>
            <w:tcW w:w="120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2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7"/>
              </w:rPr>
              <w:t>SIGNATURES</w:t>
            </w:r>
          </w:p>
        </w:tc>
        <w:tc>
          <w:tcPr>
            <w:tcW w:w="872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648"/>
        </w:trPr>
        <w:tc>
          <w:tcPr>
            <w:tcW w:w="120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ind w:left="4380"/>
              <w:spacing w:after="0"/>
              <w:rPr>
                <w:sz w:val="20"/>
                <w:szCs w:val="20"/>
                <w:color w:val="auto"/>
              </w:rPr>
            </w:pPr>
            <w:r>
              <w:rPr>
                <w:rFonts w:ascii="Arial" w:cs="Arial" w:eastAsia="Arial" w:hAnsi="Arial"/>
                <w:sz w:val="18"/>
                <w:szCs w:val="18"/>
                <w:color w:val="auto"/>
              </w:rPr>
              <w:t>2</w:t>
            </w:r>
          </w:p>
        </w:tc>
        <w:tc>
          <w:tcPr>
            <w:tcW w:w="11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240"/>
          </w:cols>
          <w:pgMar w:left="320" w:top="34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1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4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laws, regulations, rules, quotas, tariff, and import laws;</w:t>
      </w:r>
    </w:p>
    <w:p>
      <w:pPr>
        <w:spacing w:after="0" w:line="117" w:lineRule="exact"/>
        <w:rPr>
          <w:rFonts w:ascii="Arial" w:cs="Arial" w:eastAsia="Arial" w:hAnsi="Arial"/>
          <w:sz w:val="18"/>
          <w:szCs w:val="18"/>
          <w:i w:val="1"/>
          <w:iCs w:val="1"/>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market responses to industry volume pressures;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pressure from disease, insects and other pests;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disruption of water supplies or changes in water allocations;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product and raw materials supplies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energy supply and pricing;</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interest and currency exchange rates;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availability of financing for development activities;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political changes and economic crises;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conflict;</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acts of terrorism;</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labor disruptions, strikes, shortages or work stoppages;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negative impacts related to COVID-19;</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important intellectual property rights; and</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disclosed in our public filings with the Securities and Exchange Commission (the "SEC").</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2019.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 (UNAUDITED)</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31,</w:t>
            </w:r>
          </w:p>
        </w:tc>
        <w:tc>
          <w:tcPr>
            <w:tcW w:w="18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October 31,</w:t>
            </w:r>
          </w:p>
        </w:tc>
      </w:tr>
      <w:tr>
        <w:trPr>
          <w:trHeight w:val="210"/>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26,524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18,099</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Cultural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7,223</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11,681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8,153</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979</w:t>
            </w:r>
          </w:p>
        </w:tc>
      </w:tr>
      <w:tr>
        <w:trPr>
          <w:trHeight w:val="217"/>
        </w:trPr>
        <w:tc>
          <w:tcPr>
            <w:tcW w:w="84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43,513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35,070</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8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248,193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248,114</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 estate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Equity in investments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60,785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58,223</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Calavo Growers, Inc.</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17,346</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1,839</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12,407</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9,266</w:t>
            </w:r>
          </w:p>
        </w:tc>
      </w:tr>
      <w:tr>
        <w:trPr>
          <w:trHeight w:val="33"/>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408,648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399,867</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6"/>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4,974</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Growers payable</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14,500</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9,167</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3,023</w:t>
            </w:r>
          </w:p>
        </w:tc>
      </w:tr>
      <w:tr>
        <w:trPr>
          <w:trHeight w:val="33"/>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31,664</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126,604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105,892</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24,346</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6,227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5,467</w:t>
            </w:r>
          </w:p>
        </w:tc>
      </w:tr>
      <w:tr>
        <w:trPr>
          <w:trHeight w:val="217"/>
        </w:trPr>
        <w:tc>
          <w:tcPr>
            <w:tcW w:w="844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185,021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167,369</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(See Note 18)</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8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20"/>
        </w:trPr>
        <w:tc>
          <w:tcPr>
            <w:tcW w:w="8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Series B Convertible Preferred Stock – $100.00 par value (50,000 shares authorized: 14,790 shares issued and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January 31, 2020 and October 31, 2019) (8.75% coupon rate)</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w:t>
            </w:r>
          </w:p>
        </w:tc>
      </w:tr>
      <w:tr>
        <w:trPr>
          <w:trHeight w:val="220"/>
        </w:trPr>
        <w:tc>
          <w:tcPr>
            <w:tcW w:w="8440" w:type="dxa"/>
            <w:vAlign w:val="bottom"/>
          </w:tcPr>
          <w:p>
            <w:pPr>
              <w:ind w:left="40"/>
              <w:spacing w:after="0"/>
              <w:rPr>
                <w:sz w:val="20"/>
                <w:szCs w:val="20"/>
                <w:color w:val="auto"/>
              </w:rPr>
            </w:pPr>
            <w:r>
              <w:rPr>
                <w:rFonts w:ascii="Arial" w:cs="Arial" w:eastAsia="Arial" w:hAnsi="Arial"/>
                <w:sz w:val="16"/>
                <w:szCs w:val="16"/>
                <w:color w:val="auto"/>
                <w:w w:val="93"/>
              </w:rPr>
              <w:t>Series B-2 Convertible Preferred Stock – $100.00 par value (10,000 shares authorized: 9,300 shares issued and outstanding at</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8440" w:type="dxa"/>
            <w:vAlign w:val="bottom"/>
          </w:tcPr>
          <w:p>
            <w:pPr>
              <w:ind w:left="40"/>
              <w:spacing w:after="0"/>
              <w:rPr>
                <w:sz w:val="20"/>
                <w:szCs w:val="20"/>
                <w:color w:val="auto"/>
              </w:rPr>
            </w:pPr>
            <w:r>
              <w:rPr>
                <w:rFonts w:ascii="Arial" w:cs="Arial" w:eastAsia="Arial" w:hAnsi="Arial"/>
                <w:sz w:val="16"/>
                <w:szCs w:val="16"/>
                <w:color w:val="auto"/>
              </w:rPr>
              <w:t>January 31, 2020 and October 31, 2019) (4% dividend rate on liquidation value of $1,000 per share)</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9,331</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1"/>
        </w:trPr>
        <w:tc>
          <w:tcPr>
            <w:tcW w:w="84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84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Series A Junior Participating Preferred Stock – $0.01 par value (20,000 shares authorized: zero issued or outstanding at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9"/>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January 31, 2020 and October 31, 2019)</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8440" w:type="dxa"/>
            <w:vAlign w:val="bottom"/>
          </w:tcPr>
          <w:p>
            <w:pPr>
              <w:ind w:left="280"/>
              <w:spacing w:after="0"/>
              <w:rPr>
                <w:sz w:val="20"/>
                <w:szCs w:val="20"/>
                <w:color w:val="auto"/>
              </w:rPr>
            </w:pPr>
            <w:r>
              <w:rPr>
                <w:rFonts w:ascii="Arial" w:cs="Arial" w:eastAsia="Arial" w:hAnsi="Arial"/>
                <w:sz w:val="16"/>
                <w:szCs w:val="16"/>
                <w:color w:val="auto"/>
                <w:w w:val="91"/>
              </w:rPr>
              <w:t>Common Stock – $0.01 par value (39,000,000 shares authorized: 17,857,707 and 17,756,180 shares issued and outstanding</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6"/>
        </w:trPr>
        <w:tc>
          <w:tcPr>
            <w:tcW w:w="8440" w:type="dxa"/>
            <w:vAlign w:val="bottom"/>
          </w:tcPr>
          <w:p>
            <w:pPr>
              <w:ind w:left="280"/>
              <w:spacing w:after="0"/>
              <w:rPr>
                <w:sz w:val="20"/>
                <w:szCs w:val="20"/>
                <w:color w:val="auto"/>
              </w:rPr>
            </w:pPr>
            <w:r>
              <w:rPr>
                <w:rFonts w:ascii="Arial" w:cs="Arial" w:eastAsia="Arial" w:hAnsi="Arial"/>
                <w:sz w:val="16"/>
                <w:szCs w:val="16"/>
                <w:color w:val="auto"/>
              </w:rPr>
              <w:t>at January 31, 2020 and October 31, 2019, respectively)</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160,254</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45,199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53,089</w:t>
            </w:r>
          </w:p>
        </w:tc>
      </w:tr>
      <w:tr>
        <w:trPr>
          <w:trHeight w:val="33"/>
        </w:trPr>
        <w:tc>
          <w:tcPr>
            <w:tcW w:w="8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(7,255)</w:t>
            </w:r>
          </w:p>
        </w:tc>
      </w:tr>
      <w:tr>
        <w:trPr>
          <w:trHeight w:val="237"/>
        </w:trPr>
        <w:tc>
          <w:tcPr>
            <w:tcW w:w="8440" w:type="dxa"/>
            <w:vAlign w:val="bottom"/>
          </w:tcPr>
          <w:p>
            <w:pPr>
              <w:ind w:left="28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14,957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15,422</w:t>
            </w:r>
          </w:p>
        </w:tc>
      </w:tr>
      <w:tr>
        <w:trPr>
          <w:trHeight w:val="33"/>
        </w:trPr>
        <w:tc>
          <w:tcPr>
            <w:tcW w:w="8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212,817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221,688</w:t>
            </w:r>
          </w:p>
        </w:tc>
      </w:tr>
      <w:tr>
        <w:trPr>
          <w:trHeight w:val="243"/>
        </w:trPr>
        <w:tc>
          <w:tcPr>
            <w:tcW w:w="8440" w:type="dxa"/>
            <w:vAlign w:val="bottom"/>
          </w:tcPr>
          <w:p>
            <w:pPr>
              <w:ind w:left="38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408,648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399,867</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337" w:right="339" w:bottom="71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337" w:right="339" w:bottom="717"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40,483</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40,800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1,218</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41,656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42,018</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Agribusiness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42,543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38,916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5,015</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45,038</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(3,020)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Interest income, net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(loss) earnings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Total other expense</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(3,417)</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Loss before income tax benefit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(6,437)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(6,904)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(4,676)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loss attributable to Limoneira Company</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Preferred dividends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8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common stock</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(6,552)</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(4,818)</w:t>
            </w: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net loss per common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r>
      <w:tr>
        <w:trPr>
          <w:trHeight w:val="217"/>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net loss per common share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(0.28)</w:t>
            </w:r>
          </w:p>
        </w:tc>
      </w:tr>
      <w:tr>
        <w:trPr>
          <w:trHeight w:val="216"/>
        </w:trPr>
        <w:tc>
          <w:tcPr>
            <w:tcW w:w="8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outstanding-basic</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17,579,000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17,488,000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common shares outstanding-diluted</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17,579,000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17,488,000</w:t>
            </w:r>
          </w:p>
        </w:tc>
      </w:tr>
      <w:tr>
        <w:trPr>
          <w:trHeight w:val="33"/>
        </w:trPr>
        <w:tc>
          <w:tcPr>
            <w:tcW w:w="8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Three Months Ended January</w:t>
      </w:r>
    </w:p>
    <w:p>
      <w:pPr>
        <w:spacing w:after="0" w:line="49" w:lineRule="exact"/>
        <w:rPr>
          <w:sz w:val="20"/>
          <w:szCs w:val="20"/>
          <w:color w:val="auto"/>
        </w:rPr>
      </w:pPr>
    </w:p>
    <w:p>
      <w:pPr>
        <w:jc w:val="center"/>
        <w:ind w:left="912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33020</wp:posOffset>
            </wp:positionV>
            <wp:extent cx="135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r>
      <w:tr>
        <w:trPr>
          <w:trHeight w:val="33"/>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(4,676)</w:t>
            </w:r>
          </w:p>
        </w:tc>
      </w:tr>
      <w:tr>
        <w:trPr>
          <w:trHeight w:val="237"/>
        </w:trPr>
        <w:tc>
          <w:tcPr>
            <w:tcW w:w="910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9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r>
      <w:tr>
        <w:trPr>
          <w:trHeight w:val="237"/>
        </w:trPr>
        <w:tc>
          <w:tcPr>
            <w:tcW w:w="9100" w:type="dxa"/>
            <w:vAlign w:val="bottom"/>
          </w:tcPr>
          <w:p>
            <w:pPr>
              <w:ind w:left="40"/>
              <w:spacing w:after="0"/>
              <w:rPr>
                <w:sz w:val="20"/>
                <w:szCs w:val="20"/>
                <w:color w:val="auto"/>
              </w:rPr>
            </w:pPr>
            <w:r>
              <w:rPr>
                <w:rFonts w:ascii="Arial" w:cs="Arial" w:eastAsia="Arial" w:hAnsi="Arial"/>
                <w:sz w:val="16"/>
                <w:szCs w:val="16"/>
                <w:color w:val="auto"/>
                <w:w w:val="96"/>
              </w:rPr>
              <w:t>Minimum pension liability adjustment, net of tax of $50 and $27 for the three months ended January 31, 2020 and 2019, respectively.</w:t>
            </w: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(loss) income, net of tax</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969</w:t>
            </w:r>
          </w:p>
        </w:tc>
      </w:tr>
      <w:tr>
        <w:trPr>
          <w:trHeight w:val="217"/>
        </w:trPr>
        <w:tc>
          <w:tcPr>
            <w:tcW w:w="910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(3,707)</w:t>
            </w:r>
          </w:p>
        </w:tc>
      </w:tr>
      <w:tr>
        <w:trPr>
          <w:trHeight w:val="33"/>
        </w:trPr>
        <w:tc>
          <w:tcPr>
            <w:tcW w:w="9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44"/>
        </w:trPr>
        <w:tc>
          <w:tcPr>
            <w:tcW w:w="9100" w:type="dxa"/>
            <w:vAlign w:val="bottom"/>
          </w:tcPr>
          <w:p>
            <w:pPr>
              <w:ind w:left="40"/>
              <w:spacing w:after="0"/>
              <w:rPr>
                <w:sz w:val="20"/>
                <w:szCs w:val="20"/>
                <w:color w:val="auto"/>
              </w:rPr>
            </w:pPr>
            <w:r>
              <w:rPr>
                <w:rFonts w:ascii="Arial" w:cs="Arial" w:eastAsia="Arial" w:hAnsi="Arial"/>
                <w:sz w:val="16"/>
                <w:szCs w:val="16"/>
                <w:color w:val="auto"/>
              </w:rPr>
              <w:t>Comprehensive loss attributable to Limoneira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(3,719)</w:t>
            </w:r>
          </w:p>
        </w:tc>
      </w:tr>
      <w:tr>
        <w:trPr>
          <w:trHeight w:val="20"/>
        </w:trPr>
        <w:tc>
          <w:tcPr>
            <w:tcW w:w="9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STOCKHOLDERS’ EQUITY AND TEMPORARY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Stockholders’ Equity</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r>
      <w:tr>
        <w:trPr>
          <w:trHeight w:val="163"/>
        </w:trPr>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Series B</w:t>
            </w:r>
          </w:p>
        </w:tc>
        <w:tc>
          <w:tcPr>
            <w:tcW w:w="120" w:type="dxa"/>
            <w:vAlign w:val="bottom"/>
          </w:tcPr>
          <w:p>
            <w:pPr>
              <w:spacing w:after="0"/>
              <w:rPr>
                <w:sz w:val="12"/>
                <w:szCs w:val="12"/>
                <w:color w:val="auto"/>
              </w:rPr>
            </w:pPr>
          </w:p>
        </w:tc>
        <w:tc>
          <w:tcPr>
            <w:tcW w:w="76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r>
      <w:tr>
        <w:trPr>
          <w:trHeight w:val="182"/>
        </w:trPr>
        <w:tc>
          <w:tcPr>
            <w:tcW w:w="2260" w:type="dxa"/>
            <w:vAlign w:val="bottom"/>
          </w:tcPr>
          <w:p>
            <w:pPr>
              <w:spacing w:after="0"/>
              <w:rPr>
                <w:sz w:val="15"/>
                <w:szCs w:val="15"/>
                <w:color w:val="auto"/>
              </w:rPr>
            </w:pPr>
          </w:p>
        </w:tc>
        <w:tc>
          <w:tcPr>
            <w:tcW w:w="174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Comprehensive</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Noncontrolling</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Preferred</w:t>
            </w:r>
          </w:p>
        </w:tc>
      </w:tr>
      <w:tr>
        <w:trPr>
          <w:trHeight w:val="263"/>
        </w:trPr>
        <w:tc>
          <w:tcPr>
            <w:tcW w:w="2260" w:type="dxa"/>
            <w:vAlign w:val="bottom"/>
          </w:tcPr>
          <w:p>
            <w:pPr>
              <w:spacing w:after="0"/>
              <w:rPr>
                <w:sz w:val="22"/>
                <w:szCs w:val="22"/>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2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Interest</w:t>
            </w: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22"/>
                <w:szCs w:val="2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22"/>
                <w:szCs w:val="22"/>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Stock</w:t>
            </w:r>
          </w:p>
        </w:tc>
      </w:tr>
      <w:tr>
        <w:trPr>
          <w:trHeight w:val="257"/>
        </w:trPr>
        <w:tc>
          <w:tcPr>
            <w:tcW w:w="2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October 31, 2019</w:t>
            </w:r>
          </w:p>
        </w:tc>
        <w:tc>
          <w:tcPr>
            <w:tcW w:w="8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17,756,180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160,254</w:t>
            </w: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53,089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15,422</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9"/>
              </w:rPr>
              <w:t>$ 221,688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112,841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828</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(11,314)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89"/>
              </w:rPr>
              <w:t>Other comprehensive (loss) income,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260" w:type="dxa"/>
            <w:vAlign w:val="bottom"/>
          </w:tcPr>
          <w:p>
            <w:pPr>
              <w:ind w:left="40"/>
              <w:spacing w:after="0"/>
              <w:rPr>
                <w:sz w:val="20"/>
                <w:szCs w:val="20"/>
                <w:color w:val="auto"/>
              </w:rPr>
            </w:pPr>
            <w:r>
              <w:rPr>
                <w:rFonts w:ascii="Arial" w:cs="Arial" w:eastAsia="Arial" w:hAnsi="Arial"/>
                <w:sz w:val="13"/>
                <w:szCs w:val="13"/>
                <w:color w:val="auto"/>
              </w:rPr>
              <w:t>tax</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2"/>
        </w:trPr>
        <w:tc>
          <w:tcPr>
            <w:tcW w:w="2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January 31, 2020</w:t>
            </w:r>
          </w:p>
        </w:tc>
        <w:tc>
          <w:tcPr>
            <w:tcW w:w="8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17,857,707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160,869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45,199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9"/>
              </w:rPr>
              <w:t>$ 212,817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0"/>
        </w:trPr>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3"/>
                <w:szCs w:val="13"/>
                <w:b w:val="1"/>
                <w:bCs w:val="1"/>
                <w:color w:val="auto"/>
              </w:rPr>
              <w:t>Temporary Equity</w:t>
            </w:r>
          </w:p>
        </w:tc>
      </w:tr>
      <w:tr>
        <w:trPr>
          <w:trHeight w:val="163"/>
        </w:trPr>
        <w:tc>
          <w:tcPr>
            <w:tcW w:w="2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48"/>
        </w:trPr>
        <w:tc>
          <w:tcPr>
            <w:tcW w:w="2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Series B</w:t>
            </w:r>
          </w:p>
        </w:tc>
        <w:tc>
          <w:tcPr>
            <w:tcW w:w="120" w:type="dxa"/>
            <w:vAlign w:val="bottom"/>
          </w:tcPr>
          <w:p>
            <w:pPr>
              <w:spacing w:after="0"/>
              <w:rPr>
                <w:sz w:val="12"/>
                <w:szCs w:val="12"/>
                <w:color w:val="auto"/>
              </w:rPr>
            </w:pPr>
          </w:p>
        </w:tc>
        <w:tc>
          <w:tcPr>
            <w:tcW w:w="760" w:type="dxa"/>
            <w:vAlign w:val="bottom"/>
          </w:tcPr>
          <w:p>
            <w:pPr>
              <w:jc w:val="center"/>
              <w:ind w:right="36"/>
              <w:spacing w:after="0"/>
              <w:rPr>
                <w:sz w:val="20"/>
                <w:szCs w:val="20"/>
                <w:color w:val="auto"/>
              </w:rPr>
            </w:pPr>
            <w:r>
              <w:rPr>
                <w:rFonts w:ascii="Arial" w:cs="Arial" w:eastAsia="Arial" w:hAnsi="Arial"/>
                <w:sz w:val="13"/>
                <w:szCs w:val="13"/>
                <w:b w:val="1"/>
                <w:bCs w:val="1"/>
                <w:color w:val="auto"/>
                <w:w w:val="91"/>
              </w:rPr>
              <w:t>Series B-2</w:t>
            </w:r>
          </w:p>
        </w:tc>
      </w:tr>
      <w:tr>
        <w:trPr>
          <w:trHeight w:val="182"/>
        </w:trPr>
        <w:tc>
          <w:tcPr>
            <w:tcW w:w="2260" w:type="dxa"/>
            <w:vAlign w:val="bottom"/>
          </w:tcPr>
          <w:p>
            <w:pPr>
              <w:spacing w:after="0"/>
              <w:rPr>
                <w:sz w:val="15"/>
                <w:szCs w:val="15"/>
                <w:color w:val="auto"/>
              </w:rPr>
            </w:pPr>
          </w:p>
        </w:tc>
        <w:tc>
          <w:tcPr>
            <w:tcW w:w="1620" w:type="dxa"/>
            <w:vAlign w:val="bottom"/>
            <w:tcBorders>
              <w:bottom w:val="single" w:sz="8" w:color="auto"/>
            </w:tcBorders>
            <w:gridSpan w:val="4"/>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Noncontrolling</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Preferred</w:t>
            </w:r>
          </w:p>
        </w:tc>
        <w:tc>
          <w:tcPr>
            <w:tcW w:w="120" w:type="dxa"/>
            <w:vAlign w:val="bottom"/>
          </w:tcPr>
          <w:p>
            <w:pPr>
              <w:spacing w:after="0"/>
              <w:rPr>
                <w:sz w:val="15"/>
                <w:szCs w:val="15"/>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6"/>
              </w:rPr>
              <w:t>Preferred</w:t>
            </w:r>
          </w:p>
        </w:tc>
      </w:tr>
      <w:tr>
        <w:trPr>
          <w:trHeight w:val="263"/>
        </w:trPr>
        <w:tc>
          <w:tcPr>
            <w:tcW w:w="2260" w:type="dxa"/>
            <w:vAlign w:val="bottom"/>
          </w:tcPr>
          <w:p>
            <w:pPr>
              <w:spacing w:after="0"/>
              <w:rPr>
                <w:sz w:val="22"/>
                <w:szCs w:val="22"/>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2"/>
                <w:szCs w:val="22"/>
                <w:color w:val="auto"/>
              </w:rPr>
            </w:pP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22"/>
                <w:szCs w:val="2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Income (Loss)</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8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22"/>
                <w:szCs w:val="2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22"/>
                <w:szCs w:val="22"/>
                <w:color w:val="auto"/>
              </w:rPr>
            </w:pPr>
          </w:p>
        </w:tc>
        <w:tc>
          <w:tcPr>
            <w:tcW w:w="760" w:type="dxa"/>
            <w:vAlign w:val="bottom"/>
          </w:tcPr>
          <w:p>
            <w:pPr>
              <w:jc w:val="center"/>
              <w:ind w:right="56"/>
              <w:spacing w:after="0"/>
              <w:rPr>
                <w:sz w:val="20"/>
                <w:szCs w:val="20"/>
                <w:color w:val="auto"/>
              </w:rPr>
            </w:pPr>
            <w:r>
              <w:rPr>
                <w:rFonts w:ascii="Arial" w:cs="Arial" w:eastAsia="Arial" w:hAnsi="Arial"/>
                <w:sz w:val="13"/>
                <w:szCs w:val="13"/>
                <w:b w:val="1"/>
                <w:bCs w:val="1"/>
                <w:color w:val="auto"/>
                <w:w w:val="90"/>
              </w:rPr>
              <w:t>Stock</w:t>
            </w:r>
          </w:p>
        </w:tc>
      </w:tr>
      <w:tr>
        <w:trPr>
          <w:trHeight w:val="257"/>
        </w:trPr>
        <w:tc>
          <w:tcPr>
            <w:tcW w:w="2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October 31, 2018</w:t>
            </w:r>
          </w:p>
        </w:tc>
        <w:tc>
          <w:tcPr>
            <w:tcW w:w="8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17,647,135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159,071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50,354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8,965</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7"/>
              </w:rPr>
              <w:t>219,140</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w w:val="98"/>
              </w:rPr>
              <w:t>Dividends Common ($0.075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Dividends Series B ($2.19 per share)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Dividends Series B-2 ($10 per share)</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 compensation</w:t>
            </w: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145,737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262"/>
        </w:trPr>
        <w:tc>
          <w:tcPr>
            <w:tcW w:w="2260" w:type="dxa"/>
            <w:vAlign w:val="bottom"/>
          </w:tcPr>
          <w:p>
            <w:pPr>
              <w:ind w:left="40"/>
              <w:spacing w:after="0"/>
              <w:rPr>
                <w:sz w:val="20"/>
                <w:szCs w:val="20"/>
                <w:color w:val="auto"/>
              </w:rPr>
            </w:pPr>
            <w:r>
              <w:rPr>
                <w:rFonts w:ascii="Arial" w:cs="Arial" w:eastAsia="Arial" w:hAnsi="Arial"/>
                <w:sz w:val="13"/>
                <w:szCs w:val="13"/>
                <w:color w:val="auto"/>
              </w:rPr>
              <w:t>Exchange of common stock</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(20,119)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78"/>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income</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89"/>
              </w:rPr>
              <w:t>Other comprehensive income (loss), net of</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8"/>
        </w:trPr>
        <w:tc>
          <w:tcPr>
            <w:tcW w:w="2260" w:type="dxa"/>
            <w:vAlign w:val="bottom"/>
          </w:tcPr>
          <w:p>
            <w:pPr>
              <w:ind w:left="40"/>
              <w:spacing w:after="0"/>
              <w:rPr>
                <w:sz w:val="20"/>
                <w:szCs w:val="20"/>
                <w:color w:val="auto"/>
              </w:rPr>
            </w:pPr>
            <w:r>
              <w:rPr>
                <w:rFonts w:ascii="Arial" w:cs="Arial" w:eastAsia="Arial" w:hAnsi="Arial"/>
                <w:sz w:val="13"/>
                <w:szCs w:val="13"/>
                <w:color w:val="auto"/>
              </w:rPr>
              <w:t>tax</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969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15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Reclassification of unrealized gain on</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35"/>
        </w:trPr>
        <w:tc>
          <w:tcPr>
            <w:tcW w:w="226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marketable securities upon adoption of</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76"/>
        </w:trPr>
        <w:tc>
          <w:tcPr>
            <w:tcW w:w="2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ASU 2016-01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r>
      <w:tr>
        <w:trPr>
          <w:trHeight w:val="148"/>
        </w:trPr>
        <w:tc>
          <w:tcPr>
            <w:tcW w:w="2260" w:type="dxa"/>
            <w:vAlign w:val="bottom"/>
          </w:tcPr>
          <w:p>
            <w:pPr>
              <w:ind w:left="40"/>
              <w:spacing w:after="0" w:line="148" w:lineRule="exact"/>
              <w:rPr>
                <w:sz w:val="20"/>
                <w:szCs w:val="20"/>
                <w:color w:val="auto"/>
              </w:rPr>
            </w:pPr>
            <w:r>
              <w:rPr>
                <w:rFonts w:ascii="Arial" w:cs="Arial" w:eastAsia="Arial" w:hAnsi="Arial"/>
                <w:sz w:val="13"/>
                <w:szCs w:val="13"/>
                <w:color w:val="auto"/>
                <w:w w:val="99"/>
              </w:rPr>
              <w:t>Reclassification upon adoption of ASU</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0"/>
        </w:trPr>
        <w:tc>
          <w:tcPr>
            <w:tcW w:w="2260" w:type="dxa"/>
            <w:vAlign w:val="bottom"/>
          </w:tcPr>
          <w:p>
            <w:pPr>
              <w:ind w:left="40"/>
              <w:spacing w:after="0"/>
              <w:rPr>
                <w:sz w:val="20"/>
                <w:szCs w:val="20"/>
                <w:color w:val="auto"/>
              </w:rPr>
            </w:pPr>
            <w:r>
              <w:rPr>
                <w:rFonts w:ascii="Arial" w:cs="Arial" w:eastAsia="Arial" w:hAnsi="Arial"/>
                <w:sz w:val="13"/>
                <w:szCs w:val="13"/>
                <w:color w:val="auto"/>
              </w:rPr>
              <w:t>2018-02</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(1,724)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56"/>
              <w:spacing w:after="0"/>
              <w:rPr>
                <w:sz w:val="20"/>
                <w:szCs w:val="20"/>
                <w:color w:val="auto"/>
              </w:rPr>
            </w:pPr>
            <w:r>
              <w:rPr>
                <w:rFonts w:ascii="Arial" w:cs="Arial" w:eastAsia="Arial" w:hAnsi="Arial"/>
                <w:sz w:val="13"/>
                <w:szCs w:val="13"/>
                <w:color w:val="auto"/>
              </w:rPr>
              <w:t>1,724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6"/>
              <w:spacing w:after="0"/>
              <w:rPr>
                <w:sz w:val="20"/>
                <w:szCs w:val="20"/>
                <w:color w:val="auto"/>
              </w:rPr>
            </w:pPr>
            <w:r>
              <w:rPr>
                <w:rFonts w:ascii="Arial" w:cs="Arial" w:eastAsia="Arial" w:hAnsi="Arial"/>
                <w:sz w:val="13"/>
                <w:szCs w:val="13"/>
                <w:color w:val="auto"/>
              </w:rPr>
              <w:t>—</w:t>
            </w:r>
          </w:p>
        </w:tc>
      </w:tr>
      <w:tr>
        <w:trPr>
          <w:trHeight w:val="242"/>
        </w:trPr>
        <w:tc>
          <w:tcPr>
            <w:tcW w:w="2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January 31, 2019</w:t>
            </w:r>
          </w:p>
        </w:tc>
        <w:tc>
          <w:tcPr>
            <w:tcW w:w="8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17,772,753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159,553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58,401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97"/>
              </w:rPr>
              <w:t>214,448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9,331</w:t>
            </w:r>
          </w:p>
        </w:tc>
      </w:tr>
      <w:tr>
        <w:trPr>
          <w:trHeight w:val="20"/>
        </w:trPr>
        <w:tc>
          <w:tcPr>
            <w:tcW w:w="2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(6,904)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(4,676)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2,126</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disposals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(1,434)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Accrued interest on notes receivable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on stock in Calavo Growers, Inc.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(4,983)</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Cultural costs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2,914</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Accounts payable and growers payable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2,421</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(3,003)</w:t>
            </w:r>
          </w:p>
        </w:tc>
      </w:tr>
      <w:tr>
        <w:trPr>
          <w:trHeight w:val="237"/>
        </w:trPr>
        <w:tc>
          <w:tcPr>
            <w:tcW w:w="8220" w:type="dxa"/>
            <w:vAlign w:val="bottom"/>
          </w:tcPr>
          <w:p>
            <w:pPr>
              <w:ind w:left="500"/>
              <w:spacing w:after="0"/>
              <w:rPr>
                <w:sz w:val="20"/>
                <w:szCs w:val="20"/>
                <w:color w:val="auto"/>
              </w:rPr>
            </w:pPr>
            <w:r>
              <w:rPr>
                <w:rFonts w:ascii="Arial" w:cs="Arial" w:eastAsia="Arial" w:hAnsi="Arial"/>
                <w:sz w:val="16"/>
                <w:szCs w:val="16"/>
                <w:color w:val="auto"/>
              </w:rPr>
              <w:t>Other long-term liabilities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(12,209)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(5,098)</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Agriculture property acquisitions</w:t>
            </w: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Collections of installments on note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Equity investment contributions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 in mutual water companies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(9,805)</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Borrowings of long-term debt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36,631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35,970</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(19,262)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Dividends paid – common</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(1,332)</w:t>
            </w:r>
          </w:p>
        </w:tc>
      </w:tr>
      <w:tr>
        <w:trPr>
          <w:trHeight w:val="33"/>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 – preferred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Exchange of common stock</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14,946</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at beginning of period</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609</w:t>
            </w:r>
          </w:p>
        </w:tc>
      </w:tr>
      <w:tr>
        <w:trPr>
          <w:trHeight w:val="33"/>
        </w:trPr>
        <w:tc>
          <w:tcPr>
            <w:tcW w:w="8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1,280</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4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7"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33020</wp:posOffset>
            </wp:positionV>
            <wp:extent cx="1920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82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paid during the period for interest (net of amounts capitalized)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1,078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Decrease in real estate development and sale-leaseback deferral</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(58,330)</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from real estate development to equity in investments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(33,353)</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Capital expenditures accrued but not paid at period-end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233</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contribution obligation of investment in water company</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r>
      <w:tr>
        <w:trPr>
          <w:trHeight w:val="237"/>
        </w:trPr>
        <w:tc>
          <w:tcPr>
            <w:tcW w:w="8220" w:type="dxa"/>
            <w:vAlign w:val="bottom"/>
          </w:tcPr>
          <w:p>
            <w:pPr>
              <w:ind w:left="280"/>
              <w:spacing w:after="0"/>
              <w:rPr>
                <w:sz w:val="20"/>
                <w:szCs w:val="20"/>
                <w:color w:val="auto"/>
              </w:rPr>
            </w:pPr>
            <w:r>
              <w:rPr>
                <w:rFonts w:ascii="Arial" w:cs="Arial" w:eastAsia="Arial" w:hAnsi="Arial"/>
                <w:sz w:val="16"/>
                <w:szCs w:val="16"/>
                <w:color w:val="auto"/>
              </w:rPr>
              <w:t>Accrued Series B-2 Convertible Preferred Stock dividends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w:t>
            </w:r>
          </w:p>
        </w:tc>
      </w:tr>
    </w:tbl>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2018, the Company terminated its lease agreement with the Joint Venture (as defined herein) that is developing the East Area I real estate development project. As a result, the Company reduced its sale leaseback deferral and corresponding real estate development by $58,330,000 and reclassified $33,353,000 of the Company’s basis in the Joint Venture from real estate development to equity in investments as further described in Note 7 - Real Estate Development and Note 8 - Equity in Investments of the Notes to Consolidated Financial Statements included in this Quarterly Report on Form 10-Q.</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2020, the Company received an annual patronage dividend of $966,000 from Farm Credit West, FLCA ("Farm Credit West"). This dividend was accrued at January 31, 2020, of which $667,000 was recorded as a reduction in interest expense and $299,000 reduced the Company's real estate development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ind w:right="8040" w:firstLine="8"/>
        <w:spacing w:after="0" w:line="377"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 Business</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Limoneira Company (together with its consolidated subsidiaries,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Europe and other international markets. The Company is a member of Sunkist Growers, Inc. (“Sunkist”), an agricultural marketing cooperative, and sells its oranges, specialty citrus and other crops to Sunkist-licensed and other third-party packinghouses.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sells the majority of its avocado production to Calavo Growers, Inc. (“Calavo”), a packing and marketing company listed on the NASDAQ Global Select Market under the symbol CVGW. Calavo’s customers include many of the largest retail and food service companies in the United States and Canada. Calavo packs the Company’s avocados, which are then sold and distributed under Calavo brands to its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Preparation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interim consolidated financial statements include the accounts of the Company and the accounts of all the subsidiaries and investments in which the Company holds a controlling interest . Intercompany accounts and transactions have been eliminated. In the opinion of the Company, the unaudited interim consolidated financial statements reflect all adjustments, which are normal and recurring in nature, necessary for fair financial statement presentation. The preparation of these unaudited interim consolidated financial statements and accompanying notes in conformity with accounting principles generally accepted in the United States (“GAAP”) requires management to make estimates and assumptions that affect the amounts reported. Actual results could differ materially from those estimates. Certain information and footnote disclosures normally included in the annual consolidated financial statements have been condensed or omitted pursuant to the rules and regulations of the SEC. Because the consolidated financial statements do not include all of the information and notes required by GAAP for a complete set of consolidated financial statements, they should be read in conjunction with the audited consolidated financial statements and notes included in the Company’s Annual Report on Form 10-K.</w:t>
      </w:r>
    </w:p>
    <w:p>
      <w:pPr>
        <w:spacing w:after="0" w:line="162" w:lineRule="exact"/>
        <w:rPr>
          <w:sz w:val="20"/>
          <w:szCs w:val="20"/>
          <w:color w:val="auto"/>
        </w:rPr>
      </w:pPr>
    </w:p>
    <w:p>
      <w:pPr>
        <w:ind w:right="768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Changes in Accounting Policies</w:t>
      </w:r>
    </w:p>
    <w:p>
      <w:pPr>
        <w:jc w:val="both"/>
        <w:spacing w:after="0" w:line="279" w:lineRule="auto"/>
        <w:rPr>
          <w:sz w:val="20"/>
          <w:szCs w:val="20"/>
          <w:color w:val="auto"/>
        </w:rPr>
      </w:pPr>
      <w:r>
        <w:rPr>
          <w:rFonts w:ascii="Arial" w:cs="Arial" w:eastAsia="Arial" w:hAnsi="Arial"/>
          <w:sz w:val="17"/>
          <w:szCs w:val="17"/>
          <w:color w:val="auto"/>
        </w:rPr>
        <w:t xml:space="preserve">On November 1, 2019, the Company adopted Financial Accounting Standards Board ("FASB") - </w:t>
      </w:r>
      <w:r>
        <w:rPr>
          <w:rFonts w:ascii="Arial" w:cs="Arial" w:eastAsia="Arial" w:hAnsi="Arial"/>
          <w:sz w:val="17"/>
          <w:szCs w:val="17"/>
          <w:i w:val="1"/>
          <w:iCs w:val="1"/>
          <w:color w:val="auto"/>
        </w:rPr>
        <w:t>Accounting Standards Update ("ASU") 2016-02, Leases</w:t>
      </w:r>
      <w:r>
        <w:rPr>
          <w:rFonts w:ascii="Arial" w:cs="Arial" w:eastAsia="Arial" w:hAnsi="Arial"/>
          <w:sz w:val="17"/>
          <w:szCs w:val="17"/>
          <w:color w:val="auto"/>
        </w:rPr>
        <w:t xml:space="preserve"> (as amended, "ASU 2016-02" or the "New Lease Standard"). A lease is defined as a contract that conveys the right to control the use of an identified asset for a period of time in exchange for consideration. The Company enters into contracts that are, or contain, leases as both a lessee and a lessor. The following accounting policies have been updated as part of the adoption of the New Lease Standard.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Accounting for Operating Leases as a Lessee - </w:t>
      </w:r>
      <w:r>
        <w:rPr>
          <w:rFonts w:ascii="Arial" w:cs="Arial" w:eastAsia="Arial" w:hAnsi="Arial"/>
          <w:sz w:val="16"/>
          <w:szCs w:val="16"/>
          <w:color w:val="auto"/>
        </w:rPr>
        <w:t>In its ordinary course of business, the Company enters into leases as a lessee generally for agricultural land</w:t>
      </w:r>
      <w:r>
        <w:rPr>
          <w:rFonts w:ascii="Arial" w:cs="Arial" w:eastAsia="Arial" w:hAnsi="Arial"/>
          <w:sz w:val="16"/>
          <w:szCs w:val="16"/>
          <w:i w:val="1"/>
          <w:iCs w:val="1"/>
          <w:color w:val="auto"/>
        </w:rPr>
        <w:t xml:space="preserve"> </w:t>
      </w:r>
      <w:r>
        <w:rPr>
          <w:rFonts w:ascii="Arial" w:cs="Arial" w:eastAsia="Arial" w:hAnsi="Arial"/>
          <w:sz w:val="16"/>
          <w:szCs w:val="16"/>
          <w:color w:val="auto"/>
        </w:rPr>
        <w:t>and packinghouse equipment. The Company determines if an arrangement is a lease or contains a lease at inception. Operating leases are included in other assets, accrued liabilities and other long-term liabilities on its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the Company’s leases provide an implicit rate, the Company uses its incremental borrowing rate based on the information available at commencement date in determining the present value of future payments.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Leases with an initial term of 12 months or less are not recorded on the balance sheet as the Company has elected to recognize lease expense for these leases on a straight-line basis over the lease term. The Company has material leases with related parties which are further described in Note 15 - Related-Party Transactions</w:t>
      </w:r>
      <w:r>
        <w:rPr>
          <w:rFonts w:ascii="Arial" w:cs="Arial" w:eastAsia="Arial" w:hAnsi="Arial"/>
          <w:sz w:val="18"/>
          <w:szCs w:val="18"/>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ind w:right="674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Leases (continued)</w:t>
      </w:r>
    </w:p>
    <w:p>
      <w:pPr>
        <w:jc w:val="both"/>
        <w:spacing w:after="0" w:line="279" w:lineRule="auto"/>
        <w:rPr>
          <w:sz w:val="20"/>
          <w:szCs w:val="20"/>
          <w:color w:val="auto"/>
        </w:rPr>
      </w:pPr>
      <w:r>
        <w:rPr>
          <w:rFonts w:ascii="Arial" w:cs="Arial" w:eastAsia="Arial" w:hAnsi="Arial"/>
          <w:sz w:val="17"/>
          <w:szCs w:val="17"/>
          <w:color w:val="auto"/>
        </w:rPr>
        <w:t>Certain of the Company’s agricultural land agreements contain variable costs based on a percentage of the operating results of the leased property. Such variable lease costs are expensed as incurred. These land agreements also contain costs for non-lease components, such as water usage, which the Company accounts for separately from the lease components. For all other agreements, the Company generally combines lease and non-lease components in calculating the ROU assets and lease liabilities. See Note 13 - Leases for additional information.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Accounting for Leases as a Lessor </w:t>
      </w:r>
      <w:r>
        <w:rPr>
          <w:rFonts w:ascii="Arial" w:cs="Arial" w:eastAsia="Arial" w:hAnsi="Arial"/>
          <w:sz w:val="17"/>
          <w:szCs w:val="17"/>
          <w:color w:val="auto"/>
        </w:rPr>
        <w:t>- The Company’s leases in which it acts as the lessor includes land, residential and commercial units and are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classified as operating leases. Certain of the Company’s contracts contain variable income based on a percentage of the operating results of the leased asset. Certain of the Company’s contracts contain non-lease components such as water, utilities and common area services. The Company has elected to not separate lease and non-lease components for its lessor arrangements and the combined component is accounted for entirely under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The underlying asset in an operating lease arrangement is carried at depreciated cost within property, plant, and equipment, net on the consolidated balance sheets. Depreciation is calculated using the straight-line method over the useful life of the underlying asset. The Company recognizes operating lease revenue on a straight-line basis over the lease term.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(loss) income represents all changes in a company’s net assets, except changes resulting from transactions with shareholders, and is reported as a component of the Company’s stockholders’ equity. As of January 31, 2020, the components of accumulated other comprehensive loss, net of tax, consist of foreign currency translation items of $3,629,000, pension liability items of $4,618,000 and security available for sale items of $140,000. As of October 31, 2019, accumulated other comprehensive loss consists of foreign currency translation items of $2,362,000, pension liability items of $4,753,000 and security available for sale items of $140,000.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842) and related ASUs, including ASU 2018-11, Leases (Topic 842): Targeted Improvements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February 2016, the FASB issued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2018-11. Among other things, ASU 2018-11 provides administrative relief by allowing entities to implement the lease standard on a modified retrospective basis (the "Optional Transition Method"). Effectively, the Optional Transition Method permits companies to adopt the lease standard through a cumulative effect adjustment to their opening balance sheet on the date of adoption and report under the New Lease Standard on a post-adoption basis.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ASU 2016-02 effective November 1, 2019 using the Optional Transition Method. The Company elected the package of practical expedients permitted under the transition guidance, which allows the Company to carry forward its historical lease classification, its assessment of whether a contract is or contains a lease, and its initial direct costs for any leases that existed prior to adoption of the New Lease Standard. The Company elected the hindsight practical expedient, which permits the use of hindsight when determining lease term and impairment of ROU assets. The Company did not elect to combine lease and non-lease components for land leases but elected to combine lease and non-lease components for all other asset classes. The Company also elected to keep leases with an initial term of 12 months or less off the balance sheet and recognize the associated lease payments in the consolidated statements of operations on a straight-line basis over the lease term. The comparative information has not been restated and continues to be reported under the accounting standards in effect for those periods. The Company updated its accounting policies, processes and internal controls in order to meet the New Lease Standard's reporting and disclosure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8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00" w:lineRule="exact"/>
        <w:rPr>
          <w:sz w:val="20"/>
          <w:szCs w:val="20"/>
          <w:color w:val="auto"/>
        </w:rPr>
      </w:pPr>
    </w:p>
    <w:p>
      <w:pPr>
        <w:spacing w:after="0" w:line="278" w:lineRule="exact"/>
        <w:rPr>
          <w:sz w:val="20"/>
          <w:szCs w:val="20"/>
          <w:color w:val="auto"/>
        </w:rPr>
      </w:pPr>
    </w:p>
    <w:p>
      <w:pPr>
        <w:ind w:right="6740" w:firstLine="8"/>
        <w:spacing w:after="0" w:line="566"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 Accounting Pronouncements (continued)</w:t>
      </w:r>
    </w:p>
    <w:p>
      <w:pPr>
        <w:jc w:val="both"/>
        <w:spacing w:after="0" w:line="273" w:lineRule="auto"/>
        <w:rPr>
          <w:sz w:val="20"/>
          <w:szCs w:val="20"/>
          <w:color w:val="auto"/>
        </w:rPr>
      </w:pPr>
      <w:r>
        <w:rPr>
          <w:rFonts w:ascii="Arial" w:cs="Arial" w:eastAsia="Arial" w:hAnsi="Arial"/>
          <w:sz w:val="17"/>
          <w:szCs w:val="17"/>
          <w:color w:val="auto"/>
        </w:rPr>
        <w:t>The adoption of ASU 2016-02 had a material impact on its consolidated balance sheets, but did not have a material impact on its consolidated statements of operations or its consolidated statements of cash flows. Upon adoption as of November 1, 2019, the Company recorded ROU assets of $2.4 million and lease liabilities of $2.5 million for operating leases in which the Company is a lessee. The adoption also included an immaterial reclassification of accrued rent liabilities against the ROU asset balance. As of November 1, 2019, there were no material finance leases for which the Company was a lessee. The adoption of ASU 2016-02 did not change the Company’s accounting for its operating leases in which it acts as the lessor. See Note 13 - Leases for additional information about the Company’s leases from a lessor and lessee perspective.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2016-13, Financial Instruments - Credit Losses (Topic 326): Measurement of Credit Losses on Financial Instruments, and related ASUs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ASU 2016-13 is effective for SEC filers for fiscal years, and interim periods within those fiscal years, beginning after December 15, 2019. Early application is permitted for fiscal years, and interim periods within those fiscal years, beginning after December 15, 2018. The Company is evaluating the effect this ASU may have on its consolidated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2018-14, Compensation - Retirement Benefits - Defined Benefit Plans - General (Subtopic 715-20): Disclosure Framework - Changes to the Disclosure Requirements for Defined Benefit Plans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adds, removes and clarifies the disclosure requirements for employers that sponsor defined benefit pension or other post retirement plans. For public business entities, the amendments are effective for fiscal years ending after December 15, 2020. Early adoption is permitted. The Company is evaluating the effect this ASU may have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2019-12, Income Taxes (Topic 740): Simplifying the Accounting for 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amendment removes specific exceptions to the general principles in Topic 740 in GAAP. It eliminates the need for an organization to analyze whether certain exceptions apply in a given period. The amendment also improves financial statement preparers’ application of income tax-related guidance and simplifies GAAP under certain situations.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ASU 2019-12 is effective for public business entities, for fiscal years beginning after December 15, 2020, and interim periods within those fiscal years. Early adoption is permitted. An entity that elects early adoption in an interim period should reflect any adjustments as of the beginning of the annual period that includes that interim period. Additionally, an entity that elects early adoption should adopt all the amendments in the same period. The Company early adopted this ASU as of November 1, 2019 and the adoption did not have a material impact on its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Agriculture Property Acquisition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2019, the Company purchased land for use as a citrus orchard for a cash purchase price of $397,000. The acquisition was for 26 acres of agricultural property adjacent to the Company’s orchards in Lindsay, California. This agriculture property acquisition is included in property, plant and equipment, net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8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ind w:right="9440" w:firstLine="8"/>
        <w:spacing w:after="0" w:line="602"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Combinations Trapani Fresh</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30, 2019, the Company acquired a 51% interest in a joint venture, Trapani Fresh, formed with FGF Trapani (“FGF”), a multi-generational, family-owned citrus operation in Argentina. To consummate the transaction, the Company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the Company’s interest in Trapani Fresh was $15,000,000 and transaction costs of approximately $654,000 were included in selling, general and administrative expense during the fiscal year ended October 31, 2019.</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Below is a summary of the preliminary fair value of the net assets acquired on the acquisition date based on a third-party valuation, which was updated during the fourth quarter of fiscal year 2019 due to changes in the enacted tax rates in Argentina that increased the customer relationships, trademarks and non-competition agreement and decreased goodwill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Cultural costs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Land and land improvements</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9,520</w:t>
            </w:r>
          </w:p>
        </w:tc>
      </w:tr>
      <w:tr>
        <w:trPr>
          <w:trHeight w:val="27"/>
        </w:trPr>
        <w:tc>
          <w:tcPr>
            <w:tcW w:w="9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Orchards</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8,410</w:t>
            </w:r>
          </w:p>
        </w:tc>
      </w:tr>
      <w:tr>
        <w:trPr>
          <w:trHeight w:val="27"/>
        </w:trPr>
        <w:tc>
          <w:tcPr>
            <w:tcW w:w="9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 trademarks and non-competition agreement (10-year useful life)</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27"/>
        </w:trPr>
        <w:tc>
          <w:tcPr>
            <w:tcW w:w="9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29,410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(14,410)</w:t>
            </w:r>
          </w:p>
        </w:tc>
      </w:tr>
      <w:tr>
        <w:trPr>
          <w:trHeight w:val="27"/>
        </w:trPr>
        <w:tc>
          <w:tcPr>
            <w:tcW w:w="9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r>
      <w:tr>
        <w:trPr>
          <w:trHeight w:val="20"/>
        </w:trPr>
        <w:tc>
          <w:tcPr>
            <w:tcW w:w="9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Preliminary goodwill of $420,000 relates to synergies of the operations, has been allocated to the fresh lemons segment and is currently not expected to be deductible for tax purposes. Revenue of $14,651,000 and net income of $999,000 of Trapani Fresh were included in the Company’s consolidated statement of operations from the acquisition date to the period ended October 31, 2019. The unaudited, pro forma consolidated statement of operations as if Trapani Fresh had been included in the consolidated results of the Company for the years ended October 31, 2019 and 2018 would have resulted in revenues of $177,625,000 and $153,033,000, respectively, and net (loss) income of $(6,092,000) and $21,942,000,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January 31, 2020 and October 31, 2019, which are measured on a recurring basis during the period, segregated by level within the fair value hierarchy (in thousands):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382" w:right="3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4. Fair Value Measurements (continued)</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January 31, 2020</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15,322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15,322</w:t>
            </w:r>
          </w:p>
        </w:tc>
      </w:tr>
      <w:tr>
        <w:trPr>
          <w:trHeight w:val="405"/>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October 31, 2019</w:t>
            </w:r>
          </w:p>
        </w:tc>
        <w:tc>
          <w:tcPr>
            <w:tcW w:w="3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17,346</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Equity securities consist of marketable securities in Calavo common stock. At January 31, 2020 and October 31, 2019, the Company owned 200,000 shares, respectively, representing approximately 1.1% of Calavo’s outstanding common stock. These securities are measured at fair value by quoted market prices and changes in fair value are included in the statement of operations.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year 2019, the Company sold 50,000 shares of Calavo common stock for a total of $4,786,000 recognizing a loss of $63,000. This loss is included in other (expense) income in the consolidated statement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recorded an unrealized loss of $2,024,000 during the three months ended January 31, 2020, which is included in other expense in the consolidated statements of operations. The Company recorded an unrealized loss of $3,910,000 during the three months ended January 31, 2019, which is included in other expense in the consolidated statements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Calavo’s stock price at January 31, 2020 and October 31, 2019 was $76.61 and $86.73 per share,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Concentrations and Geographic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Lemons procured from third-party growers were 55% and 59% of the Company's lemon supply in the three months ended January 31, 2020 and 2019, respectively. The Company sells the majority of its avocado production to Calavo and the majority of its oranges and specialty citrus to a third-party packinghouse.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individual customer represented 11% of accounts receivable, net as of January 31, 2020. Concentrations of credit risk with respect to trade receivables are limited due to a large, diverse customer base.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2020, the Company had approximately $539,000 of lemon and orange sales in Chile by PDA and San Pablo and $199,000 of lemon and orange sales in Argentina by Trapani Fresh. During the three months ended January 31, 2019, the Company had approximately $638,000 of lemon and orange sales in Chile by PDA and San Pablo.</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6. Prepaid Expenses and Other 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0"/>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supplies and insurance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Note receivable and related interest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 held-for-sale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Lemon supplier advances and other</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2,230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8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Real estate development assets are comprised primarily of land and land development costs and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2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October 31,</w:t>
            </w:r>
          </w:p>
        </w:tc>
      </w:tr>
      <w:tr>
        <w:trPr>
          <w:trHeight w:val="234"/>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Property - East Area 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East Area II</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5,659</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 I, Retained Property and East Area II</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(“LLCB” or “Joint Venture”) as the development entity, contributed its East Area I property to LLCB and sold a 50% interest in LLCB to Lewis for $20,000,000.</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the Joint Venture also entered into a Retained Property Development Agreement on the Transaction Date (the "Retained Property Agreement"). Under the terms of the Retained Property Agreement, the Joint Venture transferred certain contributed East Area I property, which is entitled for commercial development, back to the Company (the "Retained Property") and arranged for the design and construction of certain improvements to the Retained Property, subject to certain reimbursements by the Company. The value as of January 31, 2020 and October 31, 2019 includes $1,200,000, respectively, for estimated costs incurred by and reimbursable to LLCB, which is included in accrued liabilities as of January 31, 2020.</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2018, the Joint Venture entered into a $45,000,000 unsecured Line of Credit Loan Agreement and Promissory Note (the “Loan”) with Bank of America, N.A. to fund early development activities. The Loan originally was scheduled to mature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 penalty. The extension had no impact on the Company's loan guarantee $1,080,000 value as of January 31, 2020.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2018, certain principals from Lewis and by the Company guaranteed the obligations under the Loan. The guarantee shall continue in effect until all of the Loan obligations are fully paid and the guarantors are jointly and severally liable for all Loan obligations in the event of default by the Joint Venture. The Joint Venture recorded the Loan balance of $45,000,000 as of January 31,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made contributions to the Joint Venture of $2,800,000 and $4,000,000 in the three months ended January 31,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Additionally, in February 2020 the Company and Lewis each loaned $1,800,000 to the Joint Venture at an interest rate of 4.6% due May 31, 2020.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2020, the Joint Venture has closed the sales of the initial residential lots representing 244 residential units.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remaining real estate development parcel within the Templeton Santa Barbara, LLCB project is described as Sevilla. The Company's net carrying value of Sevilla was $2,543,000, as of January 31, 2020 and October 31, 2019, respectively, which has been included in prepaid expenses and other current assets. The expenses associated with this property were immaterial.</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December 2017, the Company sold its Centennial property with a net book value of $2,983,000 for $3,250,000. The Company received cash and a $3,000,000 promissory note secured by the property for the balance of the purchase price. The promissory note was originally scheduled to mature in December 2019 but the Company extended the maturity date concurrently and resetting the interest rate to equal to the 6-month LIBOR plus 2.75% on the outstanding principal balance of the note, interest only paid monthly on the first day of each month beginning January 1, 2020. At January 31, 2020, the carrying value of the note was $2,670,000 and classified in prepaid expenses and other current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8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Real Estate Development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Real Estate Development Projects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first quarter of fiscal year 2020, the Company entered into an agreement to sell its Sevilla property for $2,700,000. After transaction and other costs, the Company expects to receive proceeds of approximately $2,550,000 and recognize an insignificant gain upon closing. At January 31, 2020, the $2,543,000 carrying value of the property was classified as held for sale and included in prepaid expenses and other current assets.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8. Equity in Investments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24"/>
        </w:trPr>
        <w:tc>
          <w:tcPr>
            <w:tcW w:w="7980" w:type="dxa"/>
            <w:vAlign w:val="bottom"/>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0"/>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Limoneira Lewis Community Builders, LLC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54,016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Limco Del Mar, Ltd.</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1,950</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Rosales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Romney Property Partnership</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512</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Significant Subsidiary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accordance with Rule 10-01(b)(1) of Regulation S-X, which applies to interim reports on Form 10-Q, the Company must determine if its equity method investees are considered, “significant subsidiaries”. In evaluating its investments, there are two tests utilized to determine if equity method investees are considered significant subsidiaries: the income test and the investment test. Summarized income statement information of an equity method investee is required in an interim report if either of the two tests exceed 20%. During the current year-to-date interim period, this threshold was not met for any of the Company's equity investments and thus summarized income statement information is not required in this Quarterly Report on Form 10-Q.</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Goodwill is tested for impairment on an annual basis or when an event or changes in circumstances indicate that its carrying value may not be recoverable.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impairment charges recorded against goodwill as of January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January 31, 2020 and October 31, 2019 (in thousands):</w:t>
      </w:r>
    </w:p>
    <w:p>
      <w:pPr>
        <w:sectPr>
          <w:pgSz w:w="11900" w:h="16838" w:orient="portrait"/>
          <w:cols w:equalWidth="0" w:num="1">
            <w:col w:w="11240"/>
          </w:cols>
          <w:pgMar w:left="320" w:top="382" w:right="339" w:bottom="1440" w:gutter="0" w:footer="0" w:header="0"/>
        </w:sectPr>
      </w:pPr>
    </w:p>
    <w:p>
      <w:pPr>
        <w:spacing w:after="0" w:line="338"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23495</wp:posOffset>
            </wp:positionV>
            <wp:extent cx="251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 w:lineRule="exact"/>
        <w:rPr>
          <w:sz w:val="20"/>
          <w:szCs w:val="20"/>
          <w:color w:val="auto"/>
        </w:rPr>
      </w:pPr>
    </w:p>
    <w:tbl>
      <w:tblPr>
        <w:tblLayout w:type="fixed"/>
        <w:tblInd w:w="3280" w:type="dxa"/>
        <w:tblCellMar>
          <w:top w:w="0" w:type="dxa"/>
          <w:left w:w="0" w:type="dxa"/>
          <w:bottom w:w="0" w:type="dxa"/>
          <w:right w:w="0" w:type="dxa"/>
        </w:tblCellMar>
      </w:tblPr>
      <w:tr>
        <w:trPr>
          <w:trHeight w:val="161"/>
        </w:trPr>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Gross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1040" w:type="dxa"/>
            <w:vAlign w:val="bottom"/>
            <w:gridSpan w:val="2"/>
            <w:vMerge w:val="continue"/>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Accumulated</w:t>
            </w:r>
          </w:p>
        </w:tc>
        <w:tc>
          <w:tcPr>
            <w:tcW w:w="80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gridSpan w:val="2"/>
            <w:vMerge w:val="continue"/>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Carrying</w:t>
            </w:r>
          </w:p>
        </w:tc>
        <w:tc>
          <w:tcPr>
            <w:tcW w:w="88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October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4771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2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86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940" w:type="dxa"/>
            <w:vAlign w:val="bottom"/>
            <w:vMerge w:val="continue"/>
          </w:tcPr>
          <w:p>
            <w:pPr>
              <w:spacing w:after="0"/>
              <w:rPr>
                <w:sz w:val="12"/>
                <w:szCs w:val="12"/>
                <w:color w:val="auto"/>
              </w:rPr>
            </w:pP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880" w:type="dxa"/>
            <w:vAlign w:val="bottom"/>
            <w:vMerge w:val="continue"/>
          </w:tcPr>
          <w:p>
            <w:pPr>
              <w:spacing w:after="0"/>
              <w:rPr>
                <w:sz w:val="12"/>
                <w:szCs w:val="12"/>
                <w:color w:val="auto"/>
              </w:rPr>
            </w:pPr>
          </w:p>
        </w:tc>
        <w:tc>
          <w:tcPr>
            <w:tcW w:w="8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8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Useful Life</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Amortization</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240" w:space="100"/>
            <w:col w:w="3900"/>
          </w:cols>
          <w:pgMar w:left="320" w:top="382" w:right="339" w:bottom="1440" w:gutter="0" w:footer="0" w:header="0"/>
          <w:type w:val="continuous"/>
        </w:sect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 trademarks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3,244</w:t>
            </w:r>
          </w:p>
        </w:tc>
        <w:tc>
          <w:tcPr>
            <w:tcW w:w="9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89"/>
              </w:rPr>
              <w:t>10</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4,362</w:t>
            </w:r>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4,510</w:t>
            </w:r>
          </w:p>
        </w:tc>
        <w:tc>
          <w:tcPr>
            <w:tcW w:w="900" w:type="dxa"/>
            <w:vAlign w:val="bottom"/>
          </w:tcPr>
          <w:p>
            <w:pPr>
              <w:jc w:val="center"/>
              <w:ind w:left="35"/>
              <w:spacing w:after="0"/>
              <w:rPr>
                <w:sz w:val="20"/>
                <w:szCs w:val="20"/>
                <w:color w:val="auto"/>
              </w:rPr>
            </w:pPr>
            <w:r>
              <w:rPr>
                <w:rFonts w:ascii="Arial" w:cs="Arial" w:eastAsia="Arial" w:hAnsi="Arial"/>
                <w:sz w:val="18"/>
                <w:szCs w:val="18"/>
                <w:color w:val="auto"/>
                <w:w w:val="99"/>
              </w:rPr>
              <w:t>9</w:t>
            </w:r>
          </w:p>
        </w:tc>
      </w:tr>
      <w:tr>
        <w:trPr>
          <w:trHeight w:val="27"/>
        </w:trPr>
        <w:tc>
          <w:tcPr>
            <w:tcW w:w="3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90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89"/>
              </w:rPr>
              <w:t>10</w:t>
            </w:r>
          </w:p>
        </w:tc>
      </w:tr>
      <w:tr>
        <w:trPr>
          <w:trHeight w:val="264"/>
        </w:trPr>
        <w:tc>
          <w:tcPr>
            <w:tcW w:w="3280" w:type="dxa"/>
            <w:vAlign w:val="bottom"/>
          </w:tcPr>
          <w:p>
            <w:pPr>
              <w:ind w:left="40"/>
              <w:spacing w:after="0"/>
              <w:rPr>
                <w:sz w:val="20"/>
                <w:szCs w:val="20"/>
                <w:color w:val="auto"/>
              </w:rPr>
            </w:pPr>
            <w:r>
              <w:rPr>
                <w:rFonts w:ascii="Arial" w:cs="Arial" w:eastAsia="Arial" w:hAnsi="Arial"/>
                <w:sz w:val="18"/>
                <w:szCs w:val="18"/>
                <w:color w:val="auto"/>
              </w:rPr>
              <w:t>Acquired water and mineral rights</w:t>
            </w:r>
          </w:p>
        </w:tc>
        <w:tc>
          <w:tcPr>
            <w:tcW w:w="220" w:type="dxa"/>
            <w:vAlign w:val="bottom"/>
          </w:tcPr>
          <w:p>
            <w:pPr>
              <w:spacing w:after="0"/>
              <w:rPr>
                <w:sz w:val="22"/>
                <w:szCs w:val="22"/>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1000" w:type="dxa"/>
            <w:vAlign w:val="bottom"/>
          </w:tcPr>
          <w:p>
            <w:pPr>
              <w:ind w:left="220"/>
              <w:spacing w:after="0"/>
              <w:rPr>
                <w:sz w:val="20"/>
                <w:szCs w:val="20"/>
                <w:color w:val="auto"/>
              </w:rPr>
            </w:pPr>
            <w:r>
              <w:rPr>
                <w:rFonts w:ascii="Arial" w:cs="Arial" w:eastAsia="Arial" w:hAnsi="Arial"/>
                <w:sz w:val="14"/>
                <w:szCs w:val="14"/>
                <w:color w:val="auto"/>
              </w:rPr>
              <w:t>Indefinite</w:t>
            </w:r>
          </w:p>
        </w:tc>
        <w:tc>
          <w:tcPr>
            <w:tcW w:w="200" w:type="dxa"/>
            <w:vAlign w:val="bottom"/>
          </w:tcPr>
          <w:p>
            <w:pPr>
              <w:spacing w:after="0"/>
              <w:rPr>
                <w:sz w:val="22"/>
                <w:szCs w:val="22"/>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3,655</w:t>
            </w:r>
          </w:p>
        </w:tc>
        <w:tc>
          <w:tcPr>
            <w:tcW w:w="900" w:type="dxa"/>
            <w:vAlign w:val="bottom"/>
          </w:tcPr>
          <w:p>
            <w:pPr>
              <w:ind w:left="220"/>
              <w:spacing w:after="0"/>
              <w:rPr>
                <w:sz w:val="20"/>
                <w:szCs w:val="20"/>
                <w:color w:val="auto"/>
              </w:rPr>
            </w:pPr>
            <w:r>
              <w:rPr>
                <w:rFonts w:ascii="Arial" w:cs="Arial" w:eastAsia="Arial" w:hAnsi="Arial"/>
                <w:sz w:val="14"/>
                <w:szCs w:val="14"/>
                <w:color w:val="auto"/>
              </w:rPr>
              <w:t>Indefinite</w:t>
            </w:r>
          </w:p>
        </w:tc>
      </w:tr>
      <w:tr>
        <w:trPr>
          <w:trHeight w:val="263"/>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12,122</w:t>
            </w:r>
          </w:p>
        </w:tc>
        <w:tc>
          <w:tcPr>
            <w:tcW w:w="10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12,407</w:t>
            </w:r>
          </w:p>
        </w:tc>
        <w:tc>
          <w:tcPr>
            <w:tcW w:w="9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3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$285,000 and $89,000 for the three months ended January 31, 2020 and 2019,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of intangible assets as of January 31, 2020 are as follows (in thousands):</w:t>
      </w:r>
    </w:p>
    <w:p>
      <w:pPr>
        <w:sectPr>
          <w:pgSz w:w="11900" w:h="16838" w:orient="portrait"/>
          <w:cols w:equalWidth="0" w:num="1">
            <w:col w:w="1124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382"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Arial" w:cs="Arial" w:eastAsia="Arial" w:hAnsi="Arial"/>
                <w:sz w:val="18"/>
                <w:szCs w:val="18"/>
                <w:b w:val="1"/>
                <w:bCs w:val="1"/>
                <w:color w:val="auto"/>
              </w:rPr>
              <w:t>9. Goodwill and Intangible Assets (continued)</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35"/>
        </w:trPr>
        <w:tc>
          <w:tcPr>
            <w:tcW w:w="10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(excluding the three months ended January 31, 2020)</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1,027</w:t>
            </w:r>
          </w:p>
        </w:tc>
      </w:tr>
      <w:tr>
        <w:trPr>
          <w:trHeight w:val="27"/>
        </w:trPr>
        <w:tc>
          <w:tcPr>
            <w:tcW w:w="10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976</w:t>
            </w:r>
          </w:p>
        </w:tc>
      </w:tr>
      <w:tr>
        <w:trPr>
          <w:trHeight w:val="27"/>
        </w:trPr>
        <w:tc>
          <w:tcPr>
            <w:tcW w:w="10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100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3,760</w:t>
            </w:r>
          </w:p>
        </w:tc>
      </w:tr>
      <w:tr>
        <w:trPr>
          <w:trHeight w:val="27"/>
        </w:trPr>
        <w:tc>
          <w:tcPr>
            <w:tcW w:w="10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8"/>
        </w:trPr>
        <w:tc>
          <w:tcPr>
            <w:tcW w:w="10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8,467</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Mutual Water Companies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investments in various not-for-profit mutual water companies provide the Company with the right to receive a proportionate share of water from each of the not-for-profit mutual water companies that have been invested in and do not constitute voting shares and/or rights. Amounts included in other assets in the consolidated balance sheets as of January 31, 2020 and October 31, 2019 were $5,992,000 and $5,499,000,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11. Accrued Liabilities</w:t>
            </w: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October 31, 2019</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3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Property taxes</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 and orange supplier payables</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Allowances and packing and harvest expenses</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to FGF</w:t>
            </w:r>
          </w:p>
        </w:tc>
        <w:tc>
          <w:tcPr>
            <w:tcW w:w="3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Payable to LLCB</w:t>
            </w: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10,271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120" w:type="dxa"/>
            <w:vAlign w:val="bottom"/>
            <w:vMerge w:val="restart"/>
          </w:tcPr>
          <w:p>
            <w:pPr>
              <w:jc w:val="right"/>
              <w:ind w:right="217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12. Long-Term Debt</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1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680" w:type="dxa"/>
            <w:vAlign w:val="bottom"/>
            <w:shd w:val="clear" w:color="auto" w:fill="CCEEFF"/>
          </w:tcPr>
          <w:p>
            <w:pPr>
              <w:ind w:left="40"/>
              <w:spacing w:after="0" w:line="192" w:lineRule="exact"/>
              <w:rPr>
                <w:sz w:val="20"/>
                <w:szCs w:val="20"/>
                <w:color w:val="auto"/>
              </w:rPr>
            </w:pPr>
            <w:r>
              <w:rPr>
                <w:rFonts w:ascii="Arial" w:cs="Arial" w:eastAsia="Arial" w:hAnsi="Arial"/>
                <w:sz w:val="17"/>
                <w:szCs w:val="17"/>
                <w:color w:val="auto"/>
                <w:w w:val="98"/>
              </w:rPr>
              <w:t>Farm Credit West revolving and non-revolving lines of credit: the interest rate of the revolving line of credit is variable</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based on the one-month London Interbank Offered Rate (“LIBOR”), which was 1.80% at January 31, 2020, plus 1.85%.</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The interest rate for the $40.0 million outstanding balance of the non-revolving line of credit was fixed at 4.77%. Interest is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104,466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82,843</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payable monthly and the principal is due in full on July 1, 2022.</w:t>
            </w: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rPr>
              <w:t>Farm Credit West term loan: Effective October 1, 2019, the interest rate was fixed at 3.76%. The loan is payable in</w:t>
            </w:r>
          </w:p>
        </w:tc>
        <w:tc>
          <w:tcPr>
            <w:tcW w:w="12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quarterly installments through November 2022.</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Farm Credit West term loan: Effective October 1, 2019, the interest rate was fixed at 4.14%. The loan is payable in monthly</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installments through October 2035.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3"/>
              </w:rPr>
              <w:t>Farm Credit West term loan: Effective October 1, 2019, the interest rate was fixed at 4.17%. The loan is payable in monthly</w:t>
            </w:r>
          </w:p>
        </w:tc>
        <w:tc>
          <w:tcPr>
            <w:tcW w:w="12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installments through March 2036.</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6"/>
              </w:rPr>
              <w:t>Farm Credit West term loan: the interest rate is fixed at 3.62% until March 2021, becoming variable for the remainder of</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the loan. The loan is payable in monthly installments though March 2036.</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7"/>
              </w:rPr>
              <w:t>Wells Fargo term loan: the interest rate is fixed at 3.58%. The loan is payable in monthly installments through January</w:t>
            </w:r>
          </w:p>
        </w:tc>
        <w:tc>
          <w:tcPr>
            <w:tcW w:w="12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4,955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5"/>
              </w:rPr>
              <w:t>Banco de Chile term loan: the interest rate is fixed at 6.48%. The loan is payable in annual installments through January</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2025.</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680" w:type="dxa"/>
            <w:vAlign w:val="bottom"/>
          </w:tcPr>
          <w:p>
            <w:pPr>
              <w:ind w:left="40"/>
              <w:spacing w:after="0"/>
              <w:rPr>
                <w:sz w:val="20"/>
                <w:szCs w:val="20"/>
                <w:color w:val="auto"/>
              </w:rPr>
            </w:pPr>
            <w:r>
              <w:rPr>
                <w:rFonts w:ascii="Arial" w:cs="Arial" w:eastAsia="Arial" w:hAnsi="Arial"/>
                <w:sz w:val="17"/>
                <w:szCs w:val="17"/>
                <w:color w:val="auto"/>
                <w:w w:val="92"/>
              </w:rPr>
              <w:t>Note Payable: the interest rate ranges from 5.00% to 7.00% and was 5.50% at January 31, 2020. The loan includes interest</w:t>
            </w:r>
          </w:p>
        </w:tc>
        <w:tc>
          <w:tcPr>
            <w:tcW w:w="120" w:type="dxa"/>
            <w:vAlign w:val="bottom"/>
          </w:tcPr>
          <w:p>
            <w:pPr>
              <w:spacing w:after="0"/>
              <w:rPr>
                <w:sz w:val="18"/>
                <w:szCs w:val="18"/>
                <w:color w:val="auto"/>
              </w:rPr>
            </w:pP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20"/>
        </w:trPr>
        <w:tc>
          <w:tcPr>
            <w:tcW w:w="8680" w:type="dxa"/>
            <w:vAlign w:val="bottom"/>
          </w:tcPr>
          <w:p>
            <w:pPr>
              <w:ind w:left="40"/>
              <w:spacing w:after="0"/>
              <w:rPr>
                <w:sz w:val="20"/>
                <w:szCs w:val="20"/>
                <w:color w:val="auto"/>
              </w:rPr>
            </w:pPr>
            <w:r>
              <w:rPr>
                <w:rFonts w:ascii="Arial" w:cs="Arial" w:eastAsia="Arial" w:hAnsi="Arial"/>
                <w:sz w:val="17"/>
                <w:szCs w:val="17"/>
                <w:color w:val="auto"/>
              </w:rPr>
              <w:t>only monthly payments and principal is due in February 2023.</w:t>
            </w: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Subtotal</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109,077</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7"/>
                <w:szCs w:val="17"/>
                <w:color w:val="auto"/>
              </w:rPr>
              <w:t>Less deferred financing costs, net of accumulated amortization</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108,915</w:t>
            </w:r>
          </w:p>
        </w:tc>
        <w:tc>
          <w:tcPr>
            <w:tcW w:w="0" w:type="dxa"/>
            <w:vAlign w:val="bottom"/>
          </w:tcPr>
          <w:p>
            <w:pPr>
              <w:spacing w:after="0"/>
              <w:rPr>
                <w:sz w:val="1"/>
                <w:szCs w:val="1"/>
                <w:color w:val="auto"/>
              </w:rPr>
            </w:pPr>
          </w:p>
        </w:tc>
      </w:tr>
      <w:tr>
        <w:trPr>
          <w:trHeight w:val="243"/>
        </w:trPr>
        <w:tc>
          <w:tcPr>
            <w:tcW w:w="8680" w:type="dxa"/>
            <w:vAlign w:val="bottom"/>
          </w:tcPr>
          <w:p>
            <w:pPr>
              <w:ind w:left="40"/>
              <w:spacing w:after="0"/>
              <w:rPr>
                <w:sz w:val="20"/>
                <w:szCs w:val="20"/>
                <w:color w:val="auto"/>
              </w:rPr>
            </w:pPr>
            <w:r>
              <w:rPr>
                <w:rFonts w:ascii="Arial" w:cs="Arial" w:eastAsia="Arial" w:hAnsi="Arial"/>
                <w:sz w:val="17"/>
                <w:szCs w:val="17"/>
                <w:color w:val="auto"/>
              </w:rPr>
              <w:t>Less current portion</w:t>
            </w:r>
          </w:p>
        </w:tc>
        <w:tc>
          <w:tcPr>
            <w:tcW w:w="1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
        </w:trPr>
        <w:tc>
          <w:tcPr>
            <w:tcW w:w="8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debt, less 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105,892</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2017, the Company entered into a Master Loan Agreement (the “Loan Agreement”) with Farm Credit West that includes a Revolving Credit Supplement and a Non-Revolving Credit Supplement (the “Supplements”). On January 29, 2018, the Company amended the Revolving Credit Supplement to increase the borrowing capacity from $60,000,000 to $75,000,000. The Supplements provide aggregate borrowing capacity of $115,000,000 comprised of $75,000,000 under the Revolving Credit Supplement and $40,000,000 under the Non-Revolving Credit Supplement. The borrowing capacity based on collateral value was $115,000,000 at January 31,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its agricultural properties in Tulare, Ventura and San Luis Obispo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December 2019, Farm Credit West declared an annual cash patronage dividend of 1.00% of average eligible loan balances. The Company accrued the $966,000 dividend receivable in prepaid expenses and other current assets at January 31, 2020, which was received in February 2020.</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2020, the Company entered into a loan agreement with Farm Credit West for a $15,000,000 revolving line of credit secured by the Windfall Investors, LLC property. The loan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82"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 (continued)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$89,000 and $267,000 during the three months ended January 31, 2020 and 2019, respectively. Capitalized interest is included in property, plant and equipment and real estate development assets in the Company’s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enters into leasing transactions in which it rents certain of its assets and the Company is the lessor. These lease contracts are typically classified as operating leases with remaining terms ranging from one month to 23 years, with various renewal terms available. All of the residential rentals have month to month lease terms.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components of the Company’s operating lease portfolio included in property, plant and equipment, net as of the dates indicated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ind w:left="160"/>
              <w:spacing w:after="0"/>
              <w:rPr>
                <w:sz w:val="20"/>
                <w:szCs w:val="20"/>
                <w:color w:val="auto"/>
              </w:rPr>
            </w:pPr>
            <w:r>
              <w:rPr>
                <w:rFonts w:ascii="Arial" w:cs="Arial" w:eastAsia="Arial" w:hAnsi="Arial"/>
                <w:sz w:val="18"/>
                <w:szCs w:val="18"/>
                <w:b w:val="1"/>
                <w:bCs w:val="1"/>
                <w:color w:val="auto"/>
              </w:rPr>
              <w:t>January 31, 2020</w:t>
            </w:r>
          </w:p>
        </w:tc>
        <w:tc>
          <w:tcPr>
            <w:tcW w:w="280" w:type="dxa"/>
            <w:vAlign w:val="bottom"/>
          </w:tcPr>
          <w:p>
            <w:pPr>
              <w:spacing w:after="0"/>
              <w:rPr>
                <w:sz w:val="20"/>
                <w:szCs w:val="20"/>
                <w:color w:val="auto"/>
              </w:rPr>
            </w:pPr>
          </w:p>
        </w:tc>
        <w:tc>
          <w:tcPr>
            <w:tcW w:w="18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October 31, 2019</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Buildings, equipment and building improvements</w:t>
            </w:r>
          </w:p>
        </w:tc>
        <w:tc>
          <w:tcPr>
            <w:tcW w:w="26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22,841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22,841</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(7,551)</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Property, plant and equipment, net under operating leases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16,569</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assets under operating leases was approximately $166,000 for the three months ended January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tcPr>
          <w:p>
            <w:pPr>
              <w:spacing w:after="0"/>
              <w:rPr>
                <w:sz w:val="20"/>
                <w:szCs w:val="20"/>
                <w:color w:val="auto"/>
              </w:rPr>
            </w:pPr>
            <w:r>
              <w:rPr>
                <w:rFonts w:ascii="Arial" w:cs="Arial" w:eastAsia="Arial" w:hAnsi="Arial"/>
                <w:sz w:val="18"/>
                <w:szCs w:val="18"/>
                <w:color w:val="auto"/>
              </w:rPr>
              <w:t>The Company’s rental operations revenue consists of the following (in thousands):</w:t>
            </w: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60"/>
        </w:trPr>
        <w:tc>
          <w:tcPr>
            <w:tcW w:w="9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9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payments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Variable lease payments</w:t>
            </w:r>
          </w:p>
        </w:tc>
        <w:tc>
          <w:tcPr>
            <w:tcW w:w="18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9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0"/>
        </w:trPr>
        <w:tc>
          <w:tcPr>
            <w:tcW w:w="9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future minimum lease payments to be received by the Company related to these operating lease agreements as of January 31, 2020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(excluding the three months ended January 31, 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758</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1,936</w:t>
            </w: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Arrangements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enters into leasing transactions in which the Company is the lessee. These lease contracts are typically classified as operating leases. The Company’s lease contracts are generally for agricultural land and packinghouse equipment with remaining lease terms ranging from one to 18 years, with various term extensions available. The Company’s lease agreements do not contain any residual value guarantees or material restrictive covenants. Leases with an initial term of 12 months or less are not recorded on the balance sheet and the Company recognizes lease expense for these leases on a straight-line basis over the lease term. As of January 31, 2020, there were no material finance leases for which the Company was a lessee.</w:t>
      </w:r>
    </w:p>
    <w:p>
      <w:pPr>
        <w:sectPr>
          <w:pgSz w:w="11900" w:h="16838" w:orient="portrait"/>
          <w:cols w:equalWidth="0" w:num="1">
            <w:col w:w="11240"/>
          </w:cols>
          <w:pgMar w:left="320" w:top="382"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382"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costs were $137,000 for the three months ended January 31, 2020, which are primarily included in agribusiness costs and expenses in the Company’s consolidated statements of operations. Variable and short term lease costs were immaterial.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consists of the following (in thousands):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78"/>
        </w:trPr>
        <w:tc>
          <w:tcPr>
            <w:tcW w:w="602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Classification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602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Operating lease ROU assets</w:t>
            </w:r>
          </w:p>
        </w:tc>
        <w:tc>
          <w:tcPr>
            <w:tcW w:w="30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2,302</w:t>
            </w:r>
          </w:p>
        </w:tc>
      </w:tr>
      <w:tr>
        <w:trPr>
          <w:trHeight w:val="27"/>
        </w:trPr>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24"/>
        </w:trPr>
        <w:tc>
          <w:tcPr>
            <w:tcW w:w="602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operating lease liabilities</w:t>
            </w:r>
          </w:p>
        </w:tc>
        <w:tc>
          <w:tcPr>
            <w:tcW w:w="3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545</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Non-current operating lease liabilities</w:t>
            </w:r>
          </w:p>
        </w:tc>
        <w:tc>
          <w:tcPr>
            <w:tcW w:w="30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1,787</w:t>
            </w:r>
          </w:p>
        </w:tc>
      </w:tr>
      <w:tr>
        <w:trPr>
          <w:trHeight w:val="27"/>
        </w:trPr>
        <w:tc>
          <w:tcPr>
            <w:tcW w:w="60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30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2,332</w:t>
            </w:r>
          </w:p>
        </w:tc>
      </w:tr>
      <w:tr>
        <w:trPr>
          <w:trHeight w:val="20"/>
        </w:trPr>
        <w:tc>
          <w:tcPr>
            <w:tcW w:w="6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11"/>
        </w:trPr>
        <w:tc>
          <w:tcPr>
            <w:tcW w:w="6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59"/>
        </w:trPr>
        <w:tc>
          <w:tcPr>
            <w:tcW w:w="90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consists of the following (in thousands):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60"/>
        </w:trPr>
        <w:tc>
          <w:tcPr>
            <w:tcW w:w="6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Three Months Ended</w:t>
            </w:r>
          </w:p>
        </w:tc>
      </w:tr>
      <w:tr>
        <w:trPr>
          <w:trHeight w:val="234"/>
        </w:trPr>
        <w:tc>
          <w:tcPr>
            <w:tcW w:w="60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b w:val="1"/>
                <w:bCs w:val="1"/>
                <w:color w:val="auto"/>
              </w:rPr>
              <w:t>January 31, 2020</w:t>
            </w:r>
          </w:p>
        </w:tc>
      </w:tr>
      <w:tr>
        <w:trPr>
          <w:trHeight w:val="27"/>
        </w:trPr>
        <w:tc>
          <w:tcPr>
            <w:tcW w:w="60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30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184</w:t>
            </w:r>
          </w:p>
        </w:tc>
      </w:tr>
      <w:tr>
        <w:trPr>
          <w:trHeight w:val="27"/>
        </w:trPr>
        <w:tc>
          <w:tcPr>
            <w:tcW w:w="6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324"/>
        </w:trPr>
        <w:tc>
          <w:tcPr>
            <w:tcW w:w="602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300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under non-cancellable leases for the remainder of fiscal year 2020, each of the subsequent four fiscal years and thereafter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(excluding the three months ended January 31, 2020)</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481</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9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1,449</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8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7"/>
        </w:trPr>
        <w:tc>
          <w:tcPr>
            <w:tcW w:w="9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r>
      <w:tr>
        <w:trPr>
          <w:trHeight w:val="20"/>
        </w:trPr>
        <w:tc>
          <w:tcPr>
            <w:tcW w:w="9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operating lease commitments, the Company also has a contract for pollination services which does not meet the definition of a lease, with minimum future payments of $230,000 for the remainder of fiscal year 2020, $307,000 for each of the fiscal years 2021 and 2022 and $51,000 in fiscal year 2023.</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Company’s future minimum payments for obligations under non-cancellable operating leases as of October 31, 2019 was as follows (in thousands):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382"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80"/>
        </w:trPr>
        <w:tc>
          <w:tcPr>
            <w:tcW w:w="1940" w:type="dxa"/>
            <w:vAlign w:val="bottom"/>
          </w:tcPr>
          <w:p>
            <w:pPr>
              <w:spacing w:after="0"/>
              <w:rPr>
                <w:sz w:val="24"/>
                <w:szCs w:val="24"/>
                <w:color w:val="auto"/>
              </w:rPr>
            </w:pPr>
          </w:p>
        </w:tc>
        <w:tc>
          <w:tcPr>
            <w:tcW w:w="8040" w:type="dxa"/>
            <w:vAlign w:val="bottom"/>
            <w:gridSpan w:val="2"/>
          </w:tcPr>
          <w:p>
            <w:pPr>
              <w:jc w:val="right"/>
              <w:ind w:right="3120"/>
              <w:spacing w:after="0"/>
              <w:rPr>
                <w:sz w:val="20"/>
                <w:szCs w:val="20"/>
                <w:color w:val="auto"/>
              </w:rPr>
            </w:pPr>
            <w:r>
              <w:rPr>
                <w:rFonts w:ascii="Arial" w:cs="Arial" w:eastAsia="Arial" w:hAnsi="Arial"/>
                <w:sz w:val="22"/>
                <w:szCs w:val="22"/>
                <w:b w:val="1"/>
                <w:bCs w:val="1"/>
                <w:color w:val="auto"/>
              </w:rPr>
              <w:t>LIMONEIRA COMPANY</w:t>
            </w:r>
          </w:p>
        </w:tc>
        <w:tc>
          <w:tcPr>
            <w:tcW w:w="1260" w:type="dxa"/>
            <w:vAlign w:val="bottom"/>
          </w:tcPr>
          <w:p>
            <w:pPr>
              <w:spacing w:after="0"/>
              <w:rPr>
                <w:sz w:val="24"/>
                <w:szCs w:val="24"/>
                <w:color w:val="auto"/>
              </w:rPr>
            </w:pPr>
          </w:p>
        </w:tc>
      </w:tr>
      <w:tr>
        <w:trPr>
          <w:trHeight w:val="260"/>
        </w:trPr>
        <w:tc>
          <w:tcPr>
            <w:tcW w:w="1940" w:type="dxa"/>
            <w:vAlign w:val="bottom"/>
          </w:tcPr>
          <w:p>
            <w:pPr>
              <w:spacing w:after="0"/>
              <w:rPr>
                <w:sz w:val="22"/>
                <w:szCs w:val="22"/>
                <w:color w:val="auto"/>
              </w:rPr>
            </w:pPr>
          </w:p>
        </w:tc>
        <w:tc>
          <w:tcPr>
            <w:tcW w:w="8040" w:type="dxa"/>
            <w:vAlign w:val="bottom"/>
            <w:gridSpan w:val="2"/>
          </w:tcPr>
          <w:p>
            <w:pPr>
              <w:jc w:val="right"/>
              <w:ind w:right="900"/>
              <w:spacing w:after="0"/>
              <w:rPr>
                <w:sz w:val="20"/>
                <w:szCs w:val="20"/>
                <w:color w:val="auto"/>
              </w:rPr>
            </w:pPr>
            <w:r>
              <w:rPr>
                <w:rFonts w:ascii="Arial" w:cs="Arial" w:eastAsia="Arial" w:hAnsi="Arial"/>
                <w:sz w:val="18"/>
                <w:szCs w:val="18"/>
                <w:color w:val="auto"/>
              </w:rPr>
              <w:t>NOTES TO CONSOLIDATED FINANCIAL STATEMENTS (UNAUDITED) (CONTINUED)</w:t>
            </w:r>
          </w:p>
        </w:tc>
        <w:tc>
          <w:tcPr>
            <w:tcW w:w="1260" w:type="dxa"/>
            <w:vAlign w:val="bottom"/>
          </w:tcPr>
          <w:p>
            <w:pPr>
              <w:spacing w:after="0"/>
              <w:rPr>
                <w:sz w:val="22"/>
                <w:szCs w:val="22"/>
                <w:color w:val="auto"/>
              </w:rPr>
            </w:pPr>
          </w:p>
        </w:tc>
      </w:tr>
      <w:tr>
        <w:trPr>
          <w:trHeight w:val="473"/>
        </w:trPr>
        <w:tc>
          <w:tcPr>
            <w:tcW w:w="1940" w:type="dxa"/>
            <w:vAlign w:val="bottom"/>
          </w:tcPr>
          <w:p>
            <w:pPr>
              <w:spacing w:after="0"/>
              <w:rPr>
                <w:sz w:val="20"/>
                <w:szCs w:val="20"/>
                <w:color w:val="auto"/>
              </w:rPr>
            </w:pPr>
            <w:r>
              <w:rPr>
                <w:rFonts w:ascii="Arial" w:cs="Arial" w:eastAsia="Arial" w:hAnsi="Arial"/>
                <w:sz w:val="18"/>
                <w:szCs w:val="18"/>
                <w:b w:val="1"/>
                <w:bCs w:val="1"/>
                <w:color w:val="auto"/>
                <w:w w:val="98"/>
              </w:rPr>
              <w:t>13. Leases (continued)</w:t>
            </w:r>
          </w:p>
        </w:tc>
        <w:tc>
          <w:tcPr>
            <w:tcW w:w="7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35"/>
        </w:trPr>
        <w:tc>
          <w:tcPr>
            <w:tcW w:w="19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2021</w:t>
            </w:r>
          </w:p>
        </w:tc>
        <w:tc>
          <w:tcPr>
            <w:tcW w:w="7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
        </w:trPr>
        <w:tc>
          <w:tcPr>
            <w:tcW w:w="19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2023</w:t>
            </w:r>
          </w:p>
        </w:tc>
        <w:tc>
          <w:tcPr>
            <w:tcW w:w="7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19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7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1,382</w:t>
            </w:r>
          </w:p>
        </w:tc>
      </w:tr>
      <w:tr>
        <w:trPr>
          <w:trHeight w:val="27"/>
        </w:trPr>
        <w:tc>
          <w:tcPr>
            <w:tcW w:w="194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1940" w:type="dxa"/>
            <w:vAlign w:val="bottom"/>
            <w:tcBorders>
              <w:bottom w:val="single" w:sz="8" w:color="CCEEFF"/>
            </w:tcBorders>
            <w:shd w:val="clear" w:color="auto" w:fill="CCEEFF"/>
          </w:tcPr>
          <w:p>
            <w:pPr>
              <w:spacing w:after="0"/>
              <w:rPr>
                <w:sz w:val="22"/>
                <w:szCs w:val="22"/>
                <w:color w:val="auto"/>
              </w:rPr>
            </w:pPr>
          </w:p>
        </w:tc>
        <w:tc>
          <w:tcPr>
            <w:tcW w:w="8040" w:type="dxa"/>
            <w:vAlign w:val="bottom"/>
            <w:tcBorders>
              <w:bottom w:val="single" w:sz="8" w:color="CCEEFF"/>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w:t>
            </w: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Basic and Diluted Net (Loss) Income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loss per common share is calculated using the weighted-average number of common shares outstanding during the period without consideration of the dilutive effect of conversion of preferred stock. Diluted net loss per common share is calculated using the weighted-average number of common shares outstanding during the period plus the dilutive effect of conversion of unvested, restricted stock and preferred stock. The computations for basic and diluted net (loss) income per common share are as follows (in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net loss per common share: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loss applicable to common stock</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(6,552)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(4,818)</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unvested, restricted stock</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Numerator: Net loss for basic EPS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(6,569)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shares-basic</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17,579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Basic net loss per common share</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2"/>
        </w:trPr>
        <w:tc>
          <w:tcPr>
            <w:tcW w:w="7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net loss per common share: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Numerator: Net loss for diluted EPS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(6,569)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(4,834)</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17,579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Effect of dilutive unvested, restricted stock and preferred stock</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Weighted average common shares–diluted</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17,579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17,488</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Diluted net loss per common share</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0"/>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Diluted (losses) earnings per common share are computed using the more dilutive method of either the two-class method or the treasury stock method. Unvested stock-based compensation awards that contain non-forfeitable rights to dividends as participating shares are included in computing earnings per share. The Company’s unvested, restricted stock awards qualify as participating shares. The Company excluded 114,000 and 162,000, unvested, restricted shares, as calculated under the treasury stock method, from its computation of diluted (losses) earnings per share for the three months ended January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82"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transactions with various related-parties as summarized in the tables below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3"/>
                <w:szCs w:val="13"/>
                <w:b w:val="1"/>
                <w:bCs w:val="1"/>
                <w:color w:val="auto"/>
                <w:w w:val="88"/>
              </w:rPr>
              <w:t>January 31, 2020</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6"/>
              </w:rPr>
              <w:t>October 31, 2019</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250"/>
        </w:trPr>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83"/>
              </w:rPr>
              <w:t>Balance Sheet</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3"/>
              </w:rPr>
              <w:t>Balance Sheet</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144"/>
        </w:trPr>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center"/>
              <w:ind w:right="157"/>
              <w:spacing w:after="0" w:line="144" w:lineRule="exact"/>
              <w:rPr>
                <w:sz w:val="20"/>
                <w:szCs w:val="20"/>
                <w:color w:val="auto"/>
              </w:rPr>
            </w:pPr>
            <w:r>
              <w:rPr>
                <w:rFonts w:ascii="Arial" w:cs="Arial" w:eastAsia="Arial" w:hAnsi="Arial"/>
                <w:sz w:val="13"/>
                <w:szCs w:val="13"/>
                <w:b w:val="1"/>
                <w:bCs w:val="1"/>
                <w:color w:val="auto"/>
                <w:w w:val="91"/>
              </w:rPr>
              <w:t>Other Long-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5"/>
        </w:trPr>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Accounts</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Accounts</w:t>
            </w:r>
          </w:p>
        </w:tc>
        <w:tc>
          <w:tcPr>
            <w:tcW w:w="7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Accrued</w:t>
            </w:r>
          </w:p>
        </w:tc>
        <w:tc>
          <w:tcPr>
            <w:tcW w:w="100" w:type="dxa"/>
            <w:vAlign w:val="bottom"/>
          </w:tcPr>
          <w:p>
            <w:pPr>
              <w:spacing w:after="0"/>
              <w:rPr>
                <w:sz w:val="11"/>
                <w:szCs w:val="11"/>
                <w:color w:val="auto"/>
              </w:rPr>
            </w:pPr>
          </w:p>
        </w:tc>
        <w:tc>
          <w:tcPr>
            <w:tcW w:w="880" w:type="dxa"/>
            <w:vAlign w:val="bottom"/>
            <w:gridSpan w:val="3"/>
          </w:tcPr>
          <w:p>
            <w:pPr>
              <w:jc w:val="center"/>
              <w:ind w:right="257"/>
              <w:spacing w:after="0" w:line="135" w:lineRule="exact"/>
              <w:rPr>
                <w:sz w:val="20"/>
                <w:szCs w:val="20"/>
                <w:color w:val="auto"/>
              </w:rPr>
            </w:pPr>
            <w:r>
              <w:rPr>
                <w:rFonts w:ascii="Arial" w:cs="Arial" w:eastAsia="Arial" w:hAnsi="Arial"/>
                <w:sz w:val="13"/>
                <w:szCs w:val="13"/>
                <w:b w:val="1"/>
                <w:bCs w:val="1"/>
                <w:color w:val="auto"/>
                <w:w w:val="87"/>
              </w:rPr>
              <w:t>Term</w:t>
            </w:r>
          </w:p>
        </w:tc>
        <w:tc>
          <w:tcPr>
            <w:tcW w:w="7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Accounts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Accounts</w:t>
            </w:r>
          </w:p>
        </w:tc>
        <w:tc>
          <w:tcPr>
            <w:tcW w:w="100" w:type="dxa"/>
            <w:vAlign w:val="bottom"/>
          </w:tcPr>
          <w:p>
            <w:pPr>
              <w:spacing w:after="0"/>
              <w:rPr>
                <w:sz w:val="11"/>
                <w:szCs w:val="11"/>
                <w:color w:val="auto"/>
              </w:rPr>
            </w:pPr>
          </w:p>
        </w:tc>
        <w:tc>
          <w:tcPr>
            <w:tcW w:w="66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2"/>
              </w:rPr>
              <w:t>Accrued</w:t>
            </w:r>
          </w:p>
        </w:tc>
      </w:tr>
      <w:tr>
        <w:trPr>
          <w:trHeight w:val="174"/>
        </w:trPr>
        <w:tc>
          <w:tcPr>
            <w:tcW w:w="3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Ref</w:t>
            </w:r>
          </w:p>
        </w:tc>
        <w:tc>
          <w:tcPr>
            <w:tcW w:w="120" w:type="dxa"/>
            <w:vAlign w:val="bottom"/>
            <w:tcBorders>
              <w:bottom w:val="single" w:sz="8" w:color="BFE4FF"/>
            </w:tcBorders>
          </w:tcPr>
          <w:p>
            <w:pPr>
              <w:spacing w:after="0"/>
              <w:rPr>
                <w:sz w:val="15"/>
                <w:szCs w:val="15"/>
                <w:color w:val="auto"/>
              </w:rPr>
            </w:pPr>
          </w:p>
        </w:tc>
        <w:tc>
          <w:tcPr>
            <w:tcW w:w="270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Related Party</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5"/>
              </w:rPr>
              <w:t>Receivable</w:t>
            </w:r>
          </w:p>
        </w:tc>
        <w:tc>
          <w:tcPr>
            <w:tcW w:w="120" w:type="dxa"/>
            <w:vAlign w:val="bottom"/>
            <w:tcBorders>
              <w:bottom w:val="single" w:sz="8" w:color="BFE4FF"/>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Other Assets</w:t>
            </w:r>
          </w:p>
        </w:tc>
        <w:tc>
          <w:tcPr>
            <w:tcW w:w="12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3"/>
                <w:szCs w:val="13"/>
                <w:b w:val="1"/>
                <w:bCs w:val="1"/>
                <w:color w:val="auto"/>
                <w:w w:val="97"/>
              </w:rPr>
              <w:t>Payable</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9"/>
              </w:rPr>
              <w:t>Liabilities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Liabilities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2"/>
              </w:rPr>
              <w:t>Receivable</w:t>
            </w:r>
          </w:p>
        </w:tc>
        <w:tc>
          <w:tcPr>
            <w:tcW w:w="120" w:type="dxa"/>
            <w:vAlign w:val="bottom"/>
            <w:tcBorders>
              <w:bottom w:val="single" w:sz="8" w:color="BFE4FF"/>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86"/>
              </w:rPr>
              <w:t>Other Assets</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Payable</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6"/>
              </w:rPr>
              <w:t>Liabilities</w:t>
            </w:r>
          </w:p>
        </w:tc>
      </w:tr>
      <w:tr>
        <w:trPr>
          <w:trHeight w:val="256"/>
        </w:trPr>
        <w:tc>
          <w:tcPr>
            <w:tcW w:w="3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2"/>
                <w:szCs w:val="22"/>
                <w:color w:val="auto"/>
              </w:rPr>
            </w:pP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BFE4FF"/>
          </w:tcPr>
          <w:p>
            <w:pPr>
              <w:ind w:left="44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BFE4FF"/>
          </w:tcPr>
          <w:p>
            <w:pPr>
              <w:ind w:left="300"/>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BFE4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6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2"/>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80" w:type="dxa"/>
            <w:vAlign w:val="bottom"/>
            <w:gridSpan w:val="3"/>
          </w:tcPr>
          <w:p>
            <w:pPr>
              <w:jc w:val="right"/>
              <w:ind w:right="2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20" w:type="dxa"/>
            <w:vAlign w:val="bottom"/>
          </w:tcPr>
          <w:p>
            <w:pPr>
              <w:jc w:val="right"/>
              <w:ind w:right="42"/>
              <w:spacing w:after="0"/>
              <w:rPr>
                <w:sz w:val="20"/>
                <w:szCs w:val="20"/>
                <w:color w:val="auto"/>
              </w:rPr>
            </w:pPr>
            <w:r>
              <w:rPr>
                <w:rFonts w:ascii="Arial" w:cs="Arial" w:eastAsia="Arial" w:hAnsi="Arial"/>
                <w:sz w:val="13"/>
                <w:szCs w:val="13"/>
                <w:color w:val="auto"/>
              </w:rPr>
              <w:t>473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24"/>
                <w:szCs w:val="24"/>
                <w:color w:val="auto"/>
              </w:rPr>
            </w:pP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spacing w:after="0"/>
              <w:rPr>
                <w:sz w:val="24"/>
                <w:szCs w:val="24"/>
                <w:color w:val="auto"/>
              </w:rPr>
            </w:pPr>
          </w:p>
        </w:tc>
        <w:tc>
          <w:tcPr>
            <w:tcW w:w="8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spacing w:after="0"/>
              <w:rPr>
                <w:sz w:val="24"/>
                <w:szCs w:val="24"/>
                <w:color w:val="auto"/>
              </w:rPr>
            </w:pP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700" w:type="dxa"/>
            <w:vAlign w:val="bottom"/>
            <w:shd w:val="clear" w:color="auto" w:fill="BFE4FF"/>
          </w:tcPr>
          <w:p>
            <w:pPr>
              <w:jc w:val="right"/>
              <w:ind w:right="62"/>
              <w:spacing w:after="0"/>
              <w:rPr>
                <w:sz w:val="20"/>
                <w:szCs w:val="20"/>
                <w:color w:val="auto"/>
              </w:rPr>
            </w:pPr>
            <w:r>
              <w:rPr>
                <w:rFonts w:ascii="Arial" w:cs="Arial" w:eastAsia="Arial" w:hAnsi="Arial"/>
                <w:sz w:val="13"/>
                <w:szCs w:val="13"/>
                <w:color w:val="auto"/>
              </w:rPr>
              <w:t>31</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spacing w:after="0"/>
              <w:rPr>
                <w:sz w:val="24"/>
                <w:szCs w:val="24"/>
                <w:color w:val="auto"/>
              </w:rPr>
            </w:pPr>
          </w:p>
        </w:tc>
        <w:tc>
          <w:tcPr>
            <w:tcW w:w="74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ind w:left="42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6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62"/>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80" w:type="dxa"/>
            <w:vAlign w:val="bottom"/>
            <w:gridSpan w:val="3"/>
          </w:tcPr>
          <w:p>
            <w:pPr>
              <w:jc w:val="right"/>
              <w:ind w:right="2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24"/>
                <w:szCs w:val="24"/>
                <w:color w:val="auto"/>
              </w:rPr>
            </w:pP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Third-party growers</w:t>
            </w:r>
          </w:p>
        </w:tc>
        <w:tc>
          <w:tcPr>
            <w:tcW w:w="100" w:type="dxa"/>
            <w:vAlign w:val="bottom"/>
            <w:shd w:val="clear" w:color="auto" w:fill="BFE4FF"/>
          </w:tcPr>
          <w:p>
            <w:pPr>
              <w:spacing w:after="0"/>
              <w:rPr>
                <w:sz w:val="24"/>
                <w:szCs w:val="24"/>
                <w:color w:val="auto"/>
              </w:rPr>
            </w:pPr>
          </w:p>
        </w:tc>
        <w:tc>
          <w:tcPr>
            <w:tcW w:w="840" w:type="dxa"/>
            <w:vAlign w:val="bottom"/>
            <w:gridSpan w:val="2"/>
            <w:shd w:val="clear" w:color="auto" w:fill="BFE4FF"/>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spacing w:after="0"/>
              <w:rPr>
                <w:sz w:val="24"/>
                <w:szCs w:val="24"/>
                <w:color w:val="auto"/>
              </w:rPr>
            </w:pP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BFE4FF"/>
          </w:tcPr>
          <w:p>
            <w:pPr>
              <w:spacing w:after="0"/>
              <w:rPr>
                <w:sz w:val="24"/>
                <w:szCs w:val="24"/>
                <w:color w:val="auto"/>
              </w:rPr>
            </w:pPr>
          </w:p>
        </w:tc>
        <w:tc>
          <w:tcPr>
            <w:tcW w:w="74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E4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60" w:type="dxa"/>
            <w:vAlign w:val="bottom"/>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1,498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24"/>
                <w:szCs w:val="24"/>
                <w:color w:val="auto"/>
              </w:rPr>
            </w:pP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shd w:val="clear" w:color="auto" w:fill="BFE4FF"/>
          </w:tcPr>
          <w:p>
            <w:pPr>
              <w:spacing w:after="0"/>
              <w:rPr>
                <w:sz w:val="24"/>
                <w:szCs w:val="24"/>
                <w:color w:val="auto"/>
              </w:rPr>
            </w:pPr>
          </w:p>
        </w:tc>
        <w:tc>
          <w:tcPr>
            <w:tcW w:w="7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376</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4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E4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36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2820" w:type="dxa"/>
            <w:vAlign w:val="bottom"/>
            <w:gridSpan w:val="2"/>
          </w:tcPr>
          <w:p>
            <w:pPr>
              <w:ind w:left="20"/>
              <w:spacing w:after="0"/>
              <w:rPr>
                <w:sz w:val="20"/>
                <w:szCs w:val="20"/>
                <w:color w:val="auto"/>
              </w:rPr>
            </w:pPr>
            <w:r>
              <w:rPr>
                <w:rFonts w:ascii="Arial" w:cs="Arial" w:eastAsia="Arial" w:hAnsi="Arial"/>
                <w:sz w:val="13"/>
                <w:szCs w:val="13"/>
                <w:color w:val="auto"/>
              </w:rPr>
              <w:t>YMIDD</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80" w:type="dxa"/>
            <w:vAlign w:val="bottom"/>
            <w:gridSpan w:val="3"/>
          </w:tcPr>
          <w:p>
            <w:pPr>
              <w:jc w:val="right"/>
              <w:ind w:right="25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3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24"/>
                <w:szCs w:val="24"/>
                <w:color w:val="auto"/>
              </w:rPr>
            </w:pPr>
          </w:p>
        </w:tc>
        <w:tc>
          <w:tcPr>
            <w:tcW w:w="282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00" w:type="dxa"/>
            <w:vAlign w:val="bottom"/>
            <w:shd w:val="clear" w:color="auto" w:fill="BFE4FF"/>
          </w:tcPr>
          <w:p>
            <w:pPr>
              <w:spacing w:after="0"/>
              <w:rPr>
                <w:sz w:val="24"/>
                <w:szCs w:val="24"/>
                <w:color w:val="auto"/>
              </w:rPr>
            </w:pPr>
          </w:p>
        </w:tc>
        <w:tc>
          <w:tcPr>
            <w:tcW w:w="72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2,808</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56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9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1,123</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2,609</w:t>
            </w:r>
          </w:p>
        </w:tc>
        <w:tc>
          <w:tcPr>
            <w:tcW w:w="120" w:type="dxa"/>
            <w:vAlign w:val="bottom"/>
            <w:shd w:val="clear" w:color="auto" w:fill="BFE4FF"/>
          </w:tcPr>
          <w:p>
            <w:pPr>
              <w:spacing w:after="0"/>
              <w:rPr>
                <w:sz w:val="24"/>
                <w:szCs w:val="24"/>
                <w:color w:val="auto"/>
              </w:rPr>
            </w:pPr>
          </w:p>
        </w:tc>
        <w:tc>
          <w:tcPr>
            <w:tcW w:w="240" w:type="dxa"/>
            <w:vAlign w:val="bottom"/>
            <w:shd w:val="clear" w:color="auto" w:fill="BFE4FF"/>
          </w:tcPr>
          <w:p>
            <w:pPr>
              <w:spacing w:after="0"/>
              <w:rPr>
                <w:sz w:val="24"/>
                <w:szCs w:val="24"/>
                <w:color w:val="auto"/>
              </w:rPr>
            </w:pPr>
          </w:p>
        </w:tc>
        <w:tc>
          <w:tcPr>
            <w:tcW w:w="74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BFE4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906</w:t>
            </w: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sectPr>
      </w:pPr>
    </w:p>
    <w:p>
      <w:pPr>
        <w:spacing w:after="0" w:line="133" w:lineRule="exact"/>
        <w:rPr>
          <w:sz w:val="20"/>
          <w:szCs w:val="20"/>
          <w:color w:val="auto"/>
        </w:rPr>
      </w:pPr>
    </w:p>
    <w:p>
      <w:pPr>
        <w:ind w:left="3380"/>
        <w:spacing w:after="0"/>
        <w:rPr>
          <w:sz w:val="20"/>
          <w:szCs w:val="20"/>
          <w:color w:val="auto"/>
        </w:rPr>
      </w:pPr>
      <w:r>
        <w:rPr>
          <w:rFonts w:ascii="Arial" w:cs="Arial" w:eastAsia="Arial" w:hAnsi="Arial"/>
          <w:sz w:val="10"/>
          <w:szCs w:val="10"/>
          <w:b w:val="1"/>
          <w:bCs w:val="1"/>
          <w:color w:val="auto"/>
        </w:rPr>
        <w:t>Three Months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41275</wp:posOffset>
            </wp:positionV>
            <wp:extent cx="28543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49" w:lineRule="exact"/>
        <w:rPr>
          <w:sz w:val="20"/>
          <w:szCs w:val="20"/>
          <w:color w:val="auto"/>
        </w:rPr>
      </w:pPr>
    </w:p>
    <w:p>
      <w:pPr>
        <w:ind w:left="2960"/>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19685</wp:posOffset>
            </wp:positionV>
            <wp:extent cx="2297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0"/>
          <w:szCs w:val="10"/>
          <w:b w:val="1"/>
          <w:bCs w:val="1"/>
          <w:color w:val="auto"/>
        </w:rPr>
        <w:t>Three Months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41275</wp:posOffset>
            </wp:positionV>
            <wp:extent cx="2837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19685</wp:posOffset>
            </wp:positionV>
            <wp:extent cx="229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6840" w:space="720"/>
            <w:col w:w="3680"/>
          </w:cols>
          <w:pgMar w:left="320" w:top="382" w:right="3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2"/>
              </w:rPr>
              <w:t>Agribusiness</w:t>
            </w:r>
          </w:p>
        </w:tc>
        <w:tc>
          <w:tcPr>
            <w:tcW w:w="7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Other</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Net Revenue</w:t>
            </w:r>
          </w:p>
        </w:tc>
        <w:tc>
          <w:tcPr>
            <w:tcW w:w="100" w:type="dxa"/>
            <w:vAlign w:val="bottom"/>
          </w:tcPr>
          <w:p>
            <w:pPr>
              <w:spacing w:after="0"/>
              <w:rPr>
                <w:sz w:val="13"/>
                <w:szCs w:val="13"/>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2"/>
              </w:rPr>
              <w:t>Agribusiness</w:t>
            </w:r>
          </w:p>
        </w:tc>
        <w:tc>
          <w:tcPr>
            <w:tcW w:w="760" w:type="dxa"/>
            <w:vAlign w:val="bottom"/>
          </w:tcPr>
          <w:p>
            <w:pPr>
              <w:jc w:val="center"/>
              <w:ind w:right="262"/>
              <w:spacing w:after="0"/>
              <w:rPr>
                <w:sz w:val="20"/>
                <w:szCs w:val="20"/>
                <w:color w:val="auto"/>
              </w:rPr>
            </w:pPr>
            <w:r>
              <w:rPr>
                <w:rFonts w:ascii="Arial" w:cs="Arial" w:eastAsia="Arial" w:hAnsi="Arial"/>
                <w:sz w:val="13"/>
                <w:szCs w:val="13"/>
                <w:b w:val="1"/>
                <w:bCs w:val="1"/>
                <w:color w:val="auto"/>
                <w:w w:val="92"/>
              </w:rPr>
              <w:t>Other</w:t>
            </w:r>
          </w:p>
        </w:tc>
        <w:tc>
          <w:tcPr>
            <w:tcW w:w="640" w:type="dxa"/>
            <w:vAlign w:val="bottom"/>
          </w:tcPr>
          <w:p>
            <w:pPr>
              <w:spacing w:after="0"/>
              <w:rPr>
                <w:sz w:val="13"/>
                <w:szCs w:val="13"/>
                <w:color w:val="auto"/>
              </w:rPr>
            </w:pPr>
          </w:p>
        </w:tc>
      </w:tr>
      <w:tr>
        <w:trPr>
          <w:trHeight w:val="135"/>
        </w:trPr>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98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78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Income,</w:t>
            </w:r>
          </w:p>
        </w:tc>
        <w:tc>
          <w:tcPr>
            <w:tcW w:w="860" w:type="dxa"/>
            <w:vAlign w:val="bottom"/>
            <w:gridSpan w:val="3"/>
          </w:tcPr>
          <w:p>
            <w:pPr>
              <w:jc w:val="right"/>
              <w:ind w:right="257"/>
              <w:spacing w:after="0" w:line="135" w:lineRule="exact"/>
              <w:rPr>
                <w:sz w:val="20"/>
                <w:szCs w:val="20"/>
                <w:color w:val="auto"/>
              </w:rPr>
            </w:pPr>
            <w:r>
              <w:rPr>
                <w:rFonts w:ascii="Arial" w:cs="Arial" w:eastAsia="Arial" w:hAnsi="Arial"/>
                <w:sz w:val="13"/>
                <w:szCs w:val="13"/>
                <w:b w:val="1"/>
                <w:bCs w:val="1"/>
                <w:color w:val="auto"/>
                <w:w w:val="83"/>
              </w:rPr>
              <w:t>Dividends</w:t>
            </w: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Net Revenue</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Rental</w:t>
            </w:r>
          </w:p>
        </w:tc>
        <w:tc>
          <w:tcPr>
            <w:tcW w:w="100" w:type="dxa"/>
            <w:vAlign w:val="bottom"/>
          </w:tcPr>
          <w:p>
            <w:pPr>
              <w:spacing w:after="0"/>
              <w:rPr>
                <w:sz w:val="11"/>
                <w:szCs w:val="11"/>
                <w:color w:val="auto"/>
              </w:rPr>
            </w:pPr>
          </w:p>
        </w:tc>
        <w:tc>
          <w:tcPr>
            <w:tcW w:w="10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4"/>
              </w:rPr>
              <w:t>Expense and</w:t>
            </w:r>
          </w:p>
        </w:tc>
        <w:tc>
          <w:tcPr>
            <w:tcW w:w="760" w:type="dxa"/>
            <w:vAlign w:val="bottom"/>
          </w:tcPr>
          <w:p>
            <w:pPr>
              <w:jc w:val="center"/>
              <w:ind w:right="262"/>
              <w:spacing w:after="0" w:line="135" w:lineRule="exact"/>
              <w:rPr>
                <w:sz w:val="20"/>
                <w:szCs w:val="20"/>
                <w:color w:val="auto"/>
              </w:rPr>
            </w:pPr>
            <w:r>
              <w:rPr>
                <w:rFonts w:ascii="Arial" w:cs="Arial" w:eastAsia="Arial" w:hAnsi="Arial"/>
                <w:sz w:val="13"/>
                <w:szCs w:val="13"/>
                <w:b w:val="1"/>
                <w:bCs w:val="1"/>
                <w:color w:val="auto"/>
                <w:w w:val="89"/>
              </w:rPr>
              <w:t>Income,</w:t>
            </w:r>
          </w:p>
        </w:tc>
        <w:tc>
          <w:tcPr>
            <w:tcW w:w="6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Dividends</w:t>
            </w:r>
          </w:p>
        </w:tc>
      </w:tr>
      <w:tr>
        <w:trPr>
          <w:trHeight w:val="174"/>
        </w:trPr>
        <w:tc>
          <w:tcPr>
            <w:tcW w:w="3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5"/>
              </w:rPr>
              <w:t>Ref</w:t>
            </w:r>
          </w:p>
        </w:tc>
        <w:tc>
          <w:tcPr>
            <w:tcW w:w="120" w:type="dxa"/>
            <w:vAlign w:val="bottom"/>
            <w:tcBorders>
              <w:bottom w:val="single" w:sz="8" w:color="BFE4FF"/>
            </w:tcBorders>
          </w:tcPr>
          <w:p>
            <w:pPr>
              <w:spacing w:after="0"/>
              <w:rPr>
                <w:sz w:val="15"/>
                <w:szCs w:val="15"/>
                <w:color w:val="auto"/>
              </w:rPr>
            </w:pP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Related Party</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5"/>
              </w:rPr>
              <w:t>Net</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Paid</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Agribusiness</w:t>
            </w:r>
          </w:p>
        </w:tc>
        <w:tc>
          <w:tcPr>
            <w:tcW w:w="12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7"/>
              </w:rPr>
              <w:t>Operations</w:t>
            </w:r>
          </w:p>
        </w:tc>
        <w:tc>
          <w:tcPr>
            <w:tcW w:w="100" w:type="dxa"/>
            <w:vAlign w:val="bottom"/>
            <w:tcBorders>
              <w:bottom w:val="single" w:sz="8" w:color="BFE4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Borders>
              <w:bottom w:val="single" w:sz="8" w:color="BFE4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62"/>
              <w:spacing w:after="0"/>
              <w:rPr>
                <w:sz w:val="20"/>
                <w:szCs w:val="20"/>
                <w:color w:val="auto"/>
              </w:rPr>
            </w:pPr>
            <w:r>
              <w:rPr>
                <w:rFonts w:ascii="Arial" w:cs="Arial" w:eastAsia="Arial" w:hAnsi="Arial"/>
                <w:sz w:val="13"/>
                <w:szCs w:val="13"/>
                <w:b w:val="1"/>
                <w:bCs w:val="1"/>
                <w:color w:val="auto"/>
                <w:w w:val="95"/>
              </w:rPr>
              <w:t>Net</w:t>
            </w: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Paid</w:t>
            </w:r>
          </w:p>
        </w:tc>
      </w:tr>
      <w:tr>
        <w:trPr>
          <w:trHeight w:val="270"/>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BFE4FF"/>
          </w:tcPr>
          <w:p>
            <w:pPr>
              <w:spacing w:after="0"/>
              <w:rPr>
                <w:sz w:val="23"/>
                <w:szCs w:val="23"/>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Employees</w:t>
            </w: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3"/>
            <w:shd w:val="clear" w:color="auto" w:fill="BFE4FF"/>
          </w:tcPr>
          <w:p>
            <w:pPr>
              <w:ind w:left="56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gridSpan w:val="3"/>
            <w:shd w:val="clear" w:color="auto" w:fill="BFE4FF"/>
          </w:tcPr>
          <w:p>
            <w:pPr>
              <w:ind w:left="540"/>
              <w:spacing w:after="0"/>
              <w:rPr>
                <w:sz w:val="20"/>
                <w:szCs w:val="20"/>
                <w:color w:val="auto"/>
              </w:rPr>
            </w:pPr>
            <w:r>
              <w:rPr>
                <w:rFonts w:ascii="Arial" w:cs="Arial" w:eastAsia="Arial" w:hAnsi="Arial"/>
                <w:sz w:val="13"/>
                <w:szCs w:val="13"/>
                <w:color w:val="auto"/>
                <w:w w:val="82"/>
              </w:rPr>
              <w:t>—$</w:t>
            </w:r>
          </w:p>
        </w:tc>
        <w:tc>
          <w:tcPr>
            <w:tcW w:w="780" w:type="dxa"/>
            <w:vAlign w:val="bottom"/>
            <w:gridSpan w:val="3"/>
            <w:shd w:val="clear" w:color="auto" w:fill="BFE4FF"/>
          </w:tcPr>
          <w:p>
            <w:pPr>
              <w:ind w:left="34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3"/>
            <w:shd w:val="clear" w:color="auto" w:fill="BFE4FF"/>
          </w:tcPr>
          <w:p>
            <w:pPr>
              <w:ind w:left="56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178</w:t>
            </w:r>
          </w:p>
        </w:tc>
        <w:tc>
          <w:tcPr>
            <w:tcW w:w="100" w:type="dxa"/>
            <w:vAlign w:val="bottom"/>
            <w:shd w:val="clear" w:color="auto" w:fill="BFE4FF"/>
          </w:tcPr>
          <w:p>
            <w:pPr>
              <w:spacing w:after="0"/>
              <w:rPr>
                <w:sz w:val="23"/>
                <w:szCs w:val="23"/>
                <w:color w:val="auto"/>
              </w:rPr>
            </w:pPr>
          </w:p>
        </w:tc>
        <w:tc>
          <w:tcPr>
            <w:tcW w:w="100" w:type="dxa"/>
            <w:vAlign w:val="bottom"/>
            <w:shd w:val="clear" w:color="auto" w:fill="BFE4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3"/>
            <w:shd w:val="clear" w:color="auto" w:fill="BFE4FF"/>
          </w:tcPr>
          <w:p>
            <w:pPr>
              <w:ind w:left="540"/>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BFE4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Mutual water companies</w:t>
            </w:r>
          </w:p>
        </w:tc>
        <w:tc>
          <w:tcPr>
            <w:tcW w:w="100" w:type="dxa"/>
            <w:vAlign w:val="bottom"/>
          </w:tcPr>
          <w:p>
            <w:pPr>
              <w:spacing w:after="0"/>
              <w:rPr>
                <w:sz w:val="22"/>
                <w:szCs w:val="2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321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Cooperative association</w:t>
            </w:r>
          </w:p>
        </w:tc>
        <w:tc>
          <w:tcPr>
            <w:tcW w:w="100" w:type="dxa"/>
            <w:vAlign w:val="bottom"/>
            <w:shd w:val="clear" w:color="auto" w:fill="BFE4FF"/>
          </w:tcPr>
          <w:p>
            <w:pPr>
              <w:spacing w:after="0"/>
              <w:rPr>
                <w:sz w:val="24"/>
                <w:szCs w:val="24"/>
                <w:color w:val="auto"/>
              </w:rPr>
            </w:pPr>
          </w:p>
        </w:tc>
        <w:tc>
          <w:tcPr>
            <w:tcW w:w="980" w:type="dxa"/>
            <w:vAlign w:val="bottom"/>
            <w:gridSpan w:val="3"/>
            <w:shd w:val="clear" w:color="auto" w:fill="BFE4FF"/>
          </w:tcPr>
          <w:p>
            <w:pPr>
              <w:jc w:val="right"/>
              <w:ind w:right="3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62"/>
              <w:spacing w:after="0"/>
              <w:rPr>
                <w:sz w:val="20"/>
                <w:szCs w:val="20"/>
                <w:color w:val="auto"/>
              </w:rPr>
            </w:pPr>
            <w:r>
              <w:rPr>
                <w:rFonts w:ascii="Arial" w:cs="Arial" w:eastAsia="Arial" w:hAnsi="Arial"/>
                <w:sz w:val="13"/>
                <w:szCs w:val="13"/>
                <w:color w:val="auto"/>
              </w:rPr>
              <w:t>446</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10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Calavo</w:t>
            </w:r>
          </w:p>
        </w:tc>
        <w:tc>
          <w:tcPr>
            <w:tcW w:w="10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42"/>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62"/>
              <w:spacing w:after="0"/>
              <w:rPr>
                <w:sz w:val="20"/>
                <w:szCs w:val="20"/>
                <w:color w:val="auto"/>
              </w:rPr>
            </w:pPr>
            <w:r>
              <w:rPr>
                <w:rFonts w:ascii="Arial" w:cs="Arial" w:eastAsia="Arial" w:hAnsi="Arial"/>
                <w:sz w:val="13"/>
                <w:szCs w:val="13"/>
                <w:color w:val="auto"/>
              </w:rPr>
              <w:t>250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129</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Third-party growers</w:t>
            </w:r>
          </w:p>
        </w:tc>
        <w:tc>
          <w:tcPr>
            <w:tcW w:w="100" w:type="dxa"/>
            <w:vAlign w:val="bottom"/>
            <w:shd w:val="clear" w:color="auto" w:fill="BFE4FF"/>
          </w:tcPr>
          <w:p>
            <w:pPr>
              <w:spacing w:after="0"/>
              <w:rPr>
                <w:sz w:val="24"/>
                <w:szCs w:val="24"/>
                <w:color w:val="auto"/>
              </w:rPr>
            </w:pPr>
          </w:p>
        </w:tc>
        <w:tc>
          <w:tcPr>
            <w:tcW w:w="980" w:type="dxa"/>
            <w:vAlign w:val="bottom"/>
            <w:gridSpan w:val="3"/>
            <w:shd w:val="clear" w:color="auto" w:fill="BFE4FF"/>
          </w:tcPr>
          <w:p>
            <w:pPr>
              <w:jc w:val="right"/>
              <w:ind w:right="300"/>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98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8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10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Cadiz / Fenner / WAM</w:t>
            </w:r>
          </w:p>
        </w:tc>
        <w:tc>
          <w:tcPr>
            <w:tcW w:w="100" w:type="dxa"/>
            <w:vAlign w:val="bottom"/>
          </w:tcPr>
          <w:p>
            <w:pPr>
              <w:spacing w:after="0"/>
              <w:rPr>
                <w:sz w:val="22"/>
                <w:szCs w:val="2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Colorado River Growers</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62"/>
              <w:spacing w:after="0"/>
              <w:rPr>
                <w:sz w:val="20"/>
                <w:szCs w:val="20"/>
                <w:color w:val="auto"/>
              </w:rPr>
            </w:pPr>
            <w:r>
              <w:rPr>
                <w:rFonts w:ascii="Arial" w:cs="Arial" w:eastAsia="Arial" w:hAnsi="Arial"/>
                <w:sz w:val="13"/>
                <w:szCs w:val="13"/>
                <w:color w:val="auto"/>
              </w:rPr>
              <w:t>5,001</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3,841</w:t>
            </w:r>
          </w:p>
        </w:tc>
        <w:tc>
          <w:tcPr>
            <w:tcW w:w="10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760" w:type="dxa"/>
            <w:vAlign w:val="bottom"/>
            <w:shd w:val="clear" w:color="auto" w:fill="BFE4FF"/>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r>
        <w:trPr>
          <w:trHeight w:val="262"/>
        </w:trPr>
        <w:tc>
          <w:tcPr>
            <w:tcW w:w="34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700" w:type="dxa"/>
            <w:vAlign w:val="bottom"/>
            <w:gridSpan w:val="2"/>
          </w:tcPr>
          <w:p>
            <w:pPr>
              <w:ind w:left="20"/>
              <w:spacing w:after="0"/>
              <w:rPr>
                <w:sz w:val="20"/>
                <w:szCs w:val="20"/>
                <w:color w:val="auto"/>
              </w:rPr>
            </w:pPr>
            <w:r>
              <w:rPr>
                <w:rFonts w:ascii="Arial" w:cs="Arial" w:eastAsia="Arial" w:hAnsi="Arial"/>
                <w:sz w:val="13"/>
                <w:szCs w:val="13"/>
                <w:color w:val="auto"/>
              </w:rPr>
              <w:t>YMIDD</w:t>
            </w:r>
          </w:p>
        </w:tc>
        <w:tc>
          <w:tcPr>
            <w:tcW w:w="100" w:type="dxa"/>
            <w:vAlign w:val="bottom"/>
          </w:tcPr>
          <w:p>
            <w:pPr>
              <w:spacing w:after="0"/>
              <w:rPr>
                <w:sz w:val="22"/>
                <w:szCs w:val="2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62"/>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237"/>
              <w:spacing w:after="0"/>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80" w:type="dxa"/>
            <w:vAlign w:val="bottom"/>
          </w:tcPr>
          <w:p>
            <w:pPr>
              <w:jc w:val="right"/>
              <w:ind w:right="42"/>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78"/>
        </w:trPr>
        <w:tc>
          <w:tcPr>
            <w:tcW w:w="3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shd w:val="clear" w:color="auto" w:fill="BFE4FF"/>
          </w:tcPr>
          <w:p>
            <w:pPr>
              <w:spacing w:after="0"/>
              <w:rPr>
                <w:sz w:val="24"/>
                <w:szCs w:val="24"/>
                <w:color w:val="auto"/>
              </w:rPr>
            </w:pPr>
          </w:p>
        </w:tc>
        <w:tc>
          <w:tcPr>
            <w:tcW w:w="1700" w:type="dxa"/>
            <w:vAlign w:val="bottom"/>
            <w:gridSpan w:val="2"/>
            <w:shd w:val="clear" w:color="auto" w:fill="BFE4FF"/>
          </w:tcPr>
          <w:p>
            <w:pPr>
              <w:ind w:left="20"/>
              <w:spacing w:after="0"/>
              <w:rPr>
                <w:sz w:val="20"/>
                <w:szCs w:val="20"/>
                <w:color w:val="auto"/>
              </w:rPr>
            </w:pPr>
            <w:r>
              <w:rPr>
                <w:rFonts w:ascii="Arial" w:cs="Arial" w:eastAsia="Arial" w:hAnsi="Arial"/>
                <w:sz w:val="13"/>
                <w:szCs w:val="13"/>
                <w:color w:val="auto"/>
              </w:rPr>
              <w:t>FGF</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42"/>
              <w:spacing w:after="0"/>
              <w:rPr>
                <w:sz w:val="20"/>
                <w:szCs w:val="20"/>
                <w:color w:val="auto"/>
              </w:rPr>
            </w:pPr>
            <w:r>
              <w:rPr>
                <w:rFonts w:ascii="Arial" w:cs="Arial" w:eastAsia="Arial" w:hAnsi="Arial"/>
                <w:sz w:val="13"/>
                <w:szCs w:val="13"/>
                <w:color w:val="auto"/>
              </w:rPr>
              <w:t>199</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90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62"/>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78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66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10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BFE4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BFE4FF"/>
          </w:tcPr>
          <w:p>
            <w:pPr>
              <w:spacing w:after="0"/>
              <w:rPr>
                <w:sz w:val="24"/>
                <w:szCs w:val="24"/>
                <w:color w:val="auto"/>
              </w:rPr>
            </w:pPr>
          </w:p>
        </w:tc>
        <w:tc>
          <w:tcPr>
            <w:tcW w:w="1000" w:type="dxa"/>
            <w:vAlign w:val="bottom"/>
            <w:gridSpan w:val="3"/>
            <w:shd w:val="clear" w:color="auto" w:fill="BFE4FF"/>
          </w:tcPr>
          <w:p>
            <w:pPr>
              <w:jc w:val="right"/>
              <w:ind w:right="320"/>
              <w:spacing w:after="0"/>
              <w:rPr>
                <w:sz w:val="20"/>
                <w:szCs w:val="20"/>
                <w:color w:val="auto"/>
              </w:rPr>
            </w:pPr>
            <w:r>
              <w:rPr>
                <w:rFonts w:ascii="Arial" w:cs="Arial" w:eastAsia="Arial" w:hAnsi="Arial"/>
                <w:sz w:val="13"/>
                <w:szCs w:val="13"/>
                <w:color w:val="auto"/>
              </w:rPr>
              <w:t>—</w:t>
            </w:r>
          </w:p>
        </w:tc>
        <w:tc>
          <w:tcPr>
            <w:tcW w:w="760" w:type="dxa"/>
            <w:vAlign w:val="bottom"/>
            <w:shd w:val="clear" w:color="auto" w:fill="BFE4FF"/>
          </w:tcPr>
          <w:p>
            <w:pPr>
              <w:jc w:val="right"/>
              <w:ind w:right="262"/>
              <w:spacing w:after="0"/>
              <w:rPr>
                <w:sz w:val="20"/>
                <w:szCs w:val="20"/>
                <w:color w:val="auto"/>
              </w:rPr>
            </w:pPr>
            <w:r>
              <w:rPr>
                <w:rFonts w:ascii="Arial" w:cs="Arial" w:eastAsia="Arial" w:hAnsi="Arial"/>
                <w:sz w:val="13"/>
                <w:szCs w:val="13"/>
                <w:color w:val="auto"/>
              </w:rPr>
              <w:t>—</w:t>
            </w:r>
          </w:p>
        </w:tc>
        <w:tc>
          <w:tcPr>
            <w:tcW w:w="640" w:type="dxa"/>
            <w:vAlign w:val="bottom"/>
            <w:shd w:val="clear" w:color="auto" w:fill="BFE4FF"/>
          </w:tcPr>
          <w:p>
            <w:pPr>
              <w:jc w:val="right"/>
              <w:ind w:right="17"/>
              <w:spacing w:after="0"/>
              <w:rPr>
                <w:sz w:val="20"/>
                <w:szCs w:val="20"/>
                <w:color w:val="auto"/>
              </w:rPr>
            </w:pPr>
            <w:r>
              <w:rPr>
                <w:rFonts w:ascii="Arial" w:cs="Arial" w:eastAsia="Arial" w:hAnsi="Arial"/>
                <w:sz w:val="13"/>
                <w:szCs w:val="13"/>
                <w:color w:val="auto"/>
              </w:rPr>
              <w:t>—</w:t>
            </w:r>
          </w:p>
        </w:tc>
      </w:tr>
    </w:tbl>
    <w:p>
      <w:pPr>
        <w:spacing w:after="0" w:line="94" w:lineRule="exact"/>
        <w:rPr>
          <w:sz w:val="20"/>
          <w:szCs w:val="20"/>
          <w:color w:val="auto"/>
        </w:rPr>
      </w:pPr>
    </w:p>
    <w:p>
      <w:pPr>
        <w:ind w:right="20" w:firstLine="8"/>
        <w:spacing w:after="0" w:line="216" w:lineRule="auto"/>
        <w:tabs>
          <w:tab w:leader="none" w:pos="213"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Employees - The Company rents certain of its residential housing assets to employees on a month-to-month basis and recorded rental income from employees. There were no rental payments due from employees at January 31, 2020 and October 31, 2019.</w:t>
      </w:r>
    </w:p>
    <w:p>
      <w:pPr>
        <w:spacing w:after="0" w:line="202" w:lineRule="exact"/>
        <w:rPr>
          <w:rFonts w:ascii="Arial" w:cs="Arial" w:eastAsia="Arial" w:hAnsi="Arial"/>
          <w:sz w:val="25"/>
          <w:szCs w:val="25"/>
          <w:color w:val="auto"/>
          <w:vertAlign w:val="superscript"/>
        </w:rPr>
      </w:pPr>
    </w:p>
    <w:p>
      <w:pPr>
        <w:jc w:val="both"/>
        <w:ind w:firstLine="8"/>
        <w:spacing w:after="0" w:line="226" w:lineRule="auto"/>
        <w:tabs>
          <w:tab w:leader="none" w:pos="219"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Mutual water companies - The Company has representation on the boards of directors of the mutual water companies in which the Company has investments. The Company recorded capital contributions, purchased water and water delivery services and had water payments due to the mutual water companies.</w:t>
      </w:r>
    </w:p>
    <w:p>
      <w:pPr>
        <w:spacing w:after="0" w:line="203" w:lineRule="exact"/>
        <w:rPr>
          <w:rFonts w:ascii="Arial" w:cs="Arial" w:eastAsia="Arial" w:hAnsi="Arial"/>
          <w:sz w:val="25"/>
          <w:szCs w:val="25"/>
          <w:color w:val="auto"/>
          <w:vertAlign w:val="superscript"/>
        </w:rPr>
      </w:pPr>
    </w:p>
    <w:p>
      <w:pPr>
        <w:ind w:firstLine="8"/>
        <w:spacing w:after="0" w:line="252" w:lineRule="auto"/>
        <w:tabs>
          <w:tab w:leader="none" w:pos="205"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Cooperative association - The Company has representation on the board of directors of a non-profit cooperative association that provides pest control services for the agricultural industry. The Company purchased services and supplies from and had payments due to the cooperative association.</w:t>
      </w:r>
    </w:p>
    <w:p>
      <w:pPr>
        <w:spacing w:after="0" w:line="189" w:lineRule="exact"/>
        <w:rPr>
          <w:rFonts w:ascii="Arial" w:cs="Arial" w:eastAsia="Arial" w:hAnsi="Arial"/>
          <w:sz w:val="22"/>
          <w:szCs w:val="22"/>
          <w:color w:val="auto"/>
          <w:vertAlign w:val="superscript"/>
        </w:rPr>
      </w:pPr>
    </w:p>
    <w:p>
      <w:pPr>
        <w:jc w:val="both"/>
        <w:ind w:firstLine="8"/>
        <w:spacing w:after="0" w:line="245" w:lineRule="auto"/>
        <w:tabs>
          <w:tab w:leader="none" w:pos="211"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Calavo - The Company has an investment in and representation on the board of directors of Calavo and Calavo has an investment in the Company. Calavo had representation on the board of directors of the Company through December 2018. The Company recorded dividend income on its investment in Calavo, paid dividends to Calavo and had avocado sales to Calavo. Additionally, the Company leases office space to Calavo, purchases storage services from Calavo and had amounts due to Calavo for those services.</w:t>
      </w:r>
    </w:p>
    <w:p>
      <w:pPr>
        <w:spacing w:after="0" w:line="165"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Third party growers - A member of the Company’s board of directors markets lemons through the Company.</w:t>
      </w:r>
    </w:p>
    <w:p>
      <w:pPr>
        <w:sectPr>
          <w:pgSz w:w="11900" w:h="16838" w:orient="portrait"/>
          <w:cols w:equalWidth="0" w:num="1">
            <w:col w:w="1124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382"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 (continued)</w:t>
      </w:r>
    </w:p>
    <w:p>
      <w:pPr>
        <w:spacing w:after="0" w:line="229" w:lineRule="exact"/>
        <w:rPr>
          <w:sz w:val="20"/>
          <w:szCs w:val="20"/>
          <w:color w:val="auto"/>
        </w:rPr>
      </w:pPr>
    </w:p>
    <w:p>
      <w:pPr>
        <w:jc w:val="both"/>
        <w:ind w:firstLine="8"/>
        <w:spacing w:after="0" w:line="257" w:lineRule="auto"/>
        <w:tabs>
          <w:tab w:leader="none" w:pos="197"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 xml:space="preserve">Cadiz / Fenner / WAM - A member of the Company’s board of directors serves as the CEO, President and a member of the board of directors of Cadiz, Inc. In 2013, the Company entered a long-term lease agreement (the “Lease”) with Cadiz Real Estate, LLC (“Cadiz”), a wholly owned subsidiary of Cadiz, Inc., and currently leases 670 acres located in eastern San Bernardino County, California. The annual base rental is equal to the sum of $200 per planted acre and 20% of gross revenues from the sale of harvested lemons (less operating expenses), not to exceed $1,200 per acre per year. In 2016, Cadiz assigned this lease to Fenner Valley Farms, LLC (“Fenner”), a subsidiary of Water Asset Management, LLC (“WAM”). An entity affiliated with WAM is the holder of 9,300 shares of the Company's Series B-2 convertible preferred stock. Upon the adoption of </w:t>
      </w:r>
      <w:r>
        <w:rPr>
          <w:rFonts w:ascii="Arial" w:cs="Arial" w:eastAsia="Arial" w:hAnsi="Arial"/>
          <w:sz w:val="17"/>
          <w:szCs w:val="17"/>
          <w:i w:val="1"/>
          <w:iCs w:val="1"/>
          <w:color w:val="auto"/>
        </w:rPr>
        <w:t>ASC 842</w:t>
      </w:r>
      <w:r>
        <w:rPr>
          <w:rFonts w:ascii="Arial" w:cs="Arial" w:eastAsia="Arial" w:hAnsi="Arial"/>
          <w:sz w:val="17"/>
          <w:szCs w:val="17"/>
          <w:color w:val="auto"/>
        </w:rPr>
        <w:t>, the Company recorded a ROU asset and corresponding lease liability.</w:t>
      </w:r>
    </w:p>
    <w:p>
      <w:pPr>
        <w:spacing w:after="0" w:line="188" w:lineRule="exact"/>
        <w:rPr>
          <w:rFonts w:ascii="Arial" w:cs="Arial" w:eastAsia="Arial" w:hAnsi="Arial"/>
          <w:sz w:val="23"/>
          <w:szCs w:val="23"/>
          <w:color w:val="auto"/>
          <w:vertAlign w:val="superscript"/>
        </w:rPr>
      </w:pPr>
    </w:p>
    <w:p>
      <w:pPr>
        <w:jc w:val="both"/>
        <w:ind w:firstLine="8"/>
        <w:spacing w:after="0" w:line="262" w:lineRule="auto"/>
        <w:tabs>
          <w:tab w:leader="none" w:pos="193"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Colorado River Growers, Inc. (“CRG”) - The Company has representation on the board of directors of CRG, a non-profit cooperative association of fruit growers engaged in the agricultural harvesting business in Yuma County, Arizona. The Company paid harvest expense to CRG, provided harvest management and administrative services to CRG and had a receivable due from CRG for such services.</w:t>
      </w:r>
    </w:p>
    <w:p>
      <w:pPr>
        <w:spacing w:after="0" w:line="186" w:lineRule="exact"/>
        <w:rPr>
          <w:rFonts w:ascii="Arial" w:cs="Arial" w:eastAsia="Arial" w:hAnsi="Arial"/>
          <w:sz w:val="22"/>
          <w:szCs w:val="22"/>
          <w:color w:val="auto"/>
          <w:vertAlign w:val="superscript"/>
        </w:rPr>
      </w:pPr>
    </w:p>
    <w:p>
      <w:pPr>
        <w:ind w:right="20" w:firstLine="8"/>
        <w:spacing w:after="0" w:line="216" w:lineRule="auto"/>
        <w:tabs>
          <w:tab w:leader="none" w:pos="221"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Yuma Mesa Irrigation and Drainage District (“YMIDD”) - The Company has representation on the board of directors of YMIDD. The Company purchased water from YMIDD and had amounts payable to them for such purchases.</w:t>
      </w:r>
    </w:p>
    <w:p>
      <w:pPr>
        <w:spacing w:after="0" w:line="202" w:lineRule="exact"/>
        <w:rPr>
          <w:rFonts w:ascii="Arial" w:cs="Arial" w:eastAsia="Arial" w:hAnsi="Arial"/>
          <w:sz w:val="25"/>
          <w:szCs w:val="25"/>
          <w:color w:val="auto"/>
          <w:vertAlign w:val="superscript"/>
        </w:rPr>
      </w:pPr>
    </w:p>
    <w:p>
      <w:pPr>
        <w:jc w:val="both"/>
        <w:ind w:firstLine="8"/>
        <w:spacing w:after="0" w:line="243" w:lineRule="auto"/>
        <w:tabs>
          <w:tab w:leader="none" w:pos="196"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FGF - The Company advances funds to FGF for fruit purchases which are recorded as an asset until the sales occur and the remaining proceeds become due to FGF. Additionally, FGF provided farming, packing, by-product processing and administrative services to Trapani Fresh. The Company had a payable due to FGF for such fruit purchases and services.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estimated annual effective blended tax rate for fiscal year 2020 is approximately 32.3%. As such, a 31.3% estimated effective blended tax rate, after discrete items, was utilized by the Company in the three months ended January 31, 2020 to calculate its income tax provision.</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has no material uncertain tax positions as of January 31, 2020. The Company recognizes interest expense and penalties related to income tax matters as a component of income tax expense. There was no accrued interest or penalties associated with uncertain tax positions as of January 31, 2020.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Limoneira Company Retirement Plan (the “Plan”) is a noncontributory, defined benefit, single employer pension plan, which provides retirement benefits for all eligible employees. Benefits paid by the Plan are calculated based on years of service, highest five-year average earnings, primary Social Security benefit and retirement age. Effective June 2004, the Company froze the Plan and no additional benefits accrued to participants subsequent to that date.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zero and $150,000 during the three months ended January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periodic pension cost for the Plan for the three months ended January 31, 2020 and 2019 were as follows (in thousands):</w:t>
      </w:r>
    </w:p>
    <w:p>
      <w:pPr>
        <w:spacing w:after="0" w:line="179"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220"/>
        <w:spacing w:after="0"/>
        <w:rPr>
          <w:sz w:val="20"/>
          <w:szCs w:val="20"/>
          <w:color w:val="auto"/>
        </w:rPr>
      </w:pPr>
      <w:r>
        <w:rPr>
          <w:rFonts w:ascii="Arial" w:cs="Arial" w:eastAsia="Arial" w:hAnsi="Arial"/>
          <w:sz w:val="18"/>
          <w:szCs w:val="18"/>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22860</wp:posOffset>
            </wp:positionV>
            <wp:extent cx="1920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5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5300" w:type="dxa"/>
            <w:vAlign w:val="bottom"/>
            <w:tcBorders>
              <w:bottom w:val="single" w:sz="8" w:color="CCEEFF"/>
            </w:tcBorders>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4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4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4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4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388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43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340" w:type="dxa"/>
            <w:vAlign w:val="bottom"/>
            <w:vMerge w:val="restart"/>
          </w:tcPr>
          <w:p>
            <w:pPr>
              <w:jc w:val="right"/>
              <w:ind w:right="2410"/>
              <w:spacing w:after="0"/>
              <w:rPr>
                <w:sz w:val="20"/>
                <w:szCs w:val="20"/>
                <w:color w:val="auto"/>
              </w:rPr>
            </w:pPr>
            <w:r>
              <w:rPr>
                <w:rFonts w:ascii="Arial" w:cs="Arial" w:eastAsia="Arial" w:hAnsi="Arial"/>
                <w:sz w:val="18"/>
                <w:szCs w:val="18"/>
                <w:color w:val="auto"/>
              </w:rPr>
              <w:t>23</w:t>
            </w: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88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or operating results. Legal claims are inherently uncertain, however, and it is possible that the Company’s business, financial condition, liquidity and/or operating results could be adversely affected in the future by legal proceedings.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 stock-based compensation plan (the “Stock Plan”) that allows for the grant of common stock of the Company to members of management, key executives and non-employee directors. The fair value of such awards is based on the fair value of the Company’s stock on the date of grant and all are classified as equity awards.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restricted stock grants are made to management each December under the Stock Plan based on the achievement of certain annual financial performance and other criteria achieved during the previous fiscal year (“Performance Awards”). The performance grants are based on a percentage of the employee’s base salary divided by the stock price on the grant date once the performance criteria has been met, and generally vest over a two-year period as service is provided. There were no shares of common stock granted to management under the Stock Plan for fiscal year 2019 performance because the financial performance and other criteria were not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restricted stock grants are made to key executives under the Stock Plan (“Executive Awards”). These grants generally vest over a three to five-year period as service is provided. During December 2019, the Company granted 95,000 shares of common stock with a per share price of $18.87 to key executives under the Stock Plan. The related compensation expense of approximately $1,793,000 will be recognized equally over the next three years as the shares vest.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issues shares of common stock to non-employee directors under the Stock Plan on an annual basis that vest upon grant (“Director Awards”). During January 2020 and 2019, 17,841 and 15,642 shares, respectively, of common stock were granted as Director Awards. The Company recognized $358,000 and $339,000 of stock-based compensation to non-employee directors during the three months ended January 31, 2020 and 2019, respectively.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January 31, 2020 and 2019, members of management exchanged 11,314 and 20,119 shares, respectively, of common stock with fair values of $213,000 and $305,000, respectively, at the date of the exchanges, for the payment of payroll taxes associated with the vesting of shares under the Company’s stock-based compensation programs.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operates in four reportable operating segments: fresh lemons, lemon packing, avocados and other agribusiness. The Company’s operating segments of rental operations and real estate development are no longer disclosed as separate reportable operating segments and are included in the “Corporate and Other” category in the tables below as they do not meet the quantitative threshold and from a qualitative perspective are not a core focus of the Company's main agribusiness activities. Prior years’ information has been restated to conform to the current year’s presentation.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 costs of oranges, specialty citrus and other crops. Revenues related to rental operations are included in “Corporate and Other”. Other agribusiness revenues consist of oranges of $2,272,000 and specialty citrus and other crops of $1,892,000 for the three months ended January 31, 2020 and oranges of $946,000 and specialty citrus and other crops of $1,255,000 for the three months ended January 31, 2019.</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82"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57"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 (continued)</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operating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6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32,057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41,656</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32,057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41,656</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34,351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3,931</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40,259</w:t>
            </w:r>
          </w:p>
        </w:tc>
        <w:tc>
          <w:tcPr>
            <w:tcW w:w="1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7,298</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47,557</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2,284</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2,565</w:t>
            </w:r>
          </w:p>
        </w:tc>
      </w:tr>
      <w:tr>
        <w:trPr>
          <w:trHeight w:val="216"/>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(6,406)</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32,082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8,784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2,510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37,048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5,864</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42,912</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258</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evaluated events subsequent to January 31, 2020 through the date of this filing, to assess the need for potential recognition or disclosure in this Quarterly Report on Form 10-Q. Based upon this evaluation, except as described in the notes to the interim consolidated financial statements, it was determined that no other subsequent events occurred that require recognition or disclosure in the unaudited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8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primarily an agribusiness company founded and based in Santa Paula, California, committed to responsibly using and managing our approximately 15,700 acres of land, water resources and other assets to maximize long-term stockholder value. Our current operations consist of fruit production, sales and marketing, rental operations, real estate and capital investment activities.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specialty citrus and other crops. We have agricultural plantings throughout Ventura, Tulare, San Luis Obispo and San Bernardino Counties in California, Yuma County in Arizona, La Serena, Chile and Jujuy, Argentina, which collectively consist of approximately 6,200 acres of lemons, 900 acres of avocados, 1,600 acres of oranges and 1,000 acres of specialty citrus and other crops. We also operate our own packinghouses in Santa Paula and Oxnard, California and Yuma, Arizona, where we process, pack and sell lemons that we grow, as well as lemons grown by others. We have a 47% interest in Rosales S.A. (“Rosales”), a citrus packing, marketing and sales business, a 90% interest in Fruticola Pan de Azucar S.A. (“PDA”), a lemon and orange orchard and 100% interest in Agricola San Pablo, SpA ("San Pablo"), a lemon and orange orchard, all of which are located near La Serena, Chile. We have a 51% interest in a joint venture, Trapani Fresh Consorcio de Cooperacion ("Trapani Fresh"), a lemon growing, packing, marketing and selling business in Argentina.</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Yuma Mesa Irrigation and Drainage District (“YMIDD”). We use ground water provided by wells and surface water for our PDA and San Pablo farming operations in Chile and our Trapani Fresh farming operations in Argentina.</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more than 100 years, we have been making strategic investments in California agriculture and real estate. We currently have an interest in three real estate development projects in California. These projects include multi-family housing and single-family homes comprising approximately 260 completed rental units and another approximately 1,500 units in various stages of planning and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three business divisions: agribusiness, rental operations and real estate development. The agribusiness division is comprised of four reportable operating segments: fresh lemons, lemon packing, avocados and other agribusiness, and includes our core operations of farming, harvesting, lemon packing and lemon sales operations. The rental operations division includes our residential and commercial rentals, leased land operations and organic recycling. The real estate development division includes our investments in real estate development projects. Financial information and discussion of our four reportable segments are contained in the notes to the accompanying consolidated financial statements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operating segments: fresh lemons, lemon packing, avocados and other agribusiness, which represented approximately 97%, 96% and 96% of our fiscal year 2019, 2018 and 2017 consolidated revenues, respectively, of which fresh lemons and lemon packing combined represented 87%, 80% and 78% of our fiscal year 2019, 2018 and 2017 consolidated revenues, respectively.</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lemon farming is included in our “fresh lemons” and “lemon packing” reportable operating segments within our financial statements. We are one of the largest growers of lemons and avocados in the United States. We market and sell lemons directly to our food service, wholesale and retail customers throughout the United States, Canada, Asia, Australia and certain other international markets. During the three months ended January 31, 2020, lemon sales were comprised of approximately 71% in domestic and Canadian sales, 25% in sales to domestic exporters and 4% in international sales. Additionally, we had approximately $0.5 million of lemon and orange sales in Chile by PDA and San Pablo and $0.2 million of lemon and orange sales in Argentina by Trapani Fresh in the three months 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January 31, 2020. We sell our oranges and specialty citrus to Sunkist-licensed and other third-party packinghouses. We sell our pistachios to a roaster, packager and marketer of nuts, and our wine grapes are sold to various wine producers.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avocado producing business is important to us, yet it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helps to diversify our fruit production base.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identified consumer trends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Divisions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rental operations division includes our residential and commercial rentals, leased land operations and organic recycling. Our rental operations division represented approximately 3%, 4% and 4% of our consolidated revenues in fiscal years 2019, 2018 and 2017,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rental operations is generally level throughout the year.</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real estate development division includes our real estate development investments. The real estate development division had no revenue in fiscal years 2019, 2018 or 2017.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located in Ventura County, California is sourced from the existing water resources associated with our land, which includes approximately 8,600-acre feet of adjudicated water rights in the Santa Paula Basin (aquifer) and the un-adjudicated Fillmore Basin. We use a combination of ground water provided by wells that derive water from the San Joaquin Valley Basin and water from various water districts and irrigation districts in Tulare County, California, which is in the agriculturally productive San Joaquin Valley. We use ground water provided by wells which derive water from the Cadiz Valley Basin at the Cadiz Ranch in San Bernardino County, California. Our Windfall Farms property located in San Luis Obispo County, California obtains water from wells that derive water from the Paso Robles Basin. Our Associated Citrus Packers, Inc. ("Associated") farming operations in Yuma, Arizona source water from the Colorado River through the YMIDD, where we have access to approximately 11,700-acre feet of Class 3 Colorado River water rights. We use ground water provided by wells and surface water for our PDA and San Pablo farming operations in La Serena, Chile and our Trapani Fresh farming operations in Argentina.</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California has historically experienced periods of below average precipitation. Precipitation in 2019 brought relief to California’s drought conditions, although the few years prior to 2019 were among the most severe droughts on record. Rainfall, snow levels and water content of snow pack were significantly below historical averages. These conditions resulted in reduced water levels in streams, rivers, lakes, aquifers and reservoirs. Federal officials oversee the Central Valley Project, California’s largest water delivery system and 100% of the contracted amount of water was provided to San Joaquin Valley farmers in 2019, 2018 and 2017 compared to 75% in 2016 and zero for 2015 and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equal partners in a joint venture with The Lewis Group of Companies (“Lewis”) for the residential development of our East Area I real estate development project. To consummate the transaction, we formed Limoneira Lewis Community Builders, LLC (the "LLCB" or "Joint Venture") as the development entity. The first phase of the project broke ground to commence mass grading in November 2017. The Joint Venture has closed on lots sales representing 244 units through January 31, 2020. For further information see Note 7 – Real Estate Development of the Notes to Consolidated Financial Statements included in this Quarterly Report on Form 10-Q.</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30, 2019, we acquired a 51% interest in a joint venture, Trapani Fresh, formed with FGF Trapani (“FGF”), a multi-generational, family owned citrus operation in Argentina. To consummate the transaction, we formed a subsidiary under the name Limoneira Argentina S.A.U. (“Limoneira Argentina”) as the managing partner and acquired a 51% interest in an Argentine Trust that holds a 75% interest in Finca Santa Clara (“Santa Clara”), a ranch with approximately 1,200 acres of planted lemons. Trapani Fresh controls the trust and grows, packs, markets and sells fresh citrus. Total consideration paid for our interest in Trapani Fresh was $15,000,000.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fiscal year 2020, we entered into an agreement to sell our Sevilla property for $2,700,000. After transaction and other costs, we expect to receive proceeds of approximately $2,550,000 and recognize an insignificant gain. At January 31, 2020, the $2,543,000 carrying value of the property was classified as held for sale and included in prepaid expenses and other current assets.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year 2019, we declared cash dividends to our stockholders totaling $0.25 per common share in the aggregate amount of $4.0 million compared to a total of $0.21 per common share in the aggregate amount of $3.7 million for fiscal year 2018. On December 17, 2019, we declared a cash dividend $0.075 per common share, which was paid on January 15, 2020, in the aggregate amount of $1.3 million to common stockholders of record as of December 30, 2019.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outbreak of COVID-19 poses increasing risks and may potentially have accounting implications for us with exposure to a broader economic downturn and decline in financial markets. We anticipate a decrease in demand for our fresh citrus in Asian countries which would result in supply chain disruptions and reduced exports to areas affected by the virus.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7"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776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7760" w:type="dxa"/>
            <w:vAlign w:val="bottom"/>
          </w:tcPr>
          <w:p>
            <w:pPr>
              <w:spacing w:after="0"/>
              <w:rPr>
                <w:sz w:val="24"/>
                <w:szCs w:val="24"/>
                <w:color w:val="auto"/>
              </w:rPr>
            </w:pPr>
          </w:p>
        </w:tc>
        <w:tc>
          <w:tcPr>
            <w:tcW w:w="34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77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40,483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40,800</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41,656</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42,018</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Agribusiness</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42,543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38,916</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6,310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5,015</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50,122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45,038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operations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(8,466)</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(3,020)</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 earnings of investments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(3,910)</w:t>
            </w:r>
          </w:p>
        </w:tc>
      </w:tr>
      <w:tr>
        <w:trPr>
          <w:trHeight w:val="27"/>
        </w:trPr>
        <w:tc>
          <w:tcPr>
            <w:tcW w:w="7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(3,417)</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 benefit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1,761</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10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Limoneira Company</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r>
      <w:tr>
        <w:trPr>
          <w:trHeight w:val="20"/>
        </w:trPr>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unrealized gain or loss on stock in Calavo, LLCB earnings in equity investment and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are summarized and reconciled to net loss attributable to Limoneira Company which management considers to be the most directly comparable financial measure calculated and presented in accordance with GAAP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3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Three Months Ended January 31,</w:t>
            </w:r>
          </w:p>
        </w:tc>
      </w:tr>
      <w:tr>
        <w:trPr>
          <w:trHeight w:val="27"/>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Limoneira Company</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income, net</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2,565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2,126</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Unrealized loss on stock in Calavo Growers, Inc.</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3,910</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LLCB earnings in equity investment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(5,084)</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2020 Compared to the Three Months Ended January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net revenues for the first quarter of fiscal year 2020 were $41.7 million compared to $42.0 million for the first quarter of fiscal year 2019. The 1% decrease of $0.4 million was primarily the result of decreased agribusiness revenues, as detailed below ($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6400" w:type="dxa"/>
            <w:vAlign w:val="bottom"/>
            <w:gridSpan w:val="8"/>
          </w:tcPr>
          <w:p>
            <w:pPr>
              <w:ind w:left="740"/>
              <w:spacing w:after="0"/>
              <w:rPr>
                <w:sz w:val="20"/>
                <w:szCs w:val="20"/>
                <w:color w:val="auto"/>
              </w:rPr>
            </w:pPr>
            <w:r>
              <w:rPr>
                <w:rFonts w:ascii="Arial" w:cs="Arial" w:eastAsia="Arial" w:hAnsi="Arial"/>
                <w:sz w:val="18"/>
                <w:szCs w:val="18"/>
                <w:b w:val="1"/>
                <w:bCs w:val="1"/>
                <w:color w:val="auto"/>
              </w:rPr>
              <w:t>Agribusiness Revenues for the Three Months Ended January 31,</w:t>
            </w:r>
          </w:p>
        </w:tc>
      </w:tr>
      <w:tr>
        <w:trPr>
          <w:trHeight w:val="27"/>
        </w:trPr>
        <w:tc>
          <w:tcPr>
            <w:tcW w:w="48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Lemons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36,151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(2,445)</w:t>
            </w:r>
          </w:p>
        </w:tc>
        <w:tc>
          <w:tcPr>
            <w:tcW w:w="1160" w:type="dxa"/>
            <w:vAlign w:val="bottom"/>
            <w:tcBorders>
              <w:bottom w:val="single" w:sz="8" w:color="CCEEFF"/>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(6)%</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Avocados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165</w:t>
            </w:r>
          </w:p>
        </w:tc>
        <w:tc>
          <w:tcPr>
            <w:tcW w:w="1160" w:type="dxa"/>
            <w:vAlign w:val="bottom"/>
          </w:tcPr>
          <w:p>
            <w:pPr>
              <w:jc w:val="center"/>
              <w:ind w:right="310"/>
              <w:spacing w:after="0"/>
              <w:rPr>
                <w:sz w:val="20"/>
                <w:szCs w:val="20"/>
                <w:color w:val="auto"/>
              </w:rPr>
            </w:pPr>
            <w:r>
              <w:rPr>
                <w:rFonts w:ascii="Arial" w:cs="Arial" w:eastAsia="Arial" w:hAnsi="Arial"/>
                <w:sz w:val="18"/>
                <w:szCs w:val="18"/>
                <w:color w:val="auto"/>
                <w:w w:val="91"/>
              </w:rPr>
              <w:t>5,500%</w:t>
            </w:r>
          </w:p>
        </w:tc>
      </w:tr>
      <w:tr>
        <w:trPr>
          <w:trHeight w:val="27"/>
        </w:trPr>
        <w:tc>
          <w:tcPr>
            <w:tcW w:w="4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Oranges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1,326</w:t>
            </w:r>
          </w:p>
        </w:tc>
        <w:tc>
          <w:tcPr>
            <w:tcW w:w="1160" w:type="dxa"/>
            <w:vAlign w:val="bottom"/>
            <w:tcBorders>
              <w:bottom w:val="single" w:sz="8" w:color="CCEEFF"/>
            </w:tcBorders>
            <w:shd w:val="clear" w:color="auto" w:fill="CCEEFF"/>
          </w:tcPr>
          <w:p>
            <w:pPr>
              <w:jc w:val="center"/>
              <w:ind w:right="330"/>
              <w:spacing w:after="0"/>
              <w:rPr>
                <w:sz w:val="20"/>
                <w:szCs w:val="20"/>
                <w:color w:val="auto"/>
              </w:rPr>
            </w:pPr>
            <w:r>
              <w:rPr>
                <w:rFonts w:ascii="Arial" w:cs="Arial" w:eastAsia="Arial" w:hAnsi="Arial"/>
                <w:sz w:val="18"/>
                <w:szCs w:val="18"/>
                <w:color w:val="auto"/>
                <w:w w:val="91"/>
              </w:rPr>
              <w:t>140%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Specialty citrus and other crops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1,892</w:t>
            </w:r>
          </w:p>
        </w:tc>
        <w:tc>
          <w:tcPr>
            <w:tcW w:w="4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637</w:t>
            </w:r>
          </w:p>
        </w:tc>
        <w:tc>
          <w:tcPr>
            <w:tcW w:w="1160" w:type="dxa"/>
            <w:vAlign w:val="bottom"/>
          </w:tcPr>
          <w:p>
            <w:pPr>
              <w:jc w:val="center"/>
              <w:ind w:right="310"/>
              <w:spacing w:after="0"/>
              <w:rPr>
                <w:sz w:val="20"/>
                <w:szCs w:val="20"/>
                <w:color w:val="auto"/>
              </w:rPr>
            </w:pPr>
            <w:r>
              <w:rPr>
                <w:rFonts w:ascii="Arial" w:cs="Arial" w:eastAsia="Arial" w:hAnsi="Arial"/>
                <w:sz w:val="18"/>
                <w:szCs w:val="18"/>
                <w:color w:val="auto"/>
                <w:w w:val="88"/>
              </w:rPr>
              <w:t>51%</w:t>
            </w:r>
          </w:p>
        </w:tc>
      </w:tr>
      <w:tr>
        <w:trPr>
          <w:trHeight w:val="27"/>
        </w:trPr>
        <w:tc>
          <w:tcPr>
            <w:tcW w:w="4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Agribusiness revenues</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40,483</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40,800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(317)</w:t>
            </w:r>
          </w:p>
        </w:tc>
        <w:tc>
          <w:tcPr>
            <w:tcW w:w="1160" w:type="dxa"/>
            <w:vAlign w:val="bottom"/>
            <w:tcBorders>
              <w:bottom w:val="single" w:sz="8" w:color="auto"/>
            </w:tcBorders>
            <w:shd w:val="clear" w:color="auto" w:fill="CCEEFF"/>
          </w:tcPr>
          <w:p>
            <w:pPr>
              <w:jc w:val="center"/>
              <w:ind w:right="310"/>
              <w:spacing w:after="0"/>
              <w:rPr>
                <w:sz w:val="20"/>
                <w:szCs w:val="20"/>
                <w:color w:val="auto"/>
              </w:rPr>
            </w:pPr>
            <w:r>
              <w:rPr>
                <w:rFonts w:ascii="Arial" w:cs="Arial" w:eastAsia="Arial" w:hAnsi="Arial"/>
                <w:sz w:val="18"/>
                <w:szCs w:val="18"/>
                <w:color w:val="auto"/>
                <w:w w:val="94"/>
              </w:rPr>
              <w:t>(1)%</w:t>
            </w:r>
          </w:p>
        </w:tc>
      </w:tr>
      <w:tr>
        <w:trPr>
          <w:trHeight w:val="20"/>
        </w:trPr>
        <w:tc>
          <w:tcPr>
            <w:tcW w:w="4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72"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Lemons: The decrease in the first quarter of fiscal year 2020 was primarily the result of lower prices partially offset by an increase in volume of fresh lemons sold compared to the same period in fiscal year 2019. During the first quarter of fiscal years 2020 and 2019, fresh lemon sales were $27.0 million and $30.9 million, respectively, on 1,280,000 and 1,272,000 cartons of lemons sold at average per carton prices of $21.12 and $24.30, respectively. Lemon revenues included $4.1 million shipping and handling, $1.0 million lemon by-products and $4.0 million other lemon sales in the first quarter of fiscal year 2020 compared to $4.1 million shipping and handling, $2.0 million lemon by-products and $1.5 million other lemon sales during the same period in fiscal year 2019. Other lemon sales in the first quarter of fiscal year 2020 included $0.6 million in Chile and Argentina, compared to $0.4 million in Chile in the first quarter of fiscal year 2019.</w:t>
      </w:r>
    </w:p>
    <w:p>
      <w:pPr>
        <w:spacing w:after="0" w:line="177" w:lineRule="exact"/>
        <w:rPr>
          <w:rFonts w:ascii="Arial" w:cs="Arial" w:eastAsia="Arial" w:hAnsi="Arial"/>
          <w:sz w:val="17"/>
          <w:szCs w:val="17"/>
          <w:color w:val="auto"/>
        </w:rPr>
      </w:pPr>
    </w:p>
    <w:p>
      <w:pPr>
        <w:ind w:left="500" w:hanging="330"/>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Avocados: In the first quarter of fiscal year 2020 we sold 125,000 pounds at average per pound prices of $1.34. No significant sales of avocados were recorded in the first quarter of fiscal year 2019.</w:t>
      </w:r>
    </w:p>
    <w:p>
      <w:pPr>
        <w:spacing w:after="0" w:line="170"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Oranges: The increase in the first quarter of fiscal year 2020 was primarily result of an increase in volume, partially offset by lower prices of oranges sold compared to the same period in fiscal year 2019. In the first quarter of fiscal year 2020, 196,000 40-pound carton equivalents of oranges were sold at average per carton prices of $6.71 compared to 124,000 40-pound carton equivalents sold at average per carton prices of $7.63 in the first quarter of fiscal year 2019. Additionally, the fiscal year 2020 revenues includes $0.1 million in Chile and $0.9 million of oranges purchased for resale.</w:t>
      </w:r>
    </w:p>
    <w:p>
      <w:pPr>
        <w:spacing w:after="0" w:line="187"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Specialty citrus and other crops: The increase in the first quarter of fiscal year 2020 was primarily the result of an increase in volume partially offset by decrease in price of specialty citrus sold compared to the same period in fiscal year 2019. During the first quarter of fiscal year 2020, 139,000 40-pound carton equivalents of specialty citrus were sold at an average per carton price of $13.61 compared to 81,000 40-pound carton equivalents sold at average per carton prices of $15.49 in the first quarter of fiscal year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99" w:right="339" w:bottom="1440" w:gutter="0" w:footer="0" w:header="0"/>
        </w:sectPr>
      </w:pPr>
    </w:p>
    <w:bookmarkStart w:id="30" w:name="page31"/>
    <w:bookmarkEnd w:id="30"/>
    <w:p>
      <w:pPr>
        <w:jc w:val="both"/>
        <w:spacing w:after="0" w:line="279" w:lineRule="auto"/>
        <w:rPr>
          <w:sz w:val="20"/>
          <w:szCs w:val="20"/>
          <w:color w:val="auto"/>
        </w:rPr>
      </w:pPr>
      <w:r>
        <w:rPr>
          <w:rFonts w:ascii="Arial" w:cs="Arial" w:eastAsia="Arial" w:hAnsi="Arial"/>
          <w:sz w:val="17"/>
          <w:szCs w:val="17"/>
          <w:color w:val="auto"/>
        </w:rPr>
        <w:t>Our total costs and expenses in the first quarter of fiscal year 2020 were $50.1 million compared to $45.0 million in the first quarter of fiscal year 2019. The 11% increase of $5.1 million was primarily attributable to increases in our agribusiness and selling, general and administrative costs and expenses. Costs and expenses associated with our agribusiness include packing costs, harvest costs, growing costs, costs related to the fruit we procure and sell for third-party growers and depreciation and amortization expense, as detailed below ($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6840" w:type="dxa"/>
            <w:vAlign w:val="bottom"/>
            <w:gridSpan w:val="8"/>
          </w:tcPr>
          <w:p>
            <w:pPr>
              <w:ind w:left="840"/>
              <w:spacing w:after="0"/>
              <w:rPr>
                <w:sz w:val="20"/>
                <w:szCs w:val="20"/>
                <w:color w:val="auto"/>
              </w:rPr>
            </w:pPr>
            <w:r>
              <w:rPr>
                <w:rFonts w:ascii="Arial" w:cs="Arial" w:eastAsia="Arial" w:hAnsi="Arial"/>
                <w:sz w:val="16"/>
                <w:szCs w:val="16"/>
                <w:b w:val="1"/>
                <w:bCs w:val="1"/>
                <w:color w:val="auto"/>
              </w:rPr>
              <w:t>Agribusiness Costs and Expenses for the Three Months Ended January 31,</w:t>
            </w:r>
          </w:p>
        </w:tc>
      </w:tr>
      <w:tr>
        <w:trPr>
          <w:trHeight w:val="33"/>
        </w:trPr>
        <w:tc>
          <w:tcPr>
            <w:tcW w:w="44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200" w:type="dxa"/>
            <w:vAlign w:val="bottom"/>
          </w:tcPr>
          <w:p>
            <w:pPr>
              <w:spacing w:after="0"/>
              <w:rPr>
                <w:sz w:val="20"/>
                <w:szCs w:val="20"/>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Packing costs</w:t>
            </w:r>
          </w:p>
        </w:tc>
        <w:tc>
          <w:tcPr>
            <w:tcW w:w="104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372</w:t>
            </w:r>
          </w:p>
        </w:tc>
        <w:tc>
          <w:tcPr>
            <w:tcW w:w="12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2"/>
              </w:rPr>
              <w:t>4%</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Harvest costs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6,248</w:t>
            </w:r>
          </w:p>
        </w:tc>
        <w:tc>
          <w:tcPr>
            <w:tcW w:w="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4,565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1,683</w:t>
            </w:r>
          </w:p>
        </w:tc>
        <w:tc>
          <w:tcPr>
            <w:tcW w:w="1200" w:type="dxa"/>
            <w:vAlign w:val="bottom"/>
          </w:tcPr>
          <w:p>
            <w:pPr>
              <w:jc w:val="center"/>
              <w:ind w:right="390"/>
              <w:spacing w:after="0"/>
              <w:rPr>
                <w:sz w:val="20"/>
                <w:szCs w:val="20"/>
                <w:color w:val="auto"/>
              </w:rPr>
            </w:pPr>
            <w:r>
              <w:rPr>
                <w:rFonts w:ascii="Arial" w:cs="Arial" w:eastAsia="Arial" w:hAnsi="Arial"/>
                <w:sz w:val="18"/>
                <w:szCs w:val="18"/>
                <w:color w:val="auto"/>
                <w:w w:val="88"/>
              </w:rPr>
              <w:t>37%</w:t>
            </w:r>
          </w:p>
        </w:tc>
      </w:tr>
      <w:tr>
        <w:trPr>
          <w:trHeight w:val="27"/>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Growing costs</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2,166</w:t>
            </w:r>
          </w:p>
        </w:tc>
        <w:tc>
          <w:tcPr>
            <w:tcW w:w="12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28%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Third-party grower costs</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15,076</w:t>
            </w:r>
          </w:p>
        </w:tc>
        <w:tc>
          <w:tcPr>
            <w:tcW w:w="4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16,086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color w:val="auto"/>
              </w:rPr>
              <w:t>(1,010)</w:t>
            </w:r>
          </w:p>
        </w:tc>
        <w:tc>
          <w:tcPr>
            <w:tcW w:w="1200" w:type="dxa"/>
            <w:vAlign w:val="bottom"/>
          </w:tcPr>
          <w:p>
            <w:pPr>
              <w:jc w:val="center"/>
              <w:ind w:right="390"/>
              <w:spacing w:after="0"/>
              <w:rPr>
                <w:sz w:val="20"/>
                <w:szCs w:val="20"/>
                <w:color w:val="auto"/>
              </w:rPr>
            </w:pPr>
            <w:r>
              <w:rPr>
                <w:rFonts w:ascii="Arial" w:cs="Arial" w:eastAsia="Arial" w:hAnsi="Arial"/>
                <w:sz w:val="18"/>
                <w:szCs w:val="18"/>
                <w:color w:val="auto"/>
                <w:w w:val="94"/>
              </w:rPr>
              <w:t>(6)%</w:t>
            </w:r>
          </w:p>
        </w:tc>
      </w:tr>
      <w:tr>
        <w:trPr>
          <w:trHeight w:val="27"/>
        </w:trPr>
        <w:tc>
          <w:tcPr>
            <w:tcW w:w="4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416</w:t>
            </w:r>
          </w:p>
        </w:tc>
        <w:tc>
          <w:tcPr>
            <w:tcW w:w="12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8"/>
              </w:rPr>
              <w:t>22%</w:t>
            </w:r>
          </w:p>
        </w:tc>
      </w:tr>
      <w:tr>
        <w:trPr>
          <w:trHeight w:val="257"/>
        </w:trPr>
        <w:tc>
          <w:tcPr>
            <w:tcW w:w="4400" w:type="dxa"/>
            <w:vAlign w:val="bottom"/>
          </w:tcPr>
          <w:p>
            <w:pPr>
              <w:ind w:left="40"/>
              <w:spacing w:after="0"/>
              <w:rPr>
                <w:sz w:val="20"/>
                <w:szCs w:val="20"/>
                <w:color w:val="auto"/>
              </w:rPr>
            </w:pPr>
            <w:r>
              <w:rPr>
                <w:rFonts w:ascii="Arial" w:cs="Arial" w:eastAsia="Arial" w:hAnsi="Arial"/>
                <w:sz w:val="18"/>
                <w:szCs w:val="18"/>
                <w:color w:val="auto"/>
              </w:rPr>
              <w:t>Agribusiness costs and expenses</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42,543</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38,916</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3,627</w:t>
            </w:r>
          </w:p>
        </w:tc>
        <w:tc>
          <w:tcPr>
            <w:tcW w:w="1200" w:type="dxa"/>
            <w:vAlign w:val="bottom"/>
            <w:tcBorders>
              <w:top w:val="single" w:sz="8" w:color="auto"/>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9%</w:t>
            </w:r>
          </w:p>
        </w:tc>
      </w:tr>
      <w:tr>
        <w:trPr>
          <w:trHeight w:val="20"/>
        </w:trPr>
        <w:tc>
          <w:tcPr>
            <w:tcW w:w="4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hanging="330"/>
        <w:spacing w:after="0" w:line="255"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Lemon packing costs were $9.2 million and $8.8 million in the first quarter of fiscal years 2020 and 2019, respectively. During the first quarter of fiscal year 2020, we packed and sold 1,280,000 cartons of lemons at average per carton costs of $6.70 compared to 1,272,000 cartons of lemons packed and sold at average per carton costs of $6.50 during the same period in fiscal year 2019. Additionally, packing costs included $0.6 million of shipping costs in the first quarter of fiscal year 2020 compared to $0.5 million in the first quarter of fiscal year 2019.</w:t>
      </w:r>
    </w:p>
    <w:p>
      <w:pPr>
        <w:spacing w:after="0" w:line="192"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Harvest costs: The increase in the first quarter of fiscal year 2020 is primarily attributable to increased volume of lemons, avocados, oranges and specialty citrus harvested.</w:t>
      </w:r>
    </w:p>
    <w:p>
      <w:pPr>
        <w:spacing w:after="0" w:line="170" w:lineRule="exact"/>
        <w:rPr>
          <w:rFonts w:ascii="Arial" w:cs="Arial" w:eastAsia="Arial" w:hAnsi="Arial"/>
          <w:sz w:val="18"/>
          <w:szCs w:val="18"/>
          <w:color w:val="auto"/>
        </w:rPr>
      </w:pPr>
    </w:p>
    <w:p>
      <w:pPr>
        <w:jc w:val="both"/>
        <w:ind w:left="500" w:hanging="330"/>
        <w:spacing w:after="0" w:line="259"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Growing costs: Growing costs, also referred to as cultural costs, consist of orchard maintenance costs such as cultivation, fertilization and soil amendments, pest control, pruning and irrigation. The increase in the first quarter of fiscal year 2020 was primarily due to net increased cost for cultivation, fertilization and soil amendments and Trapani Fresh growing costs compared to the same period in fiscal year 2019. Growing costs reflect farm management decisions based on weather, harvest timing and crop conditions.</w:t>
      </w:r>
    </w:p>
    <w:p>
      <w:pPr>
        <w:spacing w:after="0" w:line="186" w:lineRule="exact"/>
        <w:rPr>
          <w:rFonts w:ascii="Arial" w:cs="Arial" w:eastAsia="Arial" w:hAnsi="Arial"/>
          <w:sz w:val="18"/>
          <w:szCs w:val="18"/>
          <w:color w:val="auto"/>
        </w:rPr>
      </w:pPr>
    </w:p>
    <w:p>
      <w:pPr>
        <w:jc w:val="both"/>
        <w:ind w:left="500" w:hanging="330"/>
        <w:spacing w:after="0" w:line="25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decrease in the first quarter of fiscal year 2020 is primarily attributable to lower prices and decreased volume of third-party grower fruit sold. Of the 1,280,000 and 1,272,000 cartons of lemons packed and sold during the first quarter of fiscal years 2020 and 2019, respectively, 706,000 (55%) and 757,000 (59%) cartons were procured from third-party growers at average per carton prices of $16.58 and $20.87, respectively.</w:t>
      </w:r>
    </w:p>
    <w:p>
      <w:pPr>
        <w:spacing w:after="0" w:line="187" w:lineRule="exact"/>
        <w:rPr>
          <w:rFonts w:ascii="Arial" w:cs="Arial" w:eastAsia="Arial" w:hAnsi="Arial"/>
          <w:sz w:val="18"/>
          <w:szCs w:val="18"/>
          <w:color w:val="auto"/>
        </w:rPr>
      </w:pPr>
    </w:p>
    <w:p>
      <w:pPr>
        <w:ind w:left="500" w:hanging="330"/>
        <w:spacing w:after="0" w:line="308"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Depreciation and amortization: Depreciation and amortization expense for the first quarter of fiscal year 2020 was approximately $0.4 million higher than the first quarter of fiscal year 2019 primarily due to the acquisition of Trapani Fresh and an increase in assets placed into service.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and expenses were $6.3 million in the three months ended January 31, 2020 compared to $5.0 million in the three months ended January 31, 2019. The $1.3 million increase is primarily the result of a $0.5 million increase in salaries and personnel, $0.4 million of training costs associated with an ERP implementation and $0.4 million of other selling and administrative expenses, including certain corporate overhead expenses as of January 31, 2020 compared to January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 net for the three months ended January 31, 2020 is comprised primarily of $2.0 million unrealized loss on equity securities partially offset by $0.1 million of net interest income and $0.2 million of dividend income received from Calavo. Other expense, net for the three months ended January 31, 2019 is comprised primarily of $3.9 million unrealized loss on equity securities partially offset by $0.1 million of net interest income and $0.3 million of dividend income received from Calavo.</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$0.1 million and $0.3 million of interest in the first quarter of fiscal years 2020 and 2019, respectively. Interest capitalization is discontinued when a project is substantially complete. Under the equity method of accounting used for our Limoneira/Lewis Joint Venture, interest capitalization ceased upon the commencement of lot sales in February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of $3.1 million in the first quarter of fiscal year 2020 on pre-tax loss of $10.0 million compared to an estimated income tax benefit of $1.8 million in the first quarter of fiscal year 2019 on pre-tax loss of $6.4 million. The tax benefit recorded for the first quarter of fiscal year 2020 differs from the U.S. federal statutory tax rate of 21.0% due primarily to income attributable to foreign jurisdictions, which is taxed at different rates, state taxes, and nondeductible tax items. Our projected annual effective blended tax rate for fiscal year 2020 is approximately 32.3%.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Net loss (income) attributable to noncontrolling interest represents 10% and 49% of the net loss (income) of PDA and Trapani Fresh,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operate in four reportable operating segments: fresh lemons, lemon packing, avocados and other agribusiness.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20 - Segment Information of the Notes to Consolidated Financial Statements included in this Quarterly Report on Form 10-Q for additional information regarding our operating segments.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2020 Compared to the Three Months Ended January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2020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09"/>
              <w:spacing w:after="0"/>
              <w:rPr>
                <w:sz w:val="20"/>
                <w:szCs w:val="20"/>
                <w:color w:val="auto"/>
              </w:rPr>
            </w:pPr>
            <w:r>
              <w:rPr>
                <w:rFonts w:ascii="Arial" w:cs="Arial" w:eastAsia="Arial" w:hAnsi="Arial"/>
                <w:sz w:val="13"/>
                <w:szCs w:val="13"/>
                <w:b w:val="1"/>
                <w:bCs w:val="1"/>
                <w:color w:val="auto"/>
              </w:rPr>
              <w:t>Fresh</w:t>
            </w:r>
          </w:p>
        </w:tc>
        <w:tc>
          <w:tcPr>
            <w:tcW w:w="180" w:type="dxa"/>
            <w:vAlign w:val="bottom"/>
          </w:tcPr>
          <w:p>
            <w:pPr>
              <w:spacing w:after="0"/>
              <w:rPr>
                <w:sz w:val="13"/>
                <w:szCs w:val="13"/>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20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3"/>
                <w:szCs w:val="13"/>
                <w:color w:val="auto"/>
              </w:rPr>
            </w:pPr>
          </w:p>
        </w:tc>
        <w:tc>
          <w:tcPr>
            <w:tcW w:w="860" w:type="dxa"/>
            <w:vAlign w:val="bottom"/>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Lemons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32,057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41,656</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32,057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11,199</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40,483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41,656</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34,351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8,609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(7,105)</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3,931</w:t>
            </w:r>
          </w:p>
        </w:tc>
        <w:tc>
          <w:tcPr>
            <w:tcW w:w="16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40,259</w:t>
            </w:r>
          </w:p>
        </w:tc>
        <w:tc>
          <w:tcPr>
            <w:tcW w:w="14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7,298</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47,557</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2,284</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281</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2,565</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(6,406)</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(8,466)</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2019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89"/>
              <w:spacing w:after="0"/>
              <w:rPr>
                <w:sz w:val="20"/>
                <w:szCs w:val="20"/>
                <w:color w:val="auto"/>
              </w:rPr>
            </w:pPr>
            <w:r>
              <w:rPr>
                <w:rFonts w:ascii="Arial" w:cs="Arial" w:eastAsia="Arial" w:hAnsi="Arial"/>
                <w:sz w:val="13"/>
                <w:szCs w:val="13"/>
                <w:b w:val="1"/>
                <w:bCs w:val="1"/>
                <w:color w:val="auto"/>
              </w:rPr>
              <w:t>Fresh</w:t>
            </w:r>
          </w:p>
        </w:tc>
        <w:tc>
          <w:tcPr>
            <w:tcW w:w="200" w:type="dxa"/>
            <w:vAlign w:val="bottom"/>
          </w:tcPr>
          <w:p>
            <w:pPr>
              <w:spacing w:after="0"/>
              <w:rPr>
                <w:sz w:val="12"/>
                <w:szCs w:val="12"/>
                <w:color w:val="auto"/>
              </w:rPr>
            </w:pPr>
          </w:p>
        </w:tc>
        <w:tc>
          <w:tcPr>
            <w:tcW w:w="700" w:type="dxa"/>
            <w:vAlign w:val="bottom"/>
          </w:tcPr>
          <w:p>
            <w:pPr>
              <w:jc w:val="right"/>
              <w:ind w:right="129"/>
              <w:spacing w:after="0"/>
              <w:rPr>
                <w:sz w:val="20"/>
                <w:szCs w:val="20"/>
                <w:color w:val="auto"/>
              </w:rPr>
            </w:pPr>
            <w:r>
              <w:rPr>
                <w:rFonts w:ascii="Arial" w:cs="Arial" w:eastAsia="Arial" w:hAnsi="Arial"/>
                <w:sz w:val="13"/>
                <w:szCs w:val="13"/>
                <w:b w:val="1"/>
                <w:bCs w:val="1"/>
                <w:color w:val="auto"/>
              </w:rPr>
              <w:t>Lemon</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ind w:right="229"/>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8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2"/>
                <w:szCs w:val="12"/>
                <w:color w:val="auto"/>
              </w:rPr>
            </w:pPr>
          </w:p>
        </w:tc>
        <w:tc>
          <w:tcPr>
            <w:tcW w:w="740" w:type="dxa"/>
            <w:vAlign w:val="bottom"/>
          </w:tcPr>
          <w:p>
            <w:pPr>
              <w:jc w:val="right"/>
              <w:ind w:right="49"/>
              <w:spacing w:after="0"/>
              <w:rPr>
                <w:sz w:val="20"/>
                <w:szCs w:val="20"/>
                <w:color w:val="auto"/>
              </w:rPr>
            </w:pPr>
            <w:r>
              <w:rPr>
                <w:rFonts w:ascii="Arial" w:cs="Arial" w:eastAsia="Arial" w:hAnsi="Arial"/>
                <w:sz w:val="13"/>
                <w:szCs w:val="13"/>
                <w:b w:val="1"/>
                <w:bCs w:val="1"/>
                <w:color w:val="auto"/>
                <w:w w:val="96"/>
              </w:rPr>
              <w:t>Corporate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82"/>
        </w:trPr>
        <w:tc>
          <w:tcPr>
            <w:tcW w:w="37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Lemons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Packing</w:t>
            </w: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5"/>
              </w:rPr>
              <w:t>Eliminations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0"/>
              </w:rPr>
              <w:t>Avocados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89"/>
              </w:rPr>
              <w:t>Agribusiness</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89"/>
              </w:rPr>
              <w:t>Agribusiness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and Other</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Total</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Intersegment revenue</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15"/>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net revenues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34,493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2,201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40,800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1,218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42,018</w:t>
            </w: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color w:val="auto"/>
              </w:rPr>
              <w:t>Costs and expenses</w:t>
            </w:r>
          </w:p>
        </w:tc>
        <w:tc>
          <w:tcPr>
            <w:tcW w:w="16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32,082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8,784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(7,044)</w:t>
            </w:r>
          </w:p>
        </w:tc>
        <w:tc>
          <w:tcPr>
            <w:tcW w:w="16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2,510</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37,048</w:t>
            </w:r>
          </w:p>
        </w:tc>
        <w:tc>
          <w:tcPr>
            <w:tcW w:w="160" w:type="dxa"/>
            <w:vAlign w:val="bottom"/>
          </w:tcPr>
          <w:p>
            <w:pPr>
              <w:spacing w:after="0"/>
              <w:rPr>
                <w:sz w:val="18"/>
                <w:szCs w:val="18"/>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5,864</w:t>
            </w:r>
          </w:p>
        </w:tc>
        <w:tc>
          <w:tcPr>
            <w:tcW w:w="22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42,912</w:t>
            </w:r>
          </w:p>
        </w:tc>
      </w:tr>
      <w:tr>
        <w:trPr>
          <w:trHeight w:val="21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w:t>
            </w: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258</w:t>
            </w: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2,126</w:t>
            </w:r>
          </w:p>
        </w:tc>
      </w:tr>
      <w:tr>
        <w:trPr>
          <w:trHeight w:val="215"/>
        </w:trPr>
        <w:tc>
          <w:tcPr>
            <w:tcW w:w="3720" w:type="dxa"/>
            <w:vAlign w:val="bottom"/>
          </w:tcPr>
          <w:p>
            <w:pPr>
              <w:ind w:left="4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2,411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(4,904)</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(3,020)</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fiscal year 2020, our fresh lemons segment total net revenues were $32.1 million compared to $34.5 million for the first quarter of fiscal year 2019, a 7% decrease of $2.4 million, primarily due to decrease in fresh lemon carton sales of $3.9 million and $1.0 million lemon by-products, partially offset by an increase in brokerage and other sales of $2.5 million.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7" w:right="339" w:bottom="1440" w:gutter="0" w:footer="0" w:header="0"/>
        </w:sectPr>
      </w:pPr>
    </w:p>
    <w:bookmarkStart w:id="32" w:name="page33"/>
    <w:bookmarkEnd w:id="32"/>
    <w:p>
      <w:pPr>
        <w:jc w:val="both"/>
        <w:spacing w:after="0" w:line="263"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first quarter of fiscal year 2020, our fresh lemons segment costs and expenses were $34.4 million compared to $32.1 million for the first quarter of fiscal year 2019. The 7% increase of $2.3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2020 were $1.3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2020 were $2.2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Third-party grower costs for the first quarter of fiscal year 2020 were $1.9 million lower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costs for the first quarter of fiscal year 2020 were $0.6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Intersegment costs and expenses for the first quarter of fiscal year 2020 were $0.1 million higher than the first quarter of fiscal year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quarter of fiscal years 2020 and 2019, our lemon packing segment total net revenues were $11.2 million and $11.1 million, respectively.</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quarter of fiscal years 2020 and 2019, our lemon packing costs and expenses were $8.6 million and $8.8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years 2020 and 2019, lemon packing segment operating income per carton sold was $2.02 and $1.86, respectively.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fiscal years 2020 and 2019, the lemon packing segment included $7.1 million and $7.0 million, respectively, of intersegment revenues that were charged to the fresh lemons segment to pack lemons for sale. Such intersegment revenues and expenses are eliminated in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fiscal year 2020, our avocados segment had total net revenues of $0.2 million. In the first quarter of fiscal year 2019, our avocados segment had no significant revenues.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avocados segment include harvest and growing costs. For the first quarter of fiscal year 2020, our avocados segment costs and expenses were $0.5 million compared to $0.7 million for the first quarter of fiscal year 2019. The 34% decrease of $0.2 million primarily consisted of the following:</w:t>
      </w:r>
    </w:p>
    <w:p>
      <w:pPr>
        <w:spacing w:after="0" w:line="184" w:lineRule="exact"/>
        <w:rPr>
          <w:sz w:val="20"/>
          <w:szCs w:val="20"/>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2020 were similar to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2020 were $0.3 million lower than the first quarter of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first quarter of fiscal year 2020, our other agribusiness segment total net revenues were $4.2 million compared to $2.2 million for the first quarter of fiscal year 2019. The 89% increase of $2.0 million primarily consisted of the following:</w:t>
      </w:r>
    </w:p>
    <w:p>
      <w:pPr>
        <w:spacing w:after="0" w:line="170" w:lineRule="exact"/>
        <w:rPr>
          <w:sz w:val="20"/>
          <w:szCs w:val="20"/>
          <w:color w:val="auto"/>
        </w:rPr>
      </w:pPr>
    </w:p>
    <w:p>
      <w:pPr>
        <w:ind w:left="500" w:hanging="330"/>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Orange revenues for the first quarter of fiscal year 2020 were $1.3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Specialty citrus and other crops revenues for the first quarter of fiscal year 2020 were $0.6 million higher than the first quarter of fiscal year 2019.</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associated with our other agribusiness segment include harvest costs, growing costs and purchased fruit costs. For the first quarter of fiscal year 2020, our other agribusiness costs and expenses were $3.9 million compared to $2.5 million for the first quarter of fiscal year 2019. The 57% increase of $1.4 million primarily consisted of the following: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3" w:name="page34"/>
    <w:bookmarkEnd w:id="33"/>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2020 were $0.4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2020 were $0.2 million higher than the first quarter of fiscal year 2019.</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Purchased fruit costs for the first quarter of fiscal year 2020 were $0.9 million higher than the first quarter of fiscal year 2019.</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agribusiness depreciation and amortization expenses for the first quarter of fiscal year 2020 were $0.4 million higher than the first quarter of fiscal year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rental operations had total net revenues of approximately $1.2 million for each of the quarters of fiscal years 2020 and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and expenses in rental operations and real estate development for the first quarter of fiscal year 2020 were $1.3 million compared to $1.1 million in the first quarter of fiscal year 2019. Depreciation and amortization expenses for the first quarter of fiscal year 2020 were similar to the first quarter of fiscal year 2019 at approximately $0.3 million.</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costs and expenses include other costs not allocated to the operating segments. Selling, general and administrative costs and expenses for the first quarter of fiscal year 2020 were $1.3 million higher than the first quarter of fiscal year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2020 and 2019</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220" w:type="dxa"/>
            <w:vAlign w:val="bottom"/>
          </w:tcPr>
          <w:p>
            <w:pPr>
              <w:spacing w:after="0"/>
              <w:rPr>
                <w:sz w:val="20"/>
                <w:szCs w:val="20"/>
                <w:color w:val="auto"/>
              </w:rPr>
            </w:pPr>
            <w:r>
              <w:rPr>
                <w:rFonts w:ascii="Arial" w:cs="Arial" w:eastAsia="Arial" w:hAnsi="Arial"/>
                <w:sz w:val="18"/>
                <w:szCs w:val="18"/>
                <w:color w:val="auto"/>
              </w:rPr>
              <w:t>The following table shows the unaudited results of operations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8220" w:type="dxa"/>
            <w:vAlign w:val="bottom"/>
          </w:tcPr>
          <w:p>
            <w:pPr>
              <w:spacing w:after="0"/>
              <w:rPr>
                <w:sz w:val="24"/>
                <w:szCs w:val="24"/>
                <w:color w:val="auto"/>
              </w:rPr>
            </w:pPr>
          </w:p>
        </w:tc>
        <w:tc>
          <w:tcPr>
            <w:tcW w:w="302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Trailing twelve months ended January</w:t>
            </w:r>
          </w:p>
        </w:tc>
      </w:tr>
      <w:tr>
        <w:trPr>
          <w:trHeight w:val="234"/>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7"/>
              </w:rPr>
              <w:t>31,</w:t>
            </w:r>
          </w:p>
        </w:tc>
        <w:tc>
          <w:tcPr>
            <w:tcW w:w="1120" w:type="dxa"/>
            <w:vAlign w:val="bottom"/>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166,232</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134,811</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5,006</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171,036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139,817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155,999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108,837</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Impairment of real estate development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1,558</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22,465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16,994</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183,065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131,613</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8,204</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Equity in earnings of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582</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sale of stock in Calavo Growers, Inc.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4,223</w:t>
            </w: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Unrealized loss on stock in Calavo Growers, Inc.</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(3,910)</w:t>
            </w:r>
          </w:p>
        </w:tc>
      </w:tr>
      <w:tr>
        <w:trPr>
          <w:trHeight w:val="27"/>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r>
      <w:tr>
        <w:trPr>
          <w:trHeight w:val="236"/>
        </w:trPr>
        <w:tc>
          <w:tcPr>
            <w:tcW w:w="8220" w:type="dxa"/>
            <w:vAlign w:val="bottom"/>
          </w:tcPr>
          <w:p>
            <w:pPr>
              <w:ind w:left="40"/>
              <w:spacing w:after="0"/>
              <w:rPr>
                <w:sz w:val="20"/>
                <w:szCs w:val="20"/>
                <w:color w:val="auto"/>
              </w:rPr>
            </w:pPr>
            <w:r>
              <w:rPr>
                <w:rFonts w:ascii="Arial" w:cs="Arial" w:eastAsia="Arial" w:hAnsi="Arial"/>
                <w:sz w:val="18"/>
                <w:szCs w:val="18"/>
                <w:color w:val="auto"/>
              </w:rPr>
              <w:t>Total other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benefit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9,010</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(2,097)</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6,913</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Loss (income) attributable to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Limoneira Company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50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revenues increased $31.2 million in the twelve months ended January 31, 2020 compared to the twelve months ended January 31, 2019 primarily due to increased agribusiness revenues, particularly increased lemon sales.</w:t>
      </w:r>
    </w:p>
    <w:p>
      <w:pPr>
        <w:spacing w:after="0" w:line="170" w:lineRule="exact"/>
        <w:rPr>
          <w:rFonts w:ascii="Arial" w:cs="Arial" w:eastAsia="Arial" w:hAnsi="Arial"/>
          <w:sz w:val="18"/>
          <w:szCs w:val="18"/>
          <w:color w:val="auto"/>
        </w:rPr>
      </w:pPr>
    </w:p>
    <w:p>
      <w:pPr>
        <w:jc w:val="both"/>
        <w:ind w:left="500" w:hanging="330"/>
        <w:spacing w:after="0" w:line="301"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costs and expenses increased $51.5 million in the twelve months ended January 31, 2020 compared to the twelve months ended January 31, 2019 primarily due to increases in our agribusiness costs and selling, general and administrative expenses. The increase in agribusiness costs is associated with increased agribusiness production and the increase in selling, general and administrative expenses is primarily attributable to increased administrative personnel, salaries and benefits, and certain corporate expenses associated with strategic initiatives.</w:t>
      </w:r>
    </w:p>
    <w:p>
      <w:pPr>
        <w:spacing w:after="0" w:line="157" w:lineRule="exact"/>
        <w:rPr>
          <w:rFonts w:ascii="Arial" w:cs="Arial" w:eastAsia="Arial" w:hAnsi="Arial"/>
          <w:sz w:val="16"/>
          <w:szCs w:val="16"/>
          <w:color w:val="auto"/>
        </w:rPr>
      </w:pPr>
    </w:p>
    <w:p>
      <w:pPr>
        <w:ind w:left="500" w:hanging="330"/>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other income was similar in the twelve months ended January 31, 2020 compared to the twelve months ended January 31, 2019.</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 tax benefit (provision) decreased $4.6 million in the twelve months ended January 31, 2020 compared to the twelve months ended January 31, 2019 primarily due to decreased income before taxes as a result of decreased operating income.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liquidity and capital position fluctuates during the year depending on seasonal production cycles, weather events and demand for our products. Typically, our first and last fiscal quarters coincide with the fall and winter months during which we are growing crops that are harvested and sold in the spring and summer, which are our second and third quarters. To meet working capital demand and investment requirements of our agribusiness and real estate development projects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2020 and 2019, net cash used in operating activities was $12.2 million and $4.5 million, respectively. The significant components of our cash flows used in operating activities were as follows:</w:t>
      </w:r>
    </w:p>
    <w:p>
      <w:pPr>
        <w:spacing w:after="0" w:line="170" w:lineRule="exact"/>
        <w:rPr>
          <w:sz w:val="20"/>
          <w:szCs w:val="20"/>
          <w:color w:val="auto"/>
        </w:rPr>
      </w:pPr>
    </w:p>
    <w:p>
      <w:pPr>
        <w:jc w:val="both"/>
        <w:ind w:left="500" w:hanging="330"/>
        <w:spacing w:after="0" w:line="311"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loss for the three months ended January 31, 2020 was $6.9 million compared to net loss of $4.7 million for the three months ended January 31, 2019. The components of net loss in the three months ended January 31, 2020 compared to the same period in fiscal year 2019 consist of a decrease in operating income of $5.4 million, a decrease in total other expense of $1.8 million and an increase in income tax benefit of $1.4 million.</w:t>
      </w:r>
    </w:p>
    <w:p>
      <w:pPr>
        <w:spacing w:after="0" w:line="148" w:lineRule="exact"/>
        <w:rPr>
          <w:rFonts w:ascii="Arial" w:cs="Arial" w:eastAsia="Arial" w:hAnsi="Arial"/>
          <w:sz w:val="16"/>
          <w:szCs w:val="16"/>
          <w:color w:val="auto"/>
        </w:rPr>
      </w:pPr>
    </w:p>
    <w:p>
      <w:pPr>
        <w:jc w:val="both"/>
        <w:ind w:left="50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adjustments to reconcile net loss to net cash used in operating activities provided $2.2 million of cash in the three months ended January 31, 2020 compared to providing $5.3 million of cash in the same period in fiscal year 2019 primarily due to significant changes in depreciation and amortization, deferred taxes and unrealized loss on stock in Calavo.</w:t>
      </w:r>
    </w:p>
    <w:p>
      <w:pPr>
        <w:spacing w:after="0" w:line="183" w:lineRule="exact"/>
        <w:rPr>
          <w:rFonts w:ascii="Arial" w:cs="Arial" w:eastAsia="Arial" w:hAnsi="Arial"/>
          <w:sz w:val="18"/>
          <w:szCs w:val="18"/>
          <w:color w:val="auto"/>
        </w:rPr>
      </w:pPr>
    </w:p>
    <w:p>
      <w:pPr>
        <w:jc w:val="both"/>
        <w:ind w:left="500" w:hanging="330"/>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changes in operating assets and liabilities used $7.5 million of operating cash in the three months ended January 31, 2020 compared to using $5.1 million of operating cash in the three months ended January 31, 2019, primarily due to significant changes in accounts receivable, accounts payable, growers payable, prepaid expenses and other current assets, and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January 31, 2020, net cash used in investing activities was $6.5 million compared to net cash used in investing activities of $9.8 million during the same period in fiscal year 2019. Net cash used in investing activities was primarily comprised of capital expenditures, agriculture property acquisitions and investments.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Capital expenditures were $3.7 million in the three months ended January 31, 2020, comprised of $3.5 million for property, plant and equipment primarily related to orchard and vineyard development and $0.2 million for real estate development projects. Additionally, in the three months ended January 31, 2020, we contributed $2.8 million to the Joint Venture for the development of our East Area I real estate development project.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$5.1 million in the three months ended January 31, 2019, comprised of $4.6 million for property, plant and equipment primarily related to orchard and vineyard development and the purchase of a photovoltaic solar array and $0.3 million for real estate development projects. Additionally, in the three months ended January 31, 2019, we purchased an agriculture property for $0.4 million and contributed $4.0 million to the Joint Venture for the development of our East Area I real estate development project.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2020, net cash provided by financing activities was $19.1 million compared to net cash provided by financing activities of $14.9 million during the same period in fiscal year 2019.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$19.1 million of cash provided by financing activities during the three months ended January 31, 2020 was primarily comprised of net borrowings of long-term debt in the amount $20.7 million partially offset by common and preferred dividends, in aggregate, of $1.5 million. The $14.9 million of cash provided by financing activities during the three months ended January 31, 2019 was primarily comprised of net borrowings of long-term debt in the amount $16.7 million partially offset by common and preferred dividends, in aggregate, of $1.5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2017, we entered into a Master Loan Agreement (the “Loan Agreement”) with Farm Credit West, FLCA ("Farm Credit West") which includes a Revolving Credit Supplement and a Non-Revolving Credit Supplement (the “Supplements”).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 The borrowing capacity based on collateral value was $115.0 million at January 31, 2020.</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2019,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February 2020, we received an annual patronage dividend of $966,000 from Farm Credit West. This dividend was accrued at January 31, 2020, of which $667,000 was recorded as a reduction in interest expense and $299,000 reduced our real estate development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2020, we entered into a loan agreement with Farm Credit West for a $15.0 million revolving line of credit secured by the Windfall Investors, LLC property. The loan matures in 2043 and features a 3-year draw period followed by 20 years of fully amortized loan payments. The interest rate is variable with monthly interest-only payments during the 3-year draw period and monthly principal and interest payments thereafter.</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finance our working capital and other liquidity requirements primarily through cash from operations and our Farm Credit West Credit Facility. In addition, we have the Farm Credit West term loans, the Wells Fargo term loan, the Banco de Chile term loan and a note payable to the sellers of a land parcel. Additional information regarding the Farm Credit West Credit Facility, the Farm Credit West term loans, the Wells Fargo term loan, the Banco de Chile term loan and the note payable can be found in the Notes to Consolidated Financial Statements included in this Quarterly Report on Form 10-Q.</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2020. In addition, we have the ability to control a portion of our investing cash flows to the extent necessary based on our liquidity demands.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contractual obligations as disclosed in our fiscal year 2019 Annual Report on Form 10-K, except as follows: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Joint Venture entered into a $45.0 million unsecured Line of Credit Loan Agreement and Promissory Note (the “Loan”) with Bank of America, N.A. to fund early development activities. The Loan originally matured in January 2020 and was extended to February 22, 2021 per the terms thereof. The interest rate on the Loan is LIBOR plus 2.85% and is payable monthly. The Loan contains certain customary default provisions and the Joint Venture may prepay any amounts outstanding under the Loan without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penalty. The Joint Venture recorded a $45.0 million outstanding loan balance at January 31, 2020 related to this Loan. The obligations under the Loan are guaranteed by certain principals from Lewis and by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above and in Note 7 – Real Estate Development and Note 8 – Equity in Investments in the Notes to Consolidated Financial Statements included in our fiscal year 2019 Annual Report on Form 10-K, we have investments in joint ventures and partnerships that are accounted for using the equity method of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inflation has not had a material effect on our results of operations. However, significant increases in inflation, including in Argentina, could have an adverse impact on our business, financial condition and results of operations.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2019, we adopted Financial Accounting Standards Board ("FASB") Accounting Standards Update ("ASU") No. 2016-02, Leases (as amended, "ASU 2016-02" or the "new lease standard"). A lease is defined as a contract that conveys the right to control the use of an identified asset for a period of time in exchange for consideration. We enter into contracts that are, or contain, leases as both a lessee and a lessor. The following accounting policies have been updated as part of the adoption of the new lease standard.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Accounting for Operating Leases as a Lessee </w:t>
      </w:r>
      <w:r>
        <w:rPr>
          <w:rFonts w:ascii="Arial" w:cs="Arial" w:eastAsia="Arial" w:hAnsi="Arial"/>
          <w:sz w:val="17"/>
          <w:szCs w:val="17"/>
          <w:color w:val="auto"/>
        </w:rPr>
        <w:t>- In our ordinary course of business, we enter into leases as a lessee generally for agricultural land and</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equipment. We determine if an arrangement is a lease or contains a lease at inception. Operating leases are included in other assets, accrued liabilities and other long-term liabilities on our Consolidated Balance Sheets. Operating lease right-of-use (“ROU”) assets represent the right to use an underlying asset for the lease term and lease liabilities represent the obligation to make lease payments arising from the lease, measured on a discounted basis. Operating lease ROU assets and operating lease liabilities are recognized based on the present value of the future minimum lease payments over the lease term at commencement date. As none of the our leases provide an implicit rate, we use our incremental borrowing rate based on the information available at commencement date in determining the present value of future payments.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Leases with an initial term of 12 months or less are not recorded on the balance sheet as we have elected to recognize lease expense for these leases on a straight-line basis over the lease term. We have material leases with related parties which are further described in Note 15 - Related-Party Transactions of the Notes to Consolidated Financial Statements included in this Quarterly Report on Form 10-Q. Certain of our agricultural land agreements contain variable costs based on a percentage of the operating results of the leased property. Such variable lease costs are expensed as incurred. These land agreements also contain costs for non-lease components such as water usage. We account for the lease and non-lease components separately. For all other agreements, we generally combine lease and non-lease components in calculating the ROU assets and lease liabilities. See Note 13 - Leases of the Notes to Consolidated Financial Statements included in this Quarterly Report on Form 10-Q for additional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93" w:lineRule="auto"/>
        <w:rPr>
          <w:sz w:val="20"/>
          <w:szCs w:val="20"/>
          <w:color w:val="auto"/>
        </w:rPr>
      </w:pPr>
      <w:r>
        <w:rPr>
          <w:rFonts w:ascii="Arial" w:cs="Arial" w:eastAsia="Arial" w:hAnsi="Arial"/>
          <w:sz w:val="16"/>
          <w:szCs w:val="16"/>
          <w:i w:val="1"/>
          <w:iCs w:val="1"/>
          <w:color w:val="auto"/>
        </w:rPr>
        <w:t xml:space="preserve">Accounting for Leases as a Lessor </w:t>
      </w:r>
      <w:r>
        <w:rPr>
          <w:rFonts w:ascii="Arial" w:cs="Arial" w:eastAsia="Arial" w:hAnsi="Arial"/>
          <w:sz w:val="16"/>
          <w:szCs w:val="16"/>
          <w:color w:val="auto"/>
        </w:rPr>
        <w:t>- We lease in which we act as the lessor includes land and residential and commercial units and are all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leases. Certain of our contracts contain variable income based on a percentage of the operating results of the leased asset. Certain of our contracts contain non-lease components such as water, utilities and common area services. We have elected to not separate lease and non-lease components for our lessor arrangements and the combined component is accounted for entirely under ASC 842. The underlying asset in an operating lease arrangement is carried at depreciated cost within Property, plant and equipment, net on the consolidated balance sheets. Depreciation is calculated using the straight-line method over the useful life of the underlying asset. We recognize operating lease revenue on a straight-line basis over the lease term.</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We account for our agribusiness revenue in accordance with ASC 606, Revenue from Contracts with Customers. The core principle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standard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18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determine the appropriate method by which we recognize revenue by analyzing the nature of the products or services being provided as well as the terms and conditions of contracts or arrangements entered into with our customers. We account for a contract when it has approval and commitment from both parties, the rights of the parties are identified, payment terms are identified, the contract has commercial substance and collectability of consideration is probable. A contract's transaction price is allocated to each distinct good or service (i.e., performance obligation) identified in the contract and each performance obligation is valued based on its estimated relative standalone selling price.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the majority of our revenue at a point in time when we satisfy a performance obligation and transfer control of the product to the respective customer. The amount of revenue that is recognized is based on the transaction price, which represents the invoiced amount and includes estimates of variable consideration such as allowances for estimated customer discounts or concessions, where applicable. The amount of variable consideration included in the transaction price may be constrained and is included only to the extent that it is probable that a significant reversal in the amount of the cumulative revenue recognized under the contract will not occur in a future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Agribusiness revenue </w:t>
      </w:r>
      <w:r>
        <w:rPr>
          <w:rFonts w:ascii="Arial" w:cs="Arial" w:eastAsia="Arial" w:hAnsi="Arial"/>
          <w:sz w:val="18"/>
          <w:szCs w:val="18"/>
          <w:color w:val="auto"/>
        </w:rPr>
        <w:t>- Revenue from lemon sales is generally recognized at a point in time when the customer takes control of the fruit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packinghouse which aligns with the transfer of title to the customer. We have elected to treat any shipping and handling costs incurred after control of the goods has been transferred to the customer as agribusiness costs.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We deliver the majority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 Our arrangements with our third-party packinghouses are such that we are the producer and supplier of the product and the third-party packinghouses are our customers.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revenues we recognize related to the fruits sold to the third-party packinghouses are based on the volume and quality of the fruits delivered, the market price for such fruit, less the packinghouses’ charges to pack and market the fruit. Such packinghouse charges include the grading, sizing, packing, cooling, ripening and marketing of the related fruit. We control the product until it is delivered to the third-party packinghouses at which time control of the product is transferred to the third-party packinghouses and revenue is recognized. Such third-party packinghouse charges are recorded as a reduction of revenue as they are not for distinct services.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or harvest period. Calavo and other third-party packinghouses are agricultural cooperatives or function in a similar manner as an agricultural cooperative. We estimate the variable consideration using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41" w:right="339" w:bottom="1440" w:gutter="0" w:footer="0" w:header="0"/>
        </w:sectPr>
      </w:pPr>
    </w:p>
    <w:bookmarkStart w:id="39" w:name="page40"/>
    <w:bookmarkEnd w:id="39"/>
    <w:p>
      <w:pPr>
        <w:jc w:val="both"/>
        <w:spacing w:after="0" w:line="288" w:lineRule="auto"/>
        <w:rPr>
          <w:sz w:val="20"/>
          <w:szCs w:val="20"/>
          <w:color w:val="auto"/>
        </w:rPr>
      </w:pPr>
      <w:r>
        <w:rPr>
          <w:rFonts w:ascii="Arial" w:cs="Arial" w:eastAsia="Arial" w:hAnsi="Arial"/>
          <w:sz w:val="16"/>
          <w:szCs w:val="16"/>
          <w:color w:val="auto"/>
        </w:rPr>
        <w:t>the most likely amount method, with the most likely amount being the quantities actually shipped extended by the prices reported by Calavo and other third-party packinghouses. Revenue is recognized at time of delivery to the packinghouses relating to fruits that are in pools that have not yet closed at month end if: (a) the related fruits have been delivered to and accepted by Calavo and other third-party packinghouses (i.e., Calavo and other third-party packinghouses obtain control) and (b) sales price information has been provided by Calavo and other third-party packinghouses (based on the marketplace activity for the related fruit) to estimate with reasonable certainty the final selling price for the fruit upon the closing of the pools. In such instances, we have the present right to payment and Calavo and other third-party packinghouses have the present right to direct the use of, and obtain substantially all of the remaining benefits from, the delivered fruit. We do not expect that there is a high likelihood that a significant reversal in the amount of cumulative revenue recognized in the early periods of the pool will occur once the final pool prices have been reported by the packinghouses. Historically, the revenue that is recorded based on the sales price information provided to us by Calavo and other third-party packinghouses at the time of delivery, have not materially differed from the actual amounts that are paid after the monthly or harvest period pools are closed.</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brokerage arrangements with third-party international packinghouses. In these arrangements, we have the exclusive ability to direct the use of, and obtain substantially all of the remaining benefits from the fruit, and are therefore acting as a principal. As such, we record the related revenue and costs of the fruit gross in the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Revenue from crop insurance proceeds is recorded when the amount can be reasonably determined and upon establishment of the present right to payment.</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Rental Revenue </w:t>
      </w:r>
      <w:r>
        <w:rPr>
          <w:rFonts w:ascii="Arial" w:cs="Arial" w:eastAsia="Arial" w:hAnsi="Arial"/>
          <w:sz w:val="17"/>
          <w:szCs w:val="17"/>
          <w:color w:val="auto"/>
        </w:rPr>
        <w:t>- We account for our rental operations revenue in accordance with ASC 842, Leases. Minimum rental revenues are generally recognized on</w:t>
      </w:r>
      <w:r>
        <w:rPr>
          <w:rFonts w:ascii="Arial" w:cs="Arial" w:eastAsia="Arial" w:hAnsi="Arial"/>
          <w:sz w:val="17"/>
          <w:szCs w:val="17"/>
          <w:i w:val="1"/>
          <w:iCs w:val="1"/>
          <w:color w:val="auto"/>
        </w:rPr>
        <w:t xml:space="preserve"> </w:t>
      </w:r>
      <w:r>
        <w:rPr>
          <w:rFonts w:ascii="Arial" w:cs="Arial" w:eastAsia="Arial" w:hAnsi="Arial"/>
          <w:sz w:val="17"/>
          <w:szCs w:val="17"/>
          <w:color w:val="auto"/>
        </w:rPr>
        <w:t>a straight-line basis over the respective initial lease term. Contingent rental revenues are contractually defined as to the percentage of rent received by us and are based on fees collected by the lessee. Such revenues are recognized when actual results, based on collected fees reported by the tenant, are received. Our rental arrangements generally require payment on a monthly or quarterly basis.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Real Estate Development Costs </w:t>
      </w:r>
      <w:r>
        <w:rPr>
          <w:rFonts w:ascii="Arial" w:cs="Arial" w:eastAsia="Arial" w:hAnsi="Arial"/>
          <w:sz w:val="16"/>
          <w:szCs w:val="16"/>
          <w:color w:val="auto"/>
        </w:rPr>
        <w:t>- We capitalize the planning, entitlement, construction and development costs associated with our various real estate</w:t>
      </w:r>
      <w:r>
        <w:rPr>
          <w:rFonts w:ascii="Arial" w:cs="Arial" w:eastAsia="Arial" w:hAnsi="Arial"/>
          <w:sz w:val="16"/>
          <w:szCs w:val="16"/>
          <w:i w:val="1"/>
          <w:iCs w:val="1"/>
          <w:color w:val="auto"/>
        </w:rPr>
        <w:t xml:space="preserve"> </w:t>
      </w:r>
      <w:r>
        <w:rPr>
          <w:rFonts w:ascii="Arial" w:cs="Arial" w:eastAsia="Arial" w:hAnsi="Arial"/>
          <w:sz w:val="16"/>
          <w:szCs w:val="16"/>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 Costs incurred to sell the real estate are evaluated for capitalization in accordance with ASC 340-40, and incremental costs of obtaining a contract and costs to fulfill a contract are capitalized only if the costs relate directly to a specifically identified contract, enhance resources to satisfy performance obligations in the future and are expected to be recovered.</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Financing and payment </w:t>
      </w:r>
      <w:r>
        <w:rPr>
          <w:rFonts w:ascii="Arial" w:cs="Arial" w:eastAsia="Arial" w:hAnsi="Arial"/>
          <w:sz w:val="16"/>
          <w:szCs w:val="16"/>
          <w:color w:val="auto"/>
        </w:rPr>
        <w:t>- Our payment terms vary by the type and location of our customer and the products or services offered. Payment terms differ by</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 and customer but payment is generally required in a term ranging from 30 to 60 days from date of shipment or satisfaction of the performance obligation. We do not provide financing with extended payment terms beyond generally standard commercial payment terms for the applicable industry.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 Taxes collected from customers and remitted to government authorities and that are related to the sales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are excluded from revenues.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original expected lengths of one year or less or (ii) contracts for which we recognize revenue at the amount to which we have the right to invoice for the services performed.</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 xml:space="preserve">Foreign Currency Translation </w:t>
      </w:r>
      <w:r>
        <w:rPr>
          <w:rFonts w:ascii="Arial" w:cs="Arial" w:eastAsia="Arial" w:hAnsi="Arial"/>
          <w:sz w:val="17"/>
          <w:szCs w:val="17"/>
          <w:color w:val="auto"/>
        </w:rPr>
        <w:t>- PDA and San Pablo’s functional currency is the Chilean Peso. Our balance sheets are translated to U.S. dollars at exchange</w:t>
      </w:r>
      <w:r>
        <w:rPr>
          <w:rFonts w:ascii="Arial" w:cs="Arial" w:eastAsia="Arial" w:hAnsi="Arial"/>
          <w:sz w:val="17"/>
          <w:szCs w:val="17"/>
          <w:i w:val="1"/>
          <w:iCs w:val="1"/>
          <w:color w:val="auto"/>
        </w:rPr>
        <w:t xml:space="preserve"> </w:t>
      </w:r>
      <w:r>
        <w:rPr>
          <w:rFonts w:ascii="Arial" w:cs="Arial" w:eastAsia="Arial" w:hAnsi="Arial"/>
          <w:sz w:val="17"/>
          <w:szCs w:val="17"/>
          <w:color w:val="auto"/>
        </w:rPr>
        <w:t>rates in effect at the balance sheet dates and their income statements are translated at average exchange rates during the reporting period. The resulting foreign currency translation adjustments are recorded as a separate component of accumulated other comprehensive income.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from such a position are measured based on the largest benefit that has a greater than 50% likelihood of being realized upon ultimate settlement.</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Combinations. The acquisition method requires identifiable assets acquired and liabilities assumed and any noncontrolling interest in the business 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circumstances indicate the carrying value of these assets may not be recoverable.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Third-party actuarial consultants provide this information to us. In developing this data, certain estimates and assumptions are used, including among other things, discount rate, long-term rate of return and mortality tables. During 2019, the Society of Actuaries (“SOA”) released a new mortality improvement scale table, referred to as MP-2019, which is believed to better reflect mortality improvements and is to be used in calculating defined benefit pension obligations. In addition, during fiscal year 2019, the assumed discount rate to measure the pension obligation decreased to 3.0%. We used the latest mortality tables released by the SOA through October 2019 to measure our pension obligation as of October 31, 2019 and combined with the assumed discount rate and other demographic assumptions, our pension liability increased by approximately $0.6 million as of October 31, 2019. Further changes in any of these estimates could materially affect the amounts recorded that are related to our defined benefit retirement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 for the broad effects of COVID-19 as a result of its negative impact on the global economy and major financial markets, there have been no material changes in the disclosures discussed in the section entitled “Quantitative and Qualitative Disclosures about Market Risk” in Part II, Item 7A of our Annual Report on Form 10-K for the fiscal year ended October 31, 2019 as filed with the Securities and Exchange Commission ("SEC") on January 13, 2020. We believe the outbreak of COVID-19 poses increasing risks and may potentially have accounting implications for us with exposure to a broader economic downturn and decline in financial markets. We anticipate a decrease in demand for our fresh citrus in Asian countries which would result in supply chain disruptions and reduced exports to areas affected by the virus.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Disclosure Controls and Procedures. </w:t>
      </w:r>
      <w:r>
        <w:rPr>
          <w:rFonts w:ascii="Arial" w:cs="Arial" w:eastAsia="Arial" w:hAnsi="Arial"/>
          <w:sz w:val="17"/>
          <w:szCs w:val="17"/>
          <w:color w:val="auto"/>
        </w:rPr>
        <w:t>As of January 31, 2020, we carried out an evaluation, under the supervision and with the participation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(the "Exchange Act"). Based upon that evaluation, our Chief Executive Officer and Chief Financial Officer concluded that our disclosure controls and procedures were effective as of the end of the period covered by this Quarterly Report on Form 10-Q.</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material changes in our internal control over financial reporting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this Quarterly Report on Form 10-Q or, to our knowledge, in other factors that have materially affected, or are reasonably likely to materially affect, our internal control over financial reporting.</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contemplated by governmental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broad effects of COVID-19 as a result of its negative impact on the global economy and major financial markets, there have been no material changes in the disclosures discussed in the section entitled “Risk Factors” in Part I, Item 1A of our Annual Report on Form 10-K for the fiscal year ended October 31, 2019, as filed with the SEC on January 13,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year 2020, we purchased shares of our common stock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5"/>
              </w:rPr>
              <w:t>Maximum Number (or</w:t>
            </w:r>
          </w:p>
        </w:tc>
      </w:tr>
      <w:tr>
        <w:trPr>
          <w:trHeight w:val="216"/>
        </w:trPr>
        <w:tc>
          <w:tcPr>
            <w:tcW w:w="3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3"/>
              </w:rPr>
              <w:t>Approximate Dollar</w:t>
            </w:r>
          </w:p>
        </w:tc>
      </w:tr>
      <w:tr>
        <w:trPr>
          <w:trHeight w:val="216"/>
        </w:trPr>
        <w:tc>
          <w:tcPr>
            <w:tcW w:w="3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91"/>
              </w:rPr>
              <w:t>Value) of Shares that May</w:t>
            </w:r>
          </w:p>
        </w:tc>
      </w:tr>
      <w:tr>
        <w:trPr>
          <w:trHeight w:val="216"/>
        </w:trPr>
        <w:tc>
          <w:tcPr>
            <w:tcW w:w="3620" w:type="dxa"/>
            <w:vAlign w:val="bottom"/>
          </w:tcPr>
          <w:p>
            <w:pPr>
              <w:spacing w:after="0"/>
              <w:rPr>
                <w:sz w:val="18"/>
                <w:szCs w:val="18"/>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 Number of</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Yet Be Purchased Under</w:t>
            </w:r>
          </w:p>
        </w:tc>
      </w:t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80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Shares Purchased(1)</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1"/>
              </w:rPr>
              <w:t>Plans or Programs(2)</w:t>
            </w:r>
          </w:p>
        </w:tc>
        <w:tc>
          <w:tcPr>
            <w:tcW w:w="210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 Programs(2)</w:t>
            </w:r>
          </w:p>
        </w:tc>
      </w:tr>
      <w:tr>
        <w:trPr>
          <w:trHeight w:val="27"/>
        </w:trPr>
        <w:tc>
          <w:tcPr>
            <w:tcW w:w="36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 2019 - November 30, 2019</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December 1, 2019 - December 31, 2019</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11,314</w:t>
            </w:r>
          </w:p>
        </w:tc>
        <w:tc>
          <w:tcPr>
            <w:tcW w:w="1800" w:type="dxa"/>
            <w:vAlign w:val="bottom"/>
          </w:tcPr>
          <w:p>
            <w:pPr>
              <w:jc w:val="right"/>
              <w:spacing w:after="0"/>
              <w:rPr>
                <w:sz w:val="20"/>
                <w:szCs w:val="20"/>
                <w:color w:val="auto"/>
              </w:rPr>
            </w:pPr>
            <w:r>
              <w:rPr>
                <w:rFonts w:ascii="Arial" w:cs="Arial" w:eastAsia="Arial" w:hAnsi="Arial"/>
                <w:sz w:val="18"/>
                <w:szCs w:val="18"/>
                <w:color w:val="auto"/>
              </w:rPr>
              <w:t>$18.87</w:t>
            </w:r>
          </w:p>
        </w:tc>
        <w:tc>
          <w:tcPr>
            <w:tcW w:w="1920" w:type="dxa"/>
            <w:vAlign w:val="bottom"/>
          </w:tcPr>
          <w:p>
            <w:pPr>
              <w:ind w:left="1620"/>
              <w:spacing w:after="0"/>
              <w:rPr>
                <w:sz w:val="20"/>
                <w:szCs w:val="20"/>
                <w:color w:val="auto"/>
              </w:rPr>
            </w:pPr>
            <w:r>
              <w:rPr>
                <w:rFonts w:ascii="Arial" w:cs="Arial" w:eastAsia="Arial" w:hAnsi="Arial"/>
                <w:sz w:val="18"/>
                <w:szCs w:val="18"/>
                <w:color w:val="auto"/>
              </w:rPr>
              <w:t>—</w:t>
            </w:r>
          </w:p>
        </w:tc>
        <w:tc>
          <w:tcPr>
            <w:tcW w:w="2100" w:type="dxa"/>
            <w:vAlign w:val="bottom"/>
          </w:tcPr>
          <w:p>
            <w:pPr>
              <w:ind w:left="1820"/>
              <w:spacing w:after="0"/>
              <w:rPr>
                <w:sz w:val="20"/>
                <w:szCs w:val="20"/>
                <w:color w:val="auto"/>
              </w:rPr>
            </w:pPr>
            <w:r>
              <w:rPr>
                <w:rFonts w:ascii="Arial" w:cs="Arial" w:eastAsia="Arial" w:hAnsi="Arial"/>
                <w:sz w:val="18"/>
                <w:szCs w:val="18"/>
                <w:color w:val="auto"/>
              </w:rPr>
              <w:t>—</w:t>
            </w:r>
          </w:p>
        </w:tc>
      </w:tr>
      <w:tr>
        <w:trPr>
          <w:trHeight w:val="27"/>
        </w:trPr>
        <w:tc>
          <w:tcPr>
            <w:tcW w:w="36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 January 31, 2020</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8"/>
                <w:szCs w:val="18"/>
                <w:color w:val="auto"/>
              </w:rPr>
              <w:t>—</w:t>
            </w: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11,314</w:t>
            </w:r>
          </w:p>
        </w:tc>
        <w:tc>
          <w:tcPr>
            <w:tcW w:w="1800" w:type="dxa"/>
            <w:vAlign w:val="bottom"/>
          </w:tcPr>
          <w:p>
            <w:pPr>
              <w:spacing w:after="0"/>
              <w:rPr>
                <w:sz w:val="20"/>
                <w:szCs w:val="20"/>
                <w:color w:val="auto"/>
              </w:rPr>
            </w:pPr>
          </w:p>
        </w:tc>
        <w:tc>
          <w:tcPr>
            <w:tcW w:w="1920" w:type="dxa"/>
            <w:vAlign w:val="bottom"/>
            <w:tcBorders>
              <w:top w:val="single" w:sz="8" w:color="auto"/>
            </w:tcBorders>
          </w:tcPr>
          <w:p>
            <w:pPr>
              <w:ind w:left="1620"/>
              <w:spacing w:after="0"/>
              <w:rPr>
                <w:sz w:val="20"/>
                <w:szCs w:val="20"/>
                <w:color w:val="auto"/>
              </w:rPr>
            </w:pPr>
            <w:r>
              <w:rPr>
                <w:rFonts w:ascii="Arial" w:cs="Arial" w:eastAsia="Arial" w:hAnsi="Arial"/>
                <w:sz w:val="18"/>
                <w:szCs w:val="18"/>
                <w:b w:val="1"/>
                <w:bCs w:val="1"/>
                <w:color w:val="auto"/>
              </w:rPr>
              <w:t>—</w:t>
            </w:r>
          </w:p>
        </w:tc>
        <w:tc>
          <w:tcPr>
            <w:tcW w:w="2100" w:type="dxa"/>
            <w:vAlign w:val="bottom"/>
            <w:tcBorders>
              <w:top w:val="single" w:sz="8" w:color="auto"/>
            </w:tcBorders>
          </w:tcPr>
          <w:p>
            <w:pPr>
              <w:ind w:left="1820"/>
              <w:spacing w:after="0"/>
              <w:rPr>
                <w:sz w:val="20"/>
                <w:szCs w:val="20"/>
                <w:color w:val="auto"/>
              </w:rPr>
            </w:pPr>
            <w:r>
              <w:rPr>
                <w:rFonts w:ascii="Arial" w:cs="Arial" w:eastAsia="Arial" w:hAnsi="Arial"/>
                <w:sz w:val="18"/>
                <w:szCs w:val="18"/>
                <w:b w:val="1"/>
                <w:bCs w:val="1"/>
                <w:color w:val="auto"/>
              </w:rPr>
              <w:t>—</w:t>
            </w:r>
          </w:p>
        </w:tc>
      </w:tr>
      <w:tr>
        <w:trPr>
          <w:trHeight w:val="243"/>
        </w:trPr>
        <w:tc>
          <w:tcPr>
            <w:tcW w:w="3620" w:type="dxa"/>
            <w:vAlign w:val="bottom"/>
          </w:tcPr>
          <w:p>
            <w:pPr>
              <w:spacing w:after="0"/>
              <w:rPr>
                <w:sz w:val="20"/>
                <w:szCs w:val="20"/>
                <w:color w:val="auto"/>
              </w:rPr>
            </w:pPr>
            <w:r>
              <w:rPr>
                <w:rFonts w:ascii="Arial" w:cs="Arial" w:eastAsia="Arial" w:hAnsi="Arial"/>
                <w:sz w:val="18"/>
                <w:szCs w:val="18"/>
                <w:color w:val="auto"/>
              </w:rPr>
              <w:t>__________________________________</w:t>
            </w:r>
          </w:p>
        </w:tc>
        <w:tc>
          <w:tcPr>
            <w:tcW w:w="18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100" w:type="dxa"/>
            <w:vAlign w:val="bottom"/>
          </w:tcPr>
          <w:p>
            <w:pPr>
              <w:spacing w:after="0"/>
              <w:rPr>
                <w:sz w:val="21"/>
                <w:szCs w:val="21"/>
                <w:color w:val="auto"/>
              </w:rPr>
            </w:pPr>
          </w:p>
        </w:tc>
      </w:tr>
    </w:tbl>
    <w:p>
      <w:pPr>
        <w:ind w:firstLine="8"/>
        <w:spacing w:after="0" w:line="260" w:lineRule="auto"/>
        <w:tabs>
          <w:tab w:leader="none" w:pos="2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Shares were acquired from our employees in accordance with our stock-based compensation plan as a result of share withholdings to pay income tax related to the vesting and distribution of a restricted stock award.</w:t>
      </w:r>
    </w:p>
    <w:p>
      <w:pPr>
        <w:spacing w:after="0" w:line="185"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currently have no Company repurchase program in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720" w:type="dxa"/>
            <w:vAlign w:val="bottom"/>
            <w:gridSpan w:val="13"/>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FF"/>
                <w:w w:val="96"/>
              </w:rPr>
            </w:pPr>
            <w:hyperlink r:id="rId25">
              <w:r>
                <w:rPr>
                  <w:rFonts w:ascii="Arial" w:cs="Arial" w:eastAsia="Arial" w:hAnsi="Arial"/>
                  <w:sz w:val="18"/>
                  <w:szCs w:val="18"/>
                  <w:color w:val="0000FF"/>
                  <w:w w:val="96"/>
                </w:rPr>
                <w:t>Restated Certificate of Incorporation of Limoneira Company, dated July 5, 1990 (Incorporated by reference to exhibit 3.1 to the</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3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6"/>
              </w:rPr>
            </w:pPr>
            <w:hyperlink r:id="rId26">
              <w:r>
                <w:rPr>
                  <w:rFonts w:ascii="Arial" w:cs="Arial" w:eastAsia="Arial" w:hAnsi="Arial"/>
                  <w:sz w:val="18"/>
                  <w:szCs w:val="18"/>
                  <w:color w:val="0000FF"/>
                  <w:w w:val="96"/>
                </w:rPr>
                <w:t>Certificate of Merger of Limoneira Company and The Samuel Edwards Associates into Limoneira Company, dated October 31,</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1990 (Incorporated by reference to exhibit 3.2 to the Company’s Registration Statement on Form 10, and amendments thereto,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w:t>
            </w:r>
          </w:p>
        </w:tc>
        <w:tc>
          <w:tcPr>
            <w:tcW w:w="9720" w:type="dxa"/>
            <w:vAlign w:val="bottom"/>
            <w:gridSpan w:val="1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declared effective April 13, 2010 (File No. 000-53885))</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5"/>
              </w:rPr>
            </w:pPr>
            <w:hyperlink r:id="rId27">
              <w:r>
                <w:rPr>
                  <w:rFonts w:ascii="Arial" w:cs="Arial" w:eastAsia="Arial" w:hAnsi="Arial"/>
                  <w:sz w:val="18"/>
                  <w:szCs w:val="18"/>
                  <w:color w:val="0000FF"/>
                  <w:w w:val="95"/>
                </w:rPr>
                <w:t>Certificate of Merger of McKevett Corporation into Limoneira Company dated December 31, 1994 (Incorporated by reference to</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exhibit 3.3 to the Company’s Registration Statement on Form 10, and amendments thereto, declared effective April 13, 2010 (File No.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3.3</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5"/>
              </w:rPr>
            </w:pPr>
            <w:hyperlink r:id="rId28">
              <w:r>
                <w:rPr>
                  <w:rFonts w:ascii="Arial" w:cs="Arial" w:eastAsia="Arial" w:hAnsi="Arial"/>
                  <w:sz w:val="18"/>
                  <w:szCs w:val="18"/>
                  <w:color w:val="0000FF"/>
                  <w:w w:val="95"/>
                </w:rPr>
                <w:t>Agreement of Merger Between Ronald Michaelis Ranches, Inc. and Limoneira Company, dated June 24, 1997 (Incorporated by</w:t>
              </w:r>
            </w:hyperlink>
          </w:p>
        </w:tc>
      </w:tr>
      <w:tr>
        <w:trPr>
          <w:trHeight w:val="20"/>
        </w:trPr>
        <w:tc>
          <w:tcPr>
            <w:tcW w:w="11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reference to exhibit 3.6 to the Company’s Registration Statement on Form 10, and amendments thereto, declared effective April 13,</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3.4</w:t>
            </w:r>
          </w:p>
        </w:tc>
        <w:tc>
          <w:tcPr>
            <w:tcW w:w="96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2010 (File No. 000-53885))</w:t>
              </w:r>
            </w:hyperlink>
          </w:p>
        </w:tc>
        <w:tc>
          <w:tcPr>
            <w:tcW w:w="4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700" w:type="dxa"/>
            <w:vAlign w:val="bottom"/>
            <w:tcBorders>
              <w:bottom w:val="single" w:sz="8" w:color="0000FF"/>
            </w:tcBorders>
            <w:gridSpan w:val="12"/>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Certificate of Amendment of Certificate of Incorporation of Limoneira Company, dated April 22, 2003 (Incorporated by reference to</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exhibit 3.7 to the Company’s Registration Statement on Form 10, and amendments thereto, declared effective April 13, 2010 (File No.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3.5</w:t>
            </w:r>
          </w:p>
        </w:tc>
        <w:tc>
          <w:tcPr>
            <w:tcW w:w="9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000-53885))</w:t>
              </w:r>
            </w:hyperlink>
          </w:p>
        </w:tc>
        <w:tc>
          <w:tcPr>
            <w:tcW w:w="1100" w:type="dxa"/>
            <w:vAlign w:val="bottom"/>
            <w:tcBorders>
              <w:top w:val="single" w:sz="8" w:color="0000FF"/>
            </w:tcBorders>
          </w:tcPr>
          <w:p>
            <w:pPr>
              <w:spacing w:after="0"/>
              <w:rPr>
                <w:sz w:val="17"/>
                <w:szCs w:val="17"/>
                <w:color w:val="auto"/>
              </w:rPr>
            </w:pPr>
          </w:p>
        </w:tc>
        <w:tc>
          <w:tcPr>
            <w:tcW w:w="20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Certificate of Amendment of Certificate of Incorporation of Limoneira Company, dated March 24, 2010 (Incorporated by reference to</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exhibit 3.9 to the Company’s Registration Statement on Form 10, and amendments thereto, declared effective April 13, 2010 (File No.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3.6</w:t>
            </w: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000-53885))</w:t>
              </w:r>
            </w:hyperlink>
          </w:p>
        </w:tc>
        <w:tc>
          <w:tcPr>
            <w:tcW w:w="1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Certificate of Amendment of Certificate of Incorporation of Limoneira Company, dated March 29, 2017 (Incorporated by reference to</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3.7</w:t>
            </w:r>
          </w:p>
        </w:tc>
        <w:tc>
          <w:tcPr>
            <w:tcW w:w="746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exhibit 3.1 to the Company’s Current Report on Form 8-K, filed March 31, 2017 (File No. 001-34755))</w:t>
              </w:r>
            </w:hyperlink>
          </w:p>
        </w:tc>
        <w:tc>
          <w:tcPr>
            <w:tcW w:w="2220" w:type="dxa"/>
            <w:vAlign w:val="bottom"/>
            <w:tcBorders>
              <w:top w:val="single" w:sz="8" w:color="0000FF"/>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3"/>
              </w:rPr>
            </w:pPr>
            <w:hyperlink r:id="rId32">
              <w:r>
                <w:rPr>
                  <w:rFonts w:ascii="Arial" w:cs="Arial" w:eastAsia="Arial" w:hAnsi="Arial"/>
                  <w:sz w:val="18"/>
                  <w:szCs w:val="18"/>
                  <w:color w:val="0000FF"/>
                  <w:w w:val="93"/>
                </w:rPr>
                <w:t>Amended and Restated Bylaws of Limoneira Company (Incorporated by reference to exhibit 3.10 to the Company’s Annual Report</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w:t>
            </w:r>
          </w:p>
        </w:tc>
        <w:tc>
          <w:tcPr>
            <w:tcW w:w="43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on Form 10-K, filed January 14, 2013 (File No. 001-34755))</w:t>
              </w:r>
            </w:hyperlink>
          </w:p>
        </w:tc>
        <w:tc>
          <w:tcPr>
            <w:tcW w:w="5340" w:type="dxa"/>
            <w:vAlign w:val="bottom"/>
            <w:gridSpan w:val="9"/>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3.8.1</w:t>
            </w:r>
          </w:p>
        </w:tc>
        <w:tc>
          <w:tcPr>
            <w:tcW w:w="9720" w:type="dxa"/>
            <w:vAlign w:val="bottom"/>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Current Report on Form 8-K, filed September 25, 2013 (File No. 001-34755))</w:t>
              </w:r>
            </w:hyperlink>
          </w:p>
        </w:tc>
      </w:tr>
      <w:tr>
        <w:trPr>
          <w:trHeight w:val="20"/>
        </w:trPr>
        <w:tc>
          <w:tcPr>
            <w:tcW w:w="1120" w:type="dxa"/>
            <w:vAlign w:val="bottom"/>
          </w:tcPr>
          <w:p>
            <w:pPr>
              <w:spacing w:after="0" w:line="20" w:lineRule="exact"/>
              <w:rPr>
                <w:sz w:val="1"/>
                <w:szCs w:val="1"/>
                <w:color w:val="auto"/>
              </w:rPr>
            </w:pPr>
          </w:p>
        </w:tc>
        <w:tc>
          <w:tcPr>
            <w:tcW w:w="51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3.8.2</w:t>
            </w:r>
          </w:p>
        </w:tc>
        <w:tc>
          <w:tcPr>
            <w:tcW w:w="562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Current Report on Form 8-K, filed December 18, 2014 (File No. 001-34755))</w:t>
              </w:r>
            </w:hyperlink>
          </w:p>
        </w:tc>
        <w:tc>
          <w:tcPr>
            <w:tcW w:w="4100" w:type="dxa"/>
            <w:vAlign w:val="bottom"/>
            <w:gridSpan w:val="5"/>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3.8.3</w:t>
            </w:r>
          </w:p>
        </w:tc>
        <w:tc>
          <w:tcPr>
            <w:tcW w:w="54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Current Report on Form 8-K, filed January 25, 2017 (File No. 001-34755))</w:t>
              </w:r>
            </w:hyperlink>
          </w:p>
        </w:tc>
        <w:tc>
          <w:tcPr>
            <w:tcW w:w="4300" w:type="dxa"/>
            <w:vAlign w:val="bottom"/>
            <w:gridSpan w:val="7"/>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11"/>
          </w:tcPr>
          <w:p>
            <w:pP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Amendment to Amended and Restated Bylaws of Limoneira Company (Incorporated by reference to exhibit 3.1 to the Company’s</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3.8.4</w:t>
            </w:r>
          </w:p>
        </w:tc>
        <w:tc>
          <w:tcPr>
            <w:tcW w:w="51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Current Report on Form 8-K, filed July 26, 2017 (File No. 001-34755))</w:t>
              </w:r>
            </w:hyperlink>
          </w:p>
        </w:tc>
        <w:tc>
          <w:tcPr>
            <w:tcW w:w="4560" w:type="dxa"/>
            <w:vAlign w:val="bottom"/>
            <w:gridSpan w:val="8"/>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 xml:space="preserve">Specimen Certificate representing shares of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per share (Incorporated by reference to exhibit 4.1 to the</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4.1</w:t>
            </w:r>
          </w:p>
        </w:tc>
        <w:tc>
          <w:tcPr>
            <w:tcW w:w="93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Company’s Registration Statement on Form 10, and amendments thereto, declared effective April 13, 2010 (File No. 000-53885))</w:t>
              </w:r>
            </w:hyperlink>
          </w:p>
        </w:tc>
        <w:tc>
          <w:tcPr>
            <w:tcW w:w="3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8"/>
              </w:rPr>
            </w:pPr>
            <w:hyperlink r:id="rId38">
              <w:r>
                <w:rPr>
                  <w:rFonts w:ascii="Arial" w:cs="Arial" w:eastAsia="Arial" w:hAnsi="Arial"/>
                  <w:sz w:val="18"/>
                  <w:szCs w:val="18"/>
                  <w:color w:val="0000FF"/>
                  <w:w w:val="98"/>
                </w:rPr>
                <w:t>Rights  Agreement  dated  December  20,  2006  between  Limoneira  Company  and  The  Bank  of  New  York,  as  Rights</w:t>
              </w:r>
            </w:hyperlink>
          </w:p>
        </w:tc>
      </w:tr>
      <w:tr>
        <w:trPr>
          <w:trHeight w:val="196"/>
        </w:trPr>
        <w:tc>
          <w:tcPr>
            <w:tcW w:w="1120" w:type="dxa"/>
            <w:vAlign w:val="bottom"/>
          </w:tcPr>
          <w:p>
            <w:pPr>
              <w:spacing w:after="0"/>
              <w:rPr>
                <w:sz w:val="17"/>
                <w:szCs w:val="17"/>
                <w:color w:val="auto"/>
              </w:rPr>
            </w:pPr>
          </w:p>
        </w:tc>
        <w:tc>
          <w:tcPr>
            <w:tcW w:w="96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Agent (Incorporated by reference to exhibit 4.2 to the Company’s Registration Statement on Form 10, and amendments thereto,</w:t>
              </w:r>
            </w:hyperlink>
          </w:p>
        </w:tc>
        <w:tc>
          <w:tcPr>
            <w:tcW w:w="40" w:type="dxa"/>
            <w:vAlign w:val="bottom"/>
            <w:gridSpan w:val="2"/>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4.2</w:t>
            </w:r>
          </w:p>
        </w:tc>
        <w:tc>
          <w:tcPr>
            <w:tcW w:w="9720" w:type="dxa"/>
            <w:vAlign w:val="bottom"/>
            <w:gridSpan w:val="13"/>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declared effective April 13, 2010 (File No. 000-53885))</w:t>
              </w:r>
            </w:hyperlink>
          </w:p>
        </w:tc>
      </w:tr>
      <w:tr>
        <w:trPr>
          <w:trHeight w:val="20"/>
        </w:trPr>
        <w:tc>
          <w:tcPr>
            <w:tcW w:w="1120" w:type="dxa"/>
            <w:vAlign w:val="bottom"/>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720" w:type="dxa"/>
            <w:vAlign w:val="bottom"/>
            <w:gridSpan w:val="13"/>
          </w:tcPr>
          <w:p>
            <w:pPr>
              <w:spacing w:after="0"/>
              <w:rPr>
                <w:rFonts w:ascii="Arial" w:cs="Arial" w:eastAsia="Arial" w:hAnsi="Arial"/>
                <w:sz w:val="18"/>
                <w:szCs w:val="18"/>
                <w:color w:val="0000FF"/>
                <w:w w:val="97"/>
              </w:rPr>
            </w:pPr>
            <w:hyperlink r:id="rId39">
              <w:r>
                <w:rPr>
                  <w:rFonts w:ascii="Arial" w:cs="Arial" w:eastAsia="Arial" w:hAnsi="Arial"/>
                  <w:sz w:val="18"/>
                  <w:szCs w:val="18"/>
                  <w:color w:val="0000FF"/>
                  <w:w w:val="97"/>
                </w:rPr>
                <w:t xml:space="preserve">Certificate of Designation, Preferences and Rights of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 xml:space="preserve">8.75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 of Limoneira</w:t>
              </w:r>
            </w:hyperlink>
          </w:p>
        </w:tc>
      </w:tr>
      <w:tr>
        <w:trPr>
          <w:trHeight w:val="20"/>
        </w:trPr>
        <w:tc>
          <w:tcPr>
            <w:tcW w:w="1120" w:type="dxa"/>
            <w:vAlign w:val="bottom"/>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13"/>
          </w:tcPr>
          <w:p>
            <w:pPr>
              <w:spacing w:after="0" w:line="196" w:lineRule="exact"/>
              <w:rPr>
                <w:rFonts w:ascii="Arial" w:cs="Arial" w:eastAsia="Arial" w:hAnsi="Arial"/>
                <w:sz w:val="18"/>
                <w:szCs w:val="18"/>
                <w:color w:val="0000FF"/>
                <w:w w:val="93"/>
              </w:rPr>
            </w:pPr>
            <w:hyperlink r:id="rId39">
              <w:r>
                <w:rPr>
                  <w:rFonts w:ascii="Arial" w:cs="Arial" w:eastAsia="Arial" w:hAnsi="Arial"/>
                  <w:sz w:val="18"/>
                  <w:szCs w:val="18"/>
                  <w:color w:val="0000FF"/>
                  <w:w w:val="93"/>
                </w:rPr>
                <w:t>Company, dated May 21, 1997 (Incorporated by reference to exhibit 3.4 to the Company’s Registration Statement on Form 10, and</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4.3</w:t>
            </w:r>
          </w:p>
        </w:tc>
        <w:tc>
          <w:tcPr>
            <w:tcW w:w="55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amendments thereto, declared effective April 13, 2010 (File No. 000-53885))</w:t>
              </w:r>
            </w:hyperlink>
          </w:p>
        </w:tc>
        <w:tc>
          <w:tcPr>
            <w:tcW w:w="410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840"/>
          </w:cols>
          <w:pgMar w:left="320" w:top="341" w:right="7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840"/>
          </w:cols>
          <w:pgMar w:left="320" w:top="341" w:right="7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1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9720" w:type="dxa"/>
            <w:vAlign w:val="bottom"/>
            <w:gridSpan w:val="9"/>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120" w:type="dxa"/>
            <w:vAlign w:val="bottom"/>
          </w:tcPr>
          <w:p>
            <w:pPr>
              <w:spacing w:after="0"/>
              <w:rPr>
                <w:sz w:val="17"/>
                <w:szCs w:val="17"/>
                <w:color w:val="auto"/>
              </w:rPr>
            </w:pPr>
          </w:p>
        </w:tc>
        <w:tc>
          <w:tcPr>
            <w:tcW w:w="9720" w:type="dxa"/>
            <w:vAlign w:val="bottom"/>
            <w:gridSpan w:val="9"/>
          </w:tcPr>
          <w:p>
            <w:pPr>
              <w:spacing w:after="0" w:line="196" w:lineRule="exact"/>
              <w:rPr>
                <w:rFonts w:ascii="Arial" w:cs="Arial" w:eastAsia="Arial" w:hAnsi="Arial"/>
                <w:sz w:val="18"/>
                <w:szCs w:val="18"/>
                <w:color w:val="0000FF"/>
                <w:w w:val="97"/>
              </w:rPr>
            </w:pPr>
            <w:hyperlink r:id="rId40">
              <w:r>
                <w:rPr>
                  <w:rFonts w:ascii="Arial" w:cs="Arial" w:eastAsia="Arial" w:hAnsi="Arial"/>
                  <w:sz w:val="18"/>
                  <w:szCs w:val="18"/>
                  <w:color w:val="0000FF"/>
                  <w:w w:val="97"/>
                </w:rPr>
                <w:t xml:space="preserve">Amended Certificate of Designation, Preferences and Rights of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 xml:space="preserve">8.75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 of</w:t>
              </w:r>
            </w:hyperlink>
          </w:p>
        </w:tc>
      </w:tr>
      <w:tr>
        <w:trPr>
          <w:trHeight w:val="20"/>
        </w:trPr>
        <w:tc>
          <w:tcPr>
            <w:tcW w:w="1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720" w:type="dxa"/>
            <w:vAlign w:val="bottom"/>
            <w:gridSpan w:val="9"/>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Limoneira Company, dated May 21, 1997 (Incorporated by reference to exhibit 3.5 to the Company’s Registration Statement on Form</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4.4</w:t>
            </w:r>
          </w:p>
        </w:tc>
        <w:tc>
          <w:tcPr>
            <w:tcW w:w="96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10, and amendments thereto, declared effective April 13, 2010 (File No. 000-53885))</w:t>
              </w:r>
            </w:hyperlink>
          </w:p>
        </w:tc>
        <w:tc>
          <w:tcPr>
            <w:tcW w:w="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8"/>
                <w:szCs w:val="18"/>
                <w:color w:val="0000FF"/>
                <w:w w:val="94"/>
              </w:rPr>
            </w:pPr>
            <w:hyperlink r:id="rId41">
              <w:r>
                <w:rPr>
                  <w:rFonts w:ascii="Arial" w:cs="Arial" w:eastAsia="Arial" w:hAnsi="Arial"/>
                  <w:sz w:val="18"/>
                  <w:szCs w:val="18"/>
                  <w:color w:val="0000FF"/>
                  <w:w w:val="94"/>
                </w:rPr>
                <w:t>Certificate of Designation, Preferences and Rights of Series A Junior Participating Preferred Stock, $.01 Par Value, of Limoneira</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20" w:type="dxa"/>
            <w:vAlign w:val="bottom"/>
            <w:gridSpan w:val="9"/>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Company, dated November 21, 2006 (Incorporated by reference to exhibit 3.8 to the Company’s Registration Statement on Form 10,</w:t>
              </w:r>
            </w:hyperlink>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4.5</w:t>
            </w:r>
          </w:p>
        </w:tc>
        <w:tc>
          <w:tcPr>
            <w:tcW w:w="58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and amendments thereto, declared effective April 13, 2010 (File No. 000-53885))</w:t>
              </w:r>
            </w:hyperlink>
          </w:p>
        </w:tc>
        <w:tc>
          <w:tcPr>
            <w:tcW w:w="3800" w:type="dxa"/>
            <w:vAlign w:val="bottom"/>
            <w:tcBorders>
              <w:top w:val="single" w:sz="8" w:color="0000FF"/>
            </w:tcBorders>
            <w:gridSpan w:val="4"/>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 xml:space="preserve">Certificate of Designation, Preferences and Rights of 4% Voting Preferred Stock, </w:t>
              </w:r>
              <w:r>
                <w:rPr>
                  <w:rFonts w:ascii="Arial" w:cs="Arial" w:eastAsia="Arial" w:hAnsi="Arial"/>
                  <w:sz w:val="18"/>
                  <w:szCs w:val="18"/>
                  <w:u w:val="single" w:color="auto"/>
                  <w:color w:val="0000FF"/>
                  <w:w w:val="97"/>
                </w:rPr>
                <w:t>$</w:t>
              </w:r>
              <w:r>
                <w:rPr>
                  <w:rFonts w:ascii="Arial" w:cs="Arial" w:eastAsia="Arial" w:hAnsi="Arial"/>
                  <w:sz w:val="18"/>
                  <w:szCs w:val="18"/>
                  <w:color w:val="0000FF"/>
                  <w:w w:val="97"/>
                </w:rPr>
                <w:t>100.00 Par Value, Series B-2 of Limoneira</w:t>
              </w:r>
            </w:hyperlink>
          </w:p>
        </w:tc>
        <w:tc>
          <w:tcPr>
            <w:tcW w:w="4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680" w:type="dxa"/>
            <w:vAlign w:val="bottom"/>
            <w:tcBorders>
              <w:bottom w:val="single" w:sz="8" w:color="0000FF"/>
            </w:tcBorders>
            <w:gridSpan w:val="8"/>
          </w:tcPr>
          <w:p>
            <w:pPr>
              <w:spacing w:after="0" w:line="196" w:lineRule="exact"/>
              <w:rPr>
                <w:rFonts w:ascii="Arial" w:cs="Arial" w:eastAsia="Arial" w:hAnsi="Arial"/>
                <w:sz w:val="18"/>
                <w:szCs w:val="18"/>
                <w:color w:val="0000FF"/>
                <w:w w:val="96"/>
              </w:rPr>
            </w:pPr>
            <w:hyperlink r:id="rId42">
              <w:r>
                <w:rPr>
                  <w:rFonts w:ascii="Arial" w:cs="Arial" w:eastAsia="Arial" w:hAnsi="Arial"/>
                  <w:sz w:val="18"/>
                  <w:szCs w:val="18"/>
                  <w:color w:val="0000FF"/>
                  <w:w w:val="96"/>
                </w:rPr>
                <w:t>Company, dated March 20, 2014 (Incorporated by reference to exhibit 3.1 to the Company’s Current Report on Form 8-K, filed</w:t>
              </w:r>
            </w:hyperlink>
          </w:p>
        </w:tc>
        <w:tc>
          <w:tcPr>
            <w:tcW w:w="40" w:type="dxa"/>
            <w:vAlign w:val="bottom"/>
          </w:tcPr>
          <w:p>
            <w:pPr>
              <w:spacing w:after="0"/>
              <w:rPr>
                <w:sz w:val="17"/>
                <w:szCs w:val="17"/>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4.6</w:t>
            </w:r>
          </w:p>
        </w:tc>
        <w:tc>
          <w:tcPr>
            <w:tcW w:w="280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March 24, 2014 (File No. 001-34755))</w:t>
              </w:r>
            </w:hyperlink>
          </w:p>
        </w:tc>
        <w:tc>
          <w:tcPr>
            <w:tcW w:w="6920" w:type="dxa"/>
            <w:vAlign w:val="bottom"/>
            <w:gridSpan w:val="6"/>
          </w:tcPr>
          <w:p>
            <w:pPr>
              <w:spacing w:after="0"/>
              <w:rPr>
                <w:sz w:val="17"/>
                <w:szCs w:val="17"/>
                <w:color w:val="auto"/>
              </w:rPr>
            </w:pPr>
          </w:p>
        </w:tc>
      </w:tr>
      <w:tr>
        <w:trPr>
          <w:trHeight w:val="520"/>
        </w:trPr>
        <w:tc>
          <w:tcPr>
            <w:tcW w:w="1120" w:type="dxa"/>
            <w:vAlign w:val="bottom"/>
          </w:tcPr>
          <w:p>
            <w:pPr>
              <w:ind w:left="40"/>
              <w:spacing w:after="0"/>
              <w:rPr>
                <w:sz w:val="20"/>
                <w:szCs w:val="20"/>
                <w:color w:val="auto"/>
              </w:rPr>
            </w:pPr>
            <w:r>
              <w:rPr>
                <w:rFonts w:ascii="Arial" w:cs="Arial" w:eastAsia="Arial" w:hAnsi="Arial"/>
                <w:sz w:val="18"/>
                <w:szCs w:val="18"/>
                <w:color w:val="auto"/>
              </w:rPr>
              <w:t>31.1*</w:t>
            </w:r>
          </w:p>
        </w:tc>
        <w:tc>
          <w:tcPr>
            <w:tcW w:w="75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the Principal Executive Officer pursuant to Exchange Act Rule 13a-14(a) and 15d-14(a)</w:t>
              </w:r>
            </w:hyperlink>
          </w:p>
        </w:tc>
        <w:tc>
          <w:tcPr>
            <w:tcW w:w="2220" w:type="dxa"/>
            <w:vAlign w:val="bottom"/>
            <w:gridSpan w:val="2"/>
          </w:tcPr>
          <w:p>
            <w:pPr>
              <w:spacing w:after="0"/>
              <w:rPr>
                <w:sz w:val="24"/>
                <w:szCs w:val="24"/>
                <w:color w:val="auto"/>
              </w:rPr>
            </w:pPr>
          </w:p>
        </w:tc>
      </w:tr>
      <w:tr>
        <w:trPr>
          <w:trHeight w:val="520"/>
        </w:trPr>
        <w:tc>
          <w:tcPr>
            <w:tcW w:w="1120" w:type="dxa"/>
            <w:vAlign w:val="bottom"/>
          </w:tcPr>
          <w:p>
            <w:pPr>
              <w:ind w:left="40"/>
              <w:spacing w:after="0"/>
              <w:rPr>
                <w:sz w:val="20"/>
                <w:szCs w:val="20"/>
                <w:color w:val="auto"/>
              </w:rPr>
            </w:pPr>
            <w:r>
              <w:rPr>
                <w:rFonts w:ascii="Arial" w:cs="Arial" w:eastAsia="Arial" w:hAnsi="Arial"/>
                <w:sz w:val="18"/>
                <w:szCs w:val="18"/>
                <w:color w:val="auto"/>
              </w:rPr>
              <w:t>31.2*</w:t>
            </w:r>
          </w:p>
        </w:tc>
        <w:tc>
          <w:tcPr>
            <w:tcW w:w="9720" w:type="dxa"/>
            <w:vAlign w:val="bottom"/>
            <w:gridSpan w:val="9"/>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the Principal Financial Officer pursuant to Exchange Act Rule 13a-14(a) and 15d-14(a)</w:t>
              </w:r>
            </w:hyperlink>
          </w:p>
        </w:tc>
      </w:tr>
      <w:tr>
        <w:trPr>
          <w:trHeight w:val="20"/>
        </w:trPr>
        <w:tc>
          <w:tcPr>
            <w:tcW w:w="11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360" w:type="dxa"/>
            <w:vAlign w:val="bottom"/>
            <w:gridSpan w:val="4"/>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49">
              <w:r>
                <w:rPr>
                  <w:rFonts w:ascii="Arial" w:cs="Arial" w:eastAsia="Arial" w:hAnsi="Arial"/>
                  <w:sz w:val="18"/>
                  <w:szCs w:val="18"/>
                  <w:color w:val="0000FF"/>
                  <w:w w:val="97"/>
                </w:rPr>
                <w:t>Certification of the Principal Executive Officer pursuant to 18 U.S.C. Section 1350, as adopted pursuant to Section 906 of the</w:t>
              </w:r>
            </w:hyperlink>
          </w:p>
        </w:tc>
        <w:tc>
          <w:tcPr>
            <w:tcW w:w="40" w:type="dxa"/>
            <w:vAlign w:val="bottom"/>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32.1*</w:t>
            </w:r>
          </w:p>
        </w:tc>
        <w:tc>
          <w:tcPr>
            <w:tcW w:w="208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Sarbanes-Oxley Act of 2002</w:t>
              </w:r>
            </w:hyperlink>
          </w:p>
        </w:tc>
        <w:tc>
          <w:tcPr>
            <w:tcW w:w="7640" w:type="dxa"/>
            <w:vAlign w:val="bottom"/>
            <w:gridSpan w:val="7"/>
          </w:tcPr>
          <w:p>
            <w:pPr>
              <w:spacing w:after="0"/>
              <w:rPr>
                <w:sz w:val="17"/>
                <w:szCs w:val="17"/>
                <w:color w:val="auto"/>
              </w:rPr>
            </w:pPr>
          </w:p>
        </w:tc>
      </w:tr>
      <w:tr>
        <w:trPr>
          <w:trHeight w:val="520"/>
        </w:trPr>
        <w:tc>
          <w:tcPr>
            <w:tcW w:w="112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8"/>
                <w:szCs w:val="18"/>
                <w:color w:val="0000FF"/>
                <w:w w:val="97"/>
              </w:rPr>
            </w:pPr>
            <w:hyperlink w:anchor="page50">
              <w:r>
                <w:rPr>
                  <w:rFonts w:ascii="Arial" w:cs="Arial" w:eastAsia="Arial" w:hAnsi="Arial"/>
                  <w:sz w:val="18"/>
                  <w:szCs w:val="18"/>
                  <w:color w:val="0000FF"/>
                  <w:w w:val="97"/>
                </w:rPr>
                <w:t>Certification of the Principal Financial Officer pursuant to 18 U.S.C. Section 1350, as adopted pursuant to Section 906 of the</w:t>
              </w:r>
            </w:hyperlink>
          </w:p>
        </w:tc>
        <w:tc>
          <w:tcPr>
            <w:tcW w:w="40" w:type="dxa"/>
            <w:vAlign w:val="bottom"/>
          </w:tcPr>
          <w:p>
            <w:pPr>
              <w:spacing w:after="0"/>
              <w:rPr>
                <w:sz w:val="24"/>
                <w:szCs w:val="24"/>
                <w:color w:val="auto"/>
              </w:rPr>
            </w:pPr>
          </w:p>
        </w:tc>
      </w:tr>
      <w:tr>
        <w:trPr>
          <w:trHeight w:val="196"/>
        </w:trPr>
        <w:tc>
          <w:tcPr>
            <w:tcW w:w="1120" w:type="dxa"/>
            <w:vAlign w:val="bottom"/>
          </w:tcPr>
          <w:p>
            <w:pPr>
              <w:ind w:left="40"/>
              <w:spacing w:after="0" w:line="196" w:lineRule="exact"/>
              <w:rPr>
                <w:sz w:val="20"/>
                <w:szCs w:val="20"/>
                <w:color w:val="auto"/>
              </w:rPr>
            </w:pPr>
            <w:r>
              <w:rPr>
                <w:rFonts w:ascii="Arial" w:cs="Arial" w:eastAsia="Arial" w:hAnsi="Arial"/>
                <w:sz w:val="18"/>
                <w:szCs w:val="18"/>
                <w:color w:val="auto"/>
              </w:rPr>
              <w:t>32.2*</w:t>
            </w:r>
          </w:p>
        </w:tc>
        <w:tc>
          <w:tcPr>
            <w:tcW w:w="9720" w:type="dxa"/>
            <w:vAlign w:val="bottom"/>
            <w:gridSpan w:val="9"/>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Sarbanes-Oxley Act of 2002</w:t>
              </w:r>
            </w:hyperlink>
          </w:p>
        </w:tc>
      </w:tr>
      <w:tr>
        <w:trPr>
          <w:trHeight w:val="561"/>
        </w:trPr>
        <w:tc>
          <w:tcPr>
            <w:tcW w:w="1120" w:type="dxa"/>
            <w:vAlign w:val="bottom"/>
          </w:tcPr>
          <w:p>
            <w:pPr>
              <w:ind w:left="40"/>
              <w:spacing w:after="0"/>
              <w:rPr>
                <w:sz w:val="20"/>
                <w:szCs w:val="20"/>
                <w:color w:val="auto"/>
              </w:rPr>
            </w:pPr>
            <w:r>
              <w:rPr>
                <w:rFonts w:ascii="Arial" w:cs="Arial" w:eastAsia="Arial" w:hAnsi="Arial"/>
                <w:sz w:val="18"/>
                <w:szCs w:val="18"/>
                <w:color w:val="auto"/>
              </w:rPr>
              <w:t>101.INS*</w:t>
            </w:r>
          </w:p>
        </w:tc>
        <w:tc>
          <w:tcPr>
            <w:tcW w:w="20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8"/>
              </w:rPr>
              <w:t>XBRL Instance Document</w:t>
            </w:r>
          </w:p>
        </w:tc>
        <w:tc>
          <w:tcPr>
            <w:tcW w:w="7660" w:type="dxa"/>
            <w:vAlign w:val="bottom"/>
            <w:gridSpan w:val="8"/>
          </w:tcPr>
          <w:p>
            <w:pPr>
              <w:spacing w:after="0"/>
              <w:rPr>
                <w:sz w:val="24"/>
                <w:szCs w:val="24"/>
                <w:color w:val="auto"/>
              </w:rPr>
            </w:pP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101.SCH*</w:t>
            </w:r>
          </w:p>
        </w:tc>
        <w:tc>
          <w:tcPr>
            <w:tcW w:w="97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101.CAL*</w:t>
            </w:r>
          </w:p>
        </w:tc>
        <w:tc>
          <w:tcPr>
            <w:tcW w:w="97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101.DEF*</w:t>
            </w:r>
          </w:p>
        </w:tc>
        <w:tc>
          <w:tcPr>
            <w:tcW w:w="97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101.LAB*</w:t>
            </w:r>
          </w:p>
        </w:tc>
        <w:tc>
          <w:tcPr>
            <w:tcW w:w="97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120" w:type="dxa"/>
            <w:vAlign w:val="bottom"/>
          </w:tcPr>
          <w:p>
            <w:pPr>
              <w:ind w:left="40"/>
              <w:spacing w:after="0"/>
              <w:rPr>
                <w:sz w:val="20"/>
                <w:szCs w:val="20"/>
                <w:color w:val="auto"/>
              </w:rPr>
            </w:pPr>
            <w:r>
              <w:rPr>
                <w:rFonts w:ascii="Arial" w:cs="Arial" w:eastAsia="Arial" w:hAnsi="Arial"/>
                <w:sz w:val="18"/>
                <w:szCs w:val="18"/>
                <w:color w:val="auto"/>
              </w:rPr>
              <w:t>101.PRE*</w:t>
            </w:r>
          </w:p>
        </w:tc>
        <w:tc>
          <w:tcPr>
            <w:tcW w:w="97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75" w:lineRule="exact"/>
        <w:rPr>
          <w:sz w:val="20"/>
          <w:szCs w:val="20"/>
          <w:color w:val="auto"/>
        </w:rPr>
      </w:pPr>
    </w:p>
    <w:p>
      <w:pPr>
        <w:ind w:left="1120" w:hanging="424"/>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333" w:lineRule="exact"/>
        <w:rPr>
          <w:rFonts w:ascii="Arial" w:cs="Arial" w:eastAsia="Arial" w:hAnsi="Arial"/>
          <w:sz w:val="18"/>
          <w:szCs w:val="18"/>
          <w:color w:val="auto"/>
        </w:rPr>
      </w:pPr>
    </w:p>
    <w:p>
      <w:pPr>
        <w:jc w:val="both"/>
        <w:ind w:left="1120" w:right="20"/>
        <w:spacing w:after="0" w:line="255" w:lineRule="auto"/>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Nos.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840"/>
          </w:cols>
          <w:pgMar w:left="320" w:top="499" w:right="7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LIMONEIRA COMPANY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3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LIMONEIRA COMPANY</w:t>
      </w:r>
    </w:p>
    <w:p>
      <w:pPr>
        <w:spacing w:after="0" w:line="333" w:lineRule="exact"/>
        <w:rPr>
          <w:sz w:val="20"/>
          <w:szCs w:val="20"/>
          <w:color w:val="auto"/>
        </w:rPr>
      </w:pPr>
    </w:p>
    <w:p>
      <w:pPr>
        <w:ind w:left="40"/>
        <w:spacing w:after="0"/>
        <w:tabs>
          <w:tab w:leader="none" w:pos="5300" w:val="left"/>
          <w:tab w:leader="none" w:pos="586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34201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40"/>
        <w:spacing w:after="0"/>
        <w:tabs>
          <w:tab w:leader="none" w:pos="5300" w:val="left"/>
          <w:tab w:leader="none" w:pos="586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34201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0"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Treasurer and Corporate Secretary</w:t>
      </w:r>
    </w:p>
    <w:p>
      <w:pPr>
        <w:spacing w:after="0" w:line="4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2"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60" w:hanging="439"/>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hanging="439"/>
        <w:spacing w:after="0" w:line="263"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92075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60" w:hanging="439"/>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60" w:hanging="439"/>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460" w:hanging="439"/>
        <w:spacing w:after="0" w:line="263"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3"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60" w:hanging="439"/>
        <w:spacing w:after="0" w:line="30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92075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594"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2020 (the “Report”) of Limoneira Company (the “Registrant”), as filed with the Securities and Exchange Commission on the date hereof, I, Harold S. Edwards, hereby certify that:</w:t>
      </w:r>
    </w:p>
    <w:p>
      <w:pPr>
        <w:spacing w:after="0" w:line="35"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92075</wp:posOffset>
            </wp:positionV>
            <wp:extent cx="32061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5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Harold S. Edwards,</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Director, President, and Chief Executive Officer</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94"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right="20" w:firstLine="445"/>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2020 (the “Report”) of Limoneira Company (the “Registrant”), as filed with the Securities and Exchange Commission on the date hereof, I, Mark Palamountain, hereby certify that:</w:t>
      </w:r>
    </w:p>
    <w:p>
      <w:pPr>
        <w:spacing w:after="0" w:line="35"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01"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March 11, 2020</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92075</wp:posOffset>
            </wp:positionV>
            <wp:extent cx="32061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5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Mark Palamountain,</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6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5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2"/>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2"/>
    </w:lvl>
  </w:abstractNum>
  <w:abstractNum w:abstractNumId="7">
    <w:nsid w:val="4E6AFB66"/>
    <w:multiLevelType w:val="hybridMultilevel"/>
    <w:lvl w:ilvl="0">
      <w:lvlJc w:val="left"/>
      <w:lvlText w:val="%1."/>
      <w:numFmt w:val="decimal"/>
      <w:start w:val="3"/>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6"/>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25" Type="http://schemas.openxmlformats.org/officeDocument/2006/relationships/hyperlink" Target="http://www.sec.gov/Archives/edgar/data/1342423/000114420410007241/v173157_ex3-1.htm" TargetMode="External"/><Relationship Id="rId26" Type="http://schemas.openxmlformats.org/officeDocument/2006/relationships/hyperlink" Target="http://www.sec.gov/Archives/edgar/data/1342423/000114420410007241/v173157_ex3-2.htm" TargetMode="External"/><Relationship Id="rId27" Type="http://schemas.openxmlformats.org/officeDocument/2006/relationships/hyperlink" Target="http://www.sec.gov/Archives/edgar/data/1342423/000114420410007241/v173157_ex3-3.htm" TargetMode="External"/><Relationship Id="rId28" Type="http://schemas.openxmlformats.org/officeDocument/2006/relationships/hyperlink" Target="http://www.sec.gov/Archives/edgar/data/1342423/000114420410007241/v173157_ex3-6.htm" TargetMode="External"/><Relationship Id="rId29" Type="http://schemas.openxmlformats.org/officeDocument/2006/relationships/hyperlink" Target="http://www.sec.gov/Archives/edgar/data/1342423/000114420410007241/v173157_ex3-7.htm" TargetMode="External"/><Relationship Id="rId30" Type="http://schemas.openxmlformats.org/officeDocument/2006/relationships/hyperlink" Target="http://www.sec.gov/Archives/edgar/data/1342423/000114420410017415/v178900_ex3-9.htm" TargetMode="External"/><Relationship Id="rId31" Type="http://schemas.openxmlformats.org/officeDocument/2006/relationships/hyperlink" Target="http://www.sec.gov/Archives/edgar/data/1342423/000114420417018212/v463210_ex3-1.htm" TargetMode="External"/><Relationship Id="rId32" Type="http://schemas.openxmlformats.org/officeDocument/2006/relationships/hyperlink" Target="http://www.sec.gov/Archives/edgar/data/1342423/000114420413002202/v330368_ex3-10.htm" TargetMode="External"/><Relationship Id="rId33" Type="http://schemas.openxmlformats.org/officeDocument/2006/relationships/hyperlink" Target="http://www.sec.gov/Archives/edgar/data/1342423/000114420413052234/v354983_ex3-1.htm" TargetMode="External"/><Relationship Id="rId34" Type="http://schemas.openxmlformats.org/officeDocument/2006/relationships/hyperlink" Target="http://www.sec.gov/Archives/edgar/data/1342423/000114420414074732/v396904_ex3-1.htm" TargetMode="External"/><Relationship Id="rId35" Type="http://schemas.openxmlformats.org/officeDocument/2006/relationships/hyperlink" Target="http://www.sec.gov/Archives/edgar/data/1342423/000114420417003812/v457525_ex3-1.htm" TargetMode="External"/><Relationship Id="rId36" Type="http://schemas.openxmlformats.org/officeDocument/2006/relationships/hyperlink" Target="http://www.sec.gov/Archives/edgar/data/1342423/000114420417038316/v471546_ex3-1.htm" TargetMode="External"/><Relationship Id="rId37" Type="http://schemas.openxmlformats.org/officeDocument/2006/relationships/hyperlink" Target="http://www.sec.gov/Archives/edgar/data/1342423/000114420410007241/v173157_ex4-1.htm" TargetMode="External"/><Relationship Id="rId38" Type="http://schemas.openxmlformats.org/officeDocument/2006/relationships/hyperlink" Target="http://www.sec.gov/Archives/edgar/data/1342423/000114420410007241/v173157_ex4-2.htm" TargetMode="External"/><Relationship Id="rId39" Type="http://schemas.openxmlformats.org/officeDocument/2006/relationships/hyperlink" Target="http://www.sec.gov/Archives/edgar/data/1342423/000114420410007241/v173157_ex3-4.htm" TargetMode="External"/><Relationship Id="rId40" Type="http://schemas.openxmlformats.org/officeDocument/2006/relationships/hyperlink" Target="http://www.sec.gov/Archives/edgar/data/1342423/000114420410007241/v173157_ex3-5.htm" TargetMode="External"/><Relationship Id="rId41" Type="http://schemas.openxmlformats.org/officeDocument/2006/relationships/hyperlink" Target="http://www.sec.gov/Archives/edgar/data/1342423/000114420410007241/v173157_ex3-8.htm" TargetMode="External"/><Relationship Id="rId42" Type="http://schemas.openxmlformats.org/officeDocument/2006/relationships/hyperlink" Target="http://www.sec.gov/Archives/edgar/data/1342423/000114420414017379/v372494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2020-03-11T15:25:12Z</dcterms:created>
  <dcterms:modified xsi:type="dcterms:W3CDTF">2020-03-11T15:25:12Z</dcterms:modified>
</cp:coreProperties>
</file>