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201535" cy="1013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1535" cy="10133330"/>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18"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 (Amendment No. )</w:t>
      </w:r>
    </w:p>
    <w:p>
      <w:pPr>
        <w:spacing w:after="0" w:line="158"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14"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27" w:lineRule="exact"/>
        <w:rPr>
          <w:sz w:val="24"/>
          <w:szCs w:val="24"/>
          <w:color w:val="auto"/>
        </w:rPr>
      </w:pPr>
    </w:p>
    <w:p>
      <w:pPr>
        <w:ind w:left="520" w:hanging="507"/>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8" w:lineRule="exact"/>
        <w:rPr>
          <w:rFonts w:ascii="MS PGothic" w:cs="MS PGothic" w:eastAsia="MS PGothic" w:hAnsi="MS PGothic"/>
          <w:sz w:val="17"/>
          <w:szCs w:val="17"/>
          <w:color w:val="auto"/>
        </w:rPr>
      </w:pPr>
    </w:p>
    <w:p>
      <w:pPr>
        <w:ind w:left="520" w:hanging="507"/>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56" w:lineRule="exact"/>
        <w:rPr>
          <w:sz w:val="24"/>
          <w:szCs w:val="24"/>
          <w:color w:val="auto"/>
        </w:rPr>
      </w:pPr>
    </w:p>
    <w:p>
      <w:pPr>
        <w:ind w:left="520" w:hanging="507"/>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52" w:lineRule="exact"/>
        <w:rPr>
          <w:sz w:val="24"/>
          <w:szCs w:val="24"/>
          <w:color w:val="auto"/>
        </w:rPr>
      </w:pPr>
    </w:p>
    <w:p>
      <w:pPr>
        <w:ind w:left="520" w:hanging="507"/>
        <w:spacing w:after="0"/>
        <w:tabs>
          <w:tab w:leader="none" w:pos="5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52" w:lineRule="exact"/>
        <w:rPr>
          <w:rFonts w:ascii="MS PGothic" w:cs="MS PGothic" w:eastAsia="MS PGothic" w:hAnsi="MS PGothic"/>
          <w:sz w:val="17"/>
          <w:szCs w:val="17"/>
          <w:color w:val="auto"/>
        </w:rPr>
      </w:pPr>
    </w:p>
    <w:p>
      <w:pPr>
        <w:ind w:left="520" w:hanging="507"/>
        <w:spacing w:after="0"/>
        <w:tabs>
          <w:tab w:leader="none" w:pos="5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1"/>
          <w:szCs w:val="41"/>
          <w:b w:val="1"/>
          <w:bCs w:val="1"/>
          <w:color w:val="auto"/>
        </w:rPr>
        <w:t>LIMONEIRA COMPANY</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N/A</w:t>
      </w:r>
    </w:p>
    <w:p>
      <w:pPr>
        <w:spacing w:after="0" w:line="13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980" w:type="dxa"/>
            <w:vAlign w:val="bottom"/>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912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w w:val="99"/>
              </w:rPr>
              <w:t>No fee required.</w:t>
            </w:r>
          </w:p>
        </w:tc>
      </w:tr>
      <w:tr>
        <w:trPr>
          <w:trHeight w:val="448"/>
        </w:trPr>
        <w:tc>
          <w:tcPr>
            <w:tcW w:w="980" w:type="dxa"/>
            <w:vAlign w:val="bottom"/>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9120" w:type="dxa"/>
            <w:vAlign w:val="bottom"/>
          </w:tcPr>
          <w:p>
            <w:pPr>
              <w:jc w:val="center"/>
              <w:ind w:right="395"/>
              <w:spacing w:after="0"/>
              <w:rPr>
                <w:sz w:val="20"/>
                <w:szCs w:val="20"/>
                <w:color w:val="auto"/>
              </w:rPr>
            </w:pPr>
            <w:r>
              <w:rPr>
                <w:rFonts w:ascii="Times New Roman" w:cs="Times New Roman" w:eastAsia="Times New Roman" w:hAnsi="Times New Roman"/>
                <w:sz w:val="17"/>
                <w:szCs w:val="17"/>
                <w:color w:val="auto"/>
              </w:rPr>
              <w:t>Fee paid previously with preliminary materials.</w:t>
            </w:r>
          </w:p>
        </w:tc>
      </w:tr>
      <w:tr>
        <w:trPr>
          <w:trHeight w:val="448"/>
        </w:trPr>
        <w:tc>
          <w:tcPr>
            <w:tcW w:w="980" w:type="dxa"/>
            <w:vAlign w:val="bottom"/>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912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w w:val="99"/>
              </w:rPr>
              <w:t>Fee computed on table in exhibit required by Item 25(b) per Exchange Act Rules 14a-6(i)(1) and 0-11.</w:t>
            </w:r>
          </w:p>
        </w:tc>
      </w:tr>
      <w:tr>
        <w:trPr>
          <w:trHeight w:val="255"/>
        </w:trPr>
        <w:tc>
          <w:tcPr>
            <w:tcW w:w="980" w:type="dxa"/>
            <w:vAlign w:val="bottom"/>
            <w:tcBorders>
              <w:bottom w:val="single" w:sz="8" w:color="auto"/>
            </w:tcBorders>
          </w:tcPr>
          <w:p>
            <w:pPr>
              <w:spacing w:after="0"/>
              <w:rPr>
                <w:sz w:val="22"/>
                <w:szCs w:val="22"/>
                <w:color w:val="auto"/>
              </w:rPr>
            </w:pPr>
          </w:p>
        </w:tc>
        <w:tc>
          <w:tcPr>
            <w:tcW w:w="9120" w:type="dxa"/>
            <w:vAlign w:val="bottom"/>
            <w:tcBorders>
              <w:bottom w:val="single" w:sz="8" w:color="auto"/>
            </w:tcBorders>
          </w:tcPr>
          <w:p>
            <w:pPr>
              <w:spacing w:after="0"/>
              <w:rPr>
                <w:sz w:val="22"/>
                <w:szCs w:val="22"/>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bl>
    <w:p>
      <w:pPr>
        <w:sectPr>
          <w:pgSz w:w="11900" w:h="16838" w:orient="portrait"/>
          <w:cols w:equalWidth="0" w:num="1">
            <w:col w:w="10100"/>
          </w:cols>
          <w:pgMar w:left="940" w:top="1366" w:right="85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146050</wp:posOffset>
            </wp:positionV>
            <wp:extent cx="7179945" cy="9349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945" cy="934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w:t>
      </w:r>
    </w:p>
    <w:p>
      <w:pPr>
        <w:spacing w:after="0" w:line="173"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On behalf of the Board of Directors, it is my pleasure to invite you to attend the 2025 Annual Meeting of Stockholders (“Annual Meeting”) of Limoneira Company, a Delaware corporation (the “Company” or “Limoneira”). The meeting will be held on Wednesday, April 9, 2025, at 10:00 a.m., Pacific Time, at the Museum of Ventura County Agriculture Museum, 926 Railroad Avenue, Santa Paula, California 93060.</w:t>
      </w:r>
    </w:p>
    <w:p>
      <w:pPr>
        <w:spacing w:after="0" w:line="8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December 2023, we announced that we commenced a process to explore potential strategic alternatives aimed at maximizing value for stockholders. As part of this process, the Board has been evaluating a range of potential alternatives including, but not limited to, a sale of all or parts of the Company, a merger, and other potential strategic transactions. To assist us in this effort, the Board engaged an investment banker to shepherd a process which is now in its 14th month. Along the way, we learned a lot about ourselves, our strengths, weaknesses and potential areas of improvement.</w:t>
      </w:r>
    </w:p>
    <w:p>
      <w:pPr>
        <w:spacing w:after="0" w:line="108"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We expect that as a result of this process, we will make commitments to implement an array of initiatives in fiscal year 2025. As we move through this process, we believe Limoneira will continue to be valued not only for its important core assets of land, water and infrastructure but as one that is respected for its brand, culture and workforce. We remain committed to all of the communities in which we do business. With management’s efforts, the Board of Directors believes we can smartly pursue and capitalize on opportunities in a coordinated effort to pursue the highest and best use of our assets, thereby enabling us to achieve greater efficiencies, productivity and profitability.</w:t>
      </w:r>
    </w:p>
    <w:p>
      <w:pPr>
        <w:spacing w:after="0" w:line="312"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To increase our likelihood of success as we identify and pursue strategic opportunities, we believe community outreach and stockholder feedback, along with a strong and effective Board of Directors, are essential. Thus, we endeavor to strengthen our community connection and encourage stockholder input, while we recruit and retain a strong, independent and functional Board of Directors that offers guidance and oversight to management.</w:t>
      </w:r>
    </w:p>
    <w:p>
      <w:pPr>
        <w:spacing w:after="0" w:line="93"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Enclosed please find our Notice of 2025 Annual Meeting of Stockholders and proxy statement, including a proxy card and our annual report. The proxy statement contains important information about the business to be conducted at the Annual Meeting, the proposals we will consider and how you can vote your shares. Please be sure to carefully follow the instructions contained in these proxy materials.</w:t>
      </w:r>
    </w:p>
    <w:p>
      <w:pPr>
        <w:spacing w:after="0" w:line="99"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Your vote is very important to us. We encourage you to promptly vote your shares by telephone, Internet or by completing, signing, dating and returning the enclosed proxy card, which contains instructions on how you would like your shares to be voted. Please submit your proxy card regardless of whether you will attend the Annual Meeting. This will help us ensure that your vote is represented at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Scott S. Slater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3001010</wp:posOffset>
            </wp:positionV>
            <wp:extent cx="717994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440" w:right="1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NOTICE OF ANNUAL MEETING OF STOCKHOLDERS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438BCB"/>
        </w:rPr>
        <w:t>To Be Held Wednesday, April 9, 2025</w:t>
      </w:r>
    </w:p>
    <w:p>
      <w:pPr>
        <w:spacing w:after="0" w:line="209" w:lineRule="exact"/>
        <w:rPr>
          <w:sz w:val="20"/>
          <w:szCs w:val="20"/>
          <w:color w:val="auto"/>
        </w:rPr>
      </w:pPr>
    </w:p>
    <w:p>
      <w:pPr>
        <w:jc w:val="both"/>
        <w:ind w:right="160"/>
        <w:spacing w:after="0" w:line="304" w:lineRule="auto"/>
        <w:rPr>
          <w:sz w:val="20"/>
          <w:szCs w:val="20"/>
          <w:color w:val="auto"/>
        </w:rPr>
      </w:pPr>
      <w:r>
        <w:rPr>
          <w:rFonts w:ascii="Arial" w:cs="Arial" w:eastAsia="Arial" w:hAnsi="Arial"/>
          <w:sz w:val="15"/>
          <w:szCs w:val="15"/>
          <w:color w:val="auto"/>
        </w:rPr>
        <w:t>Limoneira Company’s 2025 Annual Meeting of Stockholders (the “Annual Meeting”) will be held on Wednesday, April 9, 2025, at 10:00 a.m., Pacific Time, at the Museum of Ventura County Agriculture Museum, 926 Railroad Avenue, Santa Paula, California 93060, for the following purposes:</w:t>
      </w:r>
    </w:p>
    <w:p>
      <w:pPr>
        <w:spacing w:after="0" w:line="99" w:lineRule="exact"/>
        <w:rPr>
          <w:sz w:val="20"/>
          <w:szCs w:val="20"/>
          <w:color w:val="auto"/>
        </w:rPr>
      </w:pPr>
    </w:p>
    <w:p>
      <w:pPr>
        <w:ind w:left="120" w:hanging="115"/>
        <w:spacing w:after="0"/>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three (3) Class II directors to the Board of Directors, each to serve for a three-year term (“Proposal 1”);</w:t>
      </w:r>
    </w:p>
    <w:p>
      <w:pPr>
        <w:spacing w:after="0" w:line="172" w:lineRule="exact"/>
        <w:rPr>
          <w:rFonts w:ascii="Arial" w:cs="Arial" w:eastAsia="Arial" w:hAnsi="Arial"/>
          <w:sz w:val="15"/>
          <w:szCs w:val="15"/>
          <w:color w:val="auto"/>
        </w:rPr>
      </w:pPr>
    </w:p>
    <w:p>
      <w:pPr>
        <w:ind w:left="120" w:right="260" w:hanging="115"/>
        <w:spacing w:after="0" w:line="324" w:lineRule="auto"/>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vote on an advisory resolution to approve the compensation of the Named Executive Officers as disclosed in this proxy statement (“Proposal 2”);</w:t>
      </w:r>
    </w:p>
    <w:p>
      <w:pPr>
        <w:spacing w:after="0" w:line="71" w:lineRule="exact"/>
        <w:rPr>
          <w:rFonts w:ascii="Arial" w:cs="Arial" w:eastAsia="Arial" w:hAnsi="Arial"/>
          <w:sz w:val="15"/>
          <w:szCs w:val="15"/>
          <w:color w:val="auto"/>
        </w:rPr>
      </w:pPr>
    </w:p>
    <w:p>
      <w:pPr>
        <w:ind w:left="120" w:hanging="115"/>
        <w:spacing w:after="0" w:line="324" w:lineRule="auto"/>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to serve as the independent registered public accounting firm for Limoneira Company for the fiscal year ending October 31, 2025 (“Proposal 3”); and</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73" w:lineRule="exact"/>
        <w:rPr>
          <w:sz w:val="20"/>
          <w:szCs w:val="20"/>
          <w:color w:val="auto"/>
        </w:rPr>
      </w:pPr>
    </w:p>
    <w:p>
      <w:pPr>
        <w:jc w:val="both"/>
        <w:ind w:right="180"/>
        <w:spacing w:after="0" w:line="304" w:lineRule="auto"/>
        <w:rPr>
          <w:sz w:val="20"/>
          <w:szCs w:val="20"/>
          <w:color w:val="auto"/>
        </w:rPr>
      </w:pPr>
      <w:r>
        <w:rPr>
          <w:rFonts w:ascii="Arial" w:cs="Arial" w:eastAsia="Arial" w:hAnsi="Arial"/>
          <w:sz w:val="15"/>
          <w:szCs w:val="15"/>
          <w:color w:val="auto"/>
        </w:rPr>
        <w:t>These matters are more fully described in the enclosed proxy statement. The Board of Directors recommends that you vote “FOR” ALL the director nominees, “FOR” the advisory approval of the compensation of the Named Executive Officers, and “FOR” the ratification of the independent registered public accounting firm.</w:t>
      </w:r>
    </w:p>
    <w:p>
      <w:pPr>
        <w:spacing w:after="0" w:line="86"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Stockholders of record at the close of business on February 12, 2025, the record date, will be entitled to notice of, and to vote at, the Annual Meeting and at any subsequent adjournments or postponements. A list of stockholders entitled to vote at the Annual Meeting will be available for inspection for ten (10) days preceding the Annual Meeting at our principal executive offices at 1141 Cummings Road, Santa Paula, California 93060. We will begin mailing the Notice of Annual Meeting, proxy statement and proxy card on or about February 27, 2025, to stockholders of record at the close of business on February 12, 2025.</w:t>
      </w:r>
    </w:p>
    <w:p>
      <w:pPr>
        <w:spacing w:after="0" w:line="108"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To be sure that your shares are properly represented at the meeting, whether or not you attend, please promptly vote your shares either by telephone, Internet or by completing, signing, dating and returning the enclosed proxy card in the accompanying pre-addressed envelope. We must receive your proxy card no later than 11:59 p.m., Pacific Time, on Tuesday, April 8, 2025.</w:t>
      </w:r>
    </w:p>
    <w:p>
      <w:pPr>
        <w:spacing w:after="0" w:line="99" w:lineRule="exact"/>
        <w:rPr>
          <w:sz w:val="20"/>
          <w:szCs w:val="20"/>
          <w:color w:val="auto"/>
        </w:rPr>
      </w:pPr>
    </w:p>
    <w:p>
      <w:pPr>
        <w:ind w:right="180"/>
        <w:spacing w:after="0" w:line="324" w:lineRule="auto"/>
        <w:rPr>
          <w:sz w:val="20"/>
          <w:szCs w:val="20"/>
          <w:color w:val="auto"/>
        </w:rPr>
      </w:pPr>
      <w:r>
        <w:rPr>
          <w:rFonts w:ascii="Arial" w:cs="Arial" w:eastAsia="Arial" w:hAnsi="Arial"/>
          <w:sz w:val="15"/>
          <w:szCs w:val="15"/>
          <w:color w:val="auto"/>
        </w:rPr>
        <w:t>You will be required to bring certain documents with you to be admitted to the Annual Meeting. Please carefully read the sections in the proxy materials on attending and voting at the Annual Meeting to ensure that you comply with these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Amy Fukutomi</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Vice President of Compliance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2960370</wp:posOffset>
            </wp:positionV>
            <wp:extent cx="717994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440" w:right="1279" w:bottom="1440" w:gutter="0" w:footer="0" w:header="0"/>
        </w:sectPr>
      </w:pPr>
    </w:p>
    <w:bookmarkStart w:id="4" w:name="page5"/>
    <w:bookmarkEnd w:id="4"/>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7500" w:type="dxa"/>
            <w:vAlign w:val="bottom"/>
            <w:gridSpan w:val="33"/>
          </w:tcPr>
          <w:p>
            <w:pPr>
              <w:spacing w:after="0"/>
              <w:rPr>
                <w:sz w:val="20"/>
                <w:szCs w:val="20"/>
                <w:color w:val="auto"/>
              </w:rPr>
            </w:pPr>
            <w:r>
              <w:rPr>
                <w:rFonts w:ascii="Arial" w:cs="Arial" w:eastAsia="Arial" w:hAnsi="Arial"/>
                <w:sz w:val="17"/>
                <w:szCs w:val="17"/>
                <w:b w:val="1"/>
                <w:bCs w:val="1"/>
                <w:color w:val="0000EE"/>
              </w:rPr>
              <w:t>Proxy Statement for Annual Meeting of Stockholders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Purpose of Meeting</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7"/>
                <w:szCs w:val="17"/>
                <w:b w:val="1"/>
                <w:bCs w:val="1"/>
                <w:color w:val="0000EE"/>
              </w:rPr>
              <w:t>Questions and Answers About Attending and Voting at the Annual Meeting</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400" w:type="dxa"/>
            <w:vAlign w:val="bottom"/>
            <w:tcBorders>
              <w:top w:val="single" w:sz="8" w:color="0000EE"/>
              <w:bottom w:val="single" w:sz="8" w:color="EBF7FC"/>
            </w:tcBorders>
          </w:tcPr>
          <w:p>
            <w:pPr>
              <w:spacing w:after="0"/>
              <w:rPr>
                <w:sz w:val="4"/>
                <w:szCs w:val="4"/>
                <w:color w:val="auto"/>
              </w:rPr>
            </w:pPr>
          </w:p>
        </w:tc>
        <w:tc>
          <w:tcPr>
            <w:tcW w:w="1280" w:type="dxa"/>
            <w:vAlign w:val="bottom"/>
            <w:tcBorders>
              <w:top w:val="single" w:sz="8" w:color="0000EE"/>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7"/>
                <w:szCs w:val="17"/>
                <w:b w:val="1"/>
                <w:bCs w:val="1"/>
                <w:color w:val="0000EE"/>
              </w:rPr>
              <w:t>Fiscal Year Highlights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Business Performance / Fiscal Year 2024 Achievements / Recent Events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7"/>
                <w:szCs w:val="17"/>
                <w:b w:val="1"/>
                <w:bCs w:val="1"/>
                <w:color w:val="0000EE"/>
              </w:rPr>
              <w:t>Environmental, Social and Governance Initiatives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top w:val="single" w:sz="8" w:color="0000EE"/>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7"/>
                <w:szCs w:val="17"/>
                <w:b w:val="1"/>
                <w:bCs w:val="1"/>
                <w:color w:val="0000EE"/>
              </w:rPr>
              <w:t>Corporate Governance and Related Matters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Corporate Governance Policies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Board of Directors Highlights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Board of Directors Structure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Board of Directors Oversight Responsibilities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Leadership Structure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Risk Oversight</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Code of Ethics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Code of Business Conduct and Ethics for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Corporate Governance Guidelines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Stock Ownership Guidelines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Policy Regarding Recoupment of Incentive Compensation (Clawback Policy)</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400" w:type="dxa"/>
            <w:vAlign w:val="bottom"/>
            <w:tcBorders>
              <w:top w:val="single" w:sz="8" w:color="0000EE"/>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Hedging and Pledging Policies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Board of Directors Meetings and Attendance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Director Independence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Committees of the Board of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Committee Overview</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Audit and Finance Committee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19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Compensation Committee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Nominating and Corporate Governance Committee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Risk Management Committee</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Director Compensation</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7"/>
                <w:szCs w:val="17"/>
                <w:b w:val="1"/>
                <w:bCs w:val="1"/>
                <w:color w:val="0000EE"/>
              </w:rPr>
              <w:t>Proposal 1: Election of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Nominations of Directors and Diversity</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Board of Directors Refreshment</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Nominations of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Board of Directors and Director Evaluation and Review Process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500" w:type="dxa"/>
            <w:vAlign w:val="bottom"/>
            <w:tcBorders>
              <w:top w:val="single" w:sz="8" w:color="0000EE"/>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Board of Directors Diversity</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ind w:left="160"/>
              <w:spacing w:after="0"/>
              <w:rPr>
                <w:sz w:val="20"/>
                <w:szCs w:val="20"/>
                <w:color w:val="auto"/>
              </w:rPr>
            </w:pPr>
            <w:r>
              <w:rPr>
                <w:rFonts w:ascii="Arial" w:cs="Arial" w:eastAsia="Arial" w:hAnsi="Arial"/>
                <w:sz w:val="14"/>
                <w:szCs w:val="14"/>
                <w:i w:val="1"/>
                <w:iCs w:val="1"/>
                <w:color w:val="0000EE"/>
              </w:rPr>
              <w:t>Director Education</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Nominees for Election to the Board of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Required Vote for Election of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Arial" w:cs="Arial" w:eastAsia="Arial" w:hAnsi="Arial"/>
                <w:sz w:val="14"/>
                <w:szCs w:val="14"/>
                <w:color w:val="0000EE"/>
              </w:rPr>
              <w:t>Recommendation of the Board of Directors</w:t>
            </w:r>
          </w:p>
        </w:tc>
        <w:tc>
          <w:tcPr>
            <w:tcW w:w="1720" w:type="dxa"/>
            <w:vAlign w:val="bottom"/>
          </w:tcPr>
          <w:p>
            <w:pPr>
              <w:jc w:val="right"/>
              <w:ind w:right="52"/>
              <w:spacing w:after="0"/>
              <w:rPr>
                <w:sz w:val="20"/>
                <w:szCs w:val="20"/>
                <w:color w:val="auto"/>
              </w:rPr>
            </w:pPr>
            <w:r>
              <w:rPr>
                <w:rFonts w:ascii="Arial" w:cs="Arial" w:eastAsia="Arial" w:hAnsi="Arial"/>
                <w:sz w:val="14"/>
                <w:szCs w:val="14"/>
                <w:color w:val="auto"/>
              </w:rPr>
              <w:t>28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88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3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5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400" w:type="dxa"/>
            <w:vAlign w:val="bottom"/>
            <w:tcBorders>
              <w:bottom w:val="single" w:sz="8" w:color="EBF7FC"/>
            </w:tcBorders>
          </w:tcPr>
          <w:p>
            <w:pPr>
              <w:spacing w:after="0"/>
              <w:rPr>
                <w:sz w:val="4"/>
                <w:szCs w:val="4"/>
                <w:color w:val="auto"/>
              </w:rPr>
            </w:pPr>
          </w:p>
        </w:tc>
        <w:tc>
          <w:tcPr>
            <w:tcW w:w="128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20" w:type="dxa"/>
            <w:vAlign w:val="bottom"/>
            <w:tcBorders>
              <w:bottom w:val="single" w:sz="8" w:color="EBF7FC"/>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300"/>
          </w:cols>
          <w:pgMar w:left="1300" w:top="1072"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072" w:right="12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Directors Not Up for Re-Election</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29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7"/>
                <w:szCs w:val="17"/>
                <w:b w:val="1"/>
                <w:bCs w:val="1"/>
                <w:color w:val="0000EE"/>
              </w:rPr>
              <w:t>Executive Compensation</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Compensation Discussion and Analysis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Certain Information Regarding Our Executive Officers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Executive Officers Who Are Not Directors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Key Executive Compensation Objectives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Stockholder Engagement and Key Accomplishments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Fiscal Year 2024</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Fiscal Year 2023</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Key Compensation Program Decisions and Developments for Fiscal Year 2024</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780" w:type="dxa"/>
            <w:vAlign w:val="bottom"/>
            <w:tcBorders>
              <w:top w:val="single" w:sz="8" w:color="0000EE"/>
              <w:bottom w:val="single" w:sz="8" w:color="EBF7FC"/>
            </w:tcBorders>
          </w:tcPr>
          <w:p>
            <w:pPr>
              <w:spacing w:after="0"/>
              <w:rPr>
                <w:sz w:val="4"/>
                <w:szCs w:val="4"/>
                <w:color w:val="auto"/>
              </w:rPr>
            </w:pPr>
          </w:p>
        </w:tc>
        <w:tc>
          <w:tcPr>
            <w:tcW w:w="600" w:type="dxa"/>
            <w:vAlign w:val="bottom"/>
            <w:tcBorders>
              <w:top w:val="single" w:sz="8" w:color="0000EE"/>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Benchmarking</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Philosophy</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Compensation Peer Group</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Changes for Fiscal Year 2024</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Oversight of Executive Compensation</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Risk Assessment</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Elements of Compensation</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Base Salaries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Annual Performance Compensation Award</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Annual Equity Incentive Awards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Performance Share-Based Awards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Restricted Share Awards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Strategic Special Project Bonus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Change In Control, Separation or Severance Benefits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Transaction Bonus Program</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39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Retirement Plans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Nonqualified Deferred Compensation</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Options and Stock Appreciation Rights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Performance-Based Awards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Restricted Stock Awards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Estimated Potential Incremental Payments Upon Change of Control or Certain Termination Events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780" w:type="dxa"/>
            <w:vAlign w:val="bottom"/>
            <w:tcBorders>
              <w:top w:val="single" w:sz="8" w:color="0000EE"/>
              <w:bottom w:val="single" w:sz="8" w:color="EBF7FC"/>
            </w:tcBorders>
          </w:tcPr>
          <w:p>
            <w:pPr>
              <w:spacing w:after="0"/>
              <w:rPr>
                <w:sz w:val="4"/>
                <w:szCs w:val="4"/>
                <w:color w:val="auto"/>
              </w:rPr>
            </w:pPr>
          </w:p>
        </w:tc>
        <w:tc>
          <w:tcPr>
            <w:tcW w:w="600" w:type="dxa"/>
            <w:vAlign w:val="bottom"/>
            <w:tcBorders>
              <w:top w:val="single" w:sz="8" w:color="0000EE"/>
              <w:bottom w:val="single" w:sz="8" w:color="EBF7FC"/>
            </w:tcBorders>
          </w:tcPr>
          <w:p>
            <w:pPr>
              <w:spacing w:after="0"/>
              <w:rPr>
                <w:sz w:val="4"/>
                <w:szCs w:val="4"/>
                <w:color w:val="auto"/>
              </w:rPr>
            </w:pPr>
          </w:p>
        </w:tc>
        <w:tc>
          <w:tcPr>
            <w:tcW w:w="1320" w:type="dxa"/>
            <w:vAlign w:val="bottom"/>
            <w:tcBorders>
              <w:top w:val="single" w:sz="8" w:color="0000EE"/>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Perquisites and Other Personal Benefits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Employment Agreements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Hedging and Pledging Policies</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Ownership Requirement</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Other</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Chief Executive Officer Pay Ratio</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24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Summary Compensation Table for Fiscal Years 2024, 2023 and 2022</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44</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780" w:type="dxa"/>
            <w:vAlign w:val="bottom"/>
            <w:tcBorders>
              <w:top w:val="single" w:sz="8" w:color="0000EE"/>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Chart of All Other Compensation in Fiscal Year 2024</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Grants of Plan-Based Awards in Fiscal Year 2024</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7520" w:type="dxa"/>
            <w:vAlign w:val="bottom"/>
            <w:gridSpan w:val="37"/>
          </w:tcPr>
          <w:p>
            <w:pPr>
              <w:spacing w:after="0"/>
              <w:rPr>
                <w:sz w:val="20"/>
                <w:szCs w:val="20"/>
                <w:color w:val="auto"/>
              </w:rPr>
            </w:pPr>
            <w:r>
              <w:rPr>
                <w:rFonts w:ascii="Arial" w:cs="Arial" w:eastAsia="Arial" w:hAnsi="Arial"/>
                <w:sz w:val="14"/>
                <w:szCs w:val="14"/>
                <w:color w:val="0000EE"/>
              </w:rPr>
              <w:t>Outstanding Equity Awards at 2024 Fiscal Year End</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46</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32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24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780" w:type="dxa"/>
            <w:vAlign w:val="bottom"/>
            <w:tcBorders>
              <w:bottom w:val="single" w:sz="8" w:color="EBF7FC"/>
            </w:tcBorders>
          </w:tcPr>
          <w:p>
            <w:pPr>
              <w:spacing w:after="0"/>
              <w:rPr>
                <w:sz w:val="4"/>
                <w:szCs w:val="4"/>
                <w:color w:val="auto"/>
              </w:rPr>
            </w:pPr>
          </w:p>
        </w:tc>
        <w:tc>
          <w:tcPr>
            <w:tcW w:w="600" w:type="dxa"/>
            <w:vAlign w:val="bottom"/>
            <w:tcBorders>
              <w:bottom w:val="single" w:sz="8" w:color="EBF7FC"/>
            </w:tcBorders>
          </w:tcPr>
          <w:p>
            <w:pPr>
              <w:spacing w:after="0"/>
              <w:rPr>
                <w:sz w:val="4"/>
                <w:szCs w:val="4"/>
                <w:color w:val="auto"/>
              </w:rPr>
            </w:pPr>
          </w:p>
        </w:tc>
        <w:tc>
          <w:tcPr>
            <w:tcW w:w="1320" w:type="dxa"/>
            <w:vAlign w:val="bottom"/>
            <w:tcBorders>
              <w:bottom w:val="single" w:sz="8" w:color="EBF7FC"/>
            </w:tcBorders>
          </w:tcPr>
          <w:p>
            <w:pPr>
              <w:spacing w:after="0"/>
              <w:rPr>
                <w:sz w:val="4"/>
                <w:szCs w:val="4"/>
                <w:color w:val="auto"/>
              </w:rPr>
            </w:pPr>
          </w:p>
        </w:tc>
        <w:tc>
          <w:tcPr>
            <w:tcW w:w="1440" w:type="dxa"/>
            <w:vAlign w:val="bottom"/>
            <w:tcBorders>
              <w:bottom w:val="single" w:sz="8" w:color="EBF7FC"/>
            </w:tcBorders>
          </w:tcPr>
          <w:p>
            <w:pPr>
              <w:spacing w:after="0"/>
              <w:rPr>
                <w:sz w:val="4"/>
                <w:szCs w:val="4"/>
                <w:color w:val="auto"/>
              </w:rPr>
            </w:pPr>
          </w:p>
        </w:tc>
        <w:tc>
          <w:tcPr>
            <w:tcW w:w="1700" w:type="dxa"/>
            <w:vAlign w:val="bottom"/>
            <w:tcBorders>
              <w:bottom w:val="single" w:sz="8" w:color="EBF7FC"/>
            </w:tcBorders>
          </w:tcPr>
          <w:p>
            <w:pPr>
              <w:spacing w:after="0"/>
              <w:rPr>
                <w:sz w:val="4"/>
                <w:szCs w:val="4"/>
                <w:color w:val="auto"/>
              </w:rPr>
            </w:pPr>
          </w:p>
        </w:tc>
      </w:tr>
    </w:tbl>
    <w:p>
      <w:pPr>
        <w:spacing w:after="0"/>
        <w:rPr>
          <w:sz w:val="20"/>
          <w:szCs w:val="20"/>
          <w:color w:val="auto"/>
        </w:rPr>
        <w:sectPr>
          <w:pgSz w:w="11900" w:h="16838" w:orient="portrait"/>
          <w:cols w:equalWidth="0" w:num="1">
            <w:col w:w="9300"/>
          </w:cols>
          <w:pgMar w:left="1300" w:top="1334" w:right="1299" w:bottom="1440" w:gutter="0" w:footer="0" w:header="0"/>
        </w:sect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334" w:right="12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Outstanding Exercises and Stock Vested at 2024 Fiscal Year End</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47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Pay Versus Performance (PVP)</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48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Compensation Committee Report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50</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7"/>
                <w:szCs w:val="17"/>
                <w:b w:val="1"/>
                <w:bCs w:val="1"/>
                <w:color w:val="0000EE"/>
              </w:rPr>
              <w:t>Proposal 2: Advisory Vote on Executive Compensation</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Required Vote for Stockholder Approval</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Recommendation of the Board of Directors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51</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7"/>
                <w:szCs w:val="17"/>
                <w:b w:val="1"/>
                <w:bCs w:val="1"/>
                <w:color w:val="0000EE"/>
              </w:rPr>
              <w:t>Proposal 3: Ratification of Selection of Independent Registered Public Accounting Firm</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60" w:type="dxa"/>
            <w:vAlign w:val="bottom"/>
            <w:tcBorders>
              <w:top w:val="single" w:sz="8" w:color="0000EE"/>
              <w:bottom w:val="single" w:sz="8" w:color="EBF7FC"/>
            </w:tcBorders>
          </w:tcPr>
          <w:p>
            <w:pPr>
              <w:spacing w:after="0"/>
              <w:rPr>
                <w:sz w:val="4"/>
                <w:szCs w:val="4"/>
                <w:color w:val="auto"/>
              </w:rPr>
            </w:pPr>
          </w:p>
        </w:tc>
        <w:tc>
          <w:tcPr>
            <w:tcW w:w="2620" w:type="dxa"/>
            <w:vAlign w:val="bottom"/>
            <w:tcBorders>
              <w:top w:val="single" w:sz="8" w:color="0000EE"/>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General</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bottom w:val="single" w:sz="8" w:color="EBF7FC"/>
            </w:tcBorders>
          </w:tcPr>
          <w:p>
            <w:pPr>
              <w:spacing w:after="0"/>
              <w:rPr>
                <w:sz w:val="4"/>
                <w:szCs w:val="4"/>
                <w:color w:val="auto"/>
              </w:rPr>
            </w:pPr>
          </w:p>
        </w:tc>
        <w:tc>
          <w:tcPr>
            <w:tcW w:w="620" w:type="dxa"/>
            <w:vAlign w:val="bottom"/>
            <w:tcBorders>
              <w:bottom w:val="single" w:sz="8" w:color="EBF7FC"/>
            </w:tcBorders>
          </w:tcPr>
          <w:p>
            <w:pPr>
              <w:spacing w:after="0"/>
              <w:rPr>
                <w:sz w:val="4"/>
                <w:szCs w:val="4"/>
                <w:color w:val="auto"/>
              </w:rPr>
            </w:pPr>
          </w:p>
        </w:tc>
        <w:tc>
          <w:tcPr>
            <w:tcW w:w="3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Fees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340" w:type="dxa"/>
            <w:vAlign w:val="bottom"/>
            <w:tcBorders>
              <w:bottom w:val="single" w:sz="8" w:color="EBF7FC"/>
            </w:tcBorders>
          </w:tcPr>
          <w:p>
            <w:pPr>
              <w:spacing w:after="0"/>
              <w:rPr>
                <w:sz w:val="4"/>
                <w:szCs w:val="4"/>
                <w:color w:val="auto"/>
              </w:rPr>
            </w:pPr>
          </w:p>
        </w:tc>
        <w:tc>
          <w:tcPr>
            <w:tcW w:w="620" w:type="dxa"/>
            <w:vAlign w:val="bottom"/>
            <w:tcBorders>
              <w:bottom w:val="single" w:sz="8" w:color="EBF7FC"/>
            </w:tcBorders>
          </w:tcPr>
          <w:p>
            <w:pPr>
              <w:spacing w:after="0"/>
              <w:rPr>
                <w:sz w:val="4"/>
                <w:szCs w:val="4"/>
                <w:color w:val="auto"/>
              </w:rPr>
            </w:pPr>
          </w:p>
        </w:tc>
        <w:tc>
          <w:tcPr>
            <w:tcW w:w="3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Pre-Approval Policies and Procedures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52</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Required Vote For Stockholder Approval</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Recommendation of the Board of Directors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Audit and Finance Committee Report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53</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7"/>
                <w:szCs w:val="17"/>
                <w:b w:val="1"/>
                <w:bCs w:val="1"/>
                <w:color w:val="0000EE"/>
              </w:rPr>
              <w:t>Other Information</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Stock Ownership Information</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Security Ownership of Certain Beneficial Owners and Management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55</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Securities Authorized for Issuance Under Equity Compensation Plans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Certain Relationships and Related-Party Transactions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ind w:left="160"/>
              <w:spacing w:after="0"/>
              <w:rPr>
                <w:sz w:val="20"/>
                <w:szCs w:val="20"/>
                <w:color w:val="auto"/>
              </w:rPr>
            </w:pPr>
            <w:r>
              <w:rPr>
                <w:rFonts w:ascii="Arial" w:cs="Arial" w:eastAsia="Arial" w:hAnsi="Arial"/>
                <w:sz w:val="14"/>
                <w:szCs w:val="14"/>
                <w:i w:val="1"/>
                <w:iCs w:val="1"/>
                <w:color w:val="0000EE"/>
              </w:rPr>
              <w:t>Policy for Approval of Related Party Transactions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ind w:left="160"/>
              <w:spacing w:after="0"/>
              <w:rPr>
                <w:sz w:val="20"/>
                <w:szCs w:val="20"/>
                <w:color w:val="auto"/>
              </w:rPr>
            </w:pPr>
            <w:r>
              <w:rPr>
                <w:rFonts w:ascii="Arial" w:cs="Arial" w:eastAsia="Arial" w:hAnsi="Arial"/>
                <w:sz w:val="14"/>
                <w:szCs w:val="14"/>
                <w:i w:val="1"/>
                <w:iCs w:val="1"/>
                <w:color w:val="0000EE"/>
              </w:rPr>
              <w:t>Family Relationships and Other Arrangements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Delinquent Section 16(a) Reports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Stockholder Communications with the Board of Directors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57</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Stockholder Proposals for the 2026 Annual Meeting of Stockholders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40" w:type="dxa"/>
            <w:vAlign w:val="bottom"/>
            <w:tcBorders>
              <w:top w:val="single" w:sz="8" w:color="0000EE"/>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ind w:left="160"/>
              <w:spacing w:after="0"/>
              <w:rPr>
                <w:sz w:val="20"/>
                <w:szCs w:val="20"/>
                <w:color w:val="auto"/>
              </w:rPr>
            </w:pPr>
            <w:r>
              <w:rPr>
                <w:rFonts w:ascii="Arial" w:cs="Arial" w:eastAsia="Arial" w:hAnsi="Arial"/>
                <w:sz w:val="14"/>
                <w:szCs w:val="14"/>
                <w:i w:val="1"/>
                <w:iCs w:val="1"/>
                <w:color w:val="0000EE"/>
              </w:rPr>
              <w:t>Stockholder Proposals – Inclusion in Company Proxy Statement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ind w:left="160"/>
              <w:spacing w:after="0"/>
              <w:rPr>
                <w:sz w:val="20"/>
                <w:szCs w:val="20"/>
                <w:color w:val="auto"/>
              </w:rPr>
            </w:pPr>
            <w:r>
              <w:rPr>
                <w:rFonts w:ascii="Arial" w:cs="Arial" w:eastAsia="Arial" w:hAnsi="Arial"/>
                <w:sz w:val="14"/>
                <w:szCs w:val="14"/>
                <w:i w:val="1"/>
                <w:iCs w:val="1"/>
                <w:color w:val="0000EE"/>
              </w:rPr>
              <w:t>Other Stockholder Proposals or Nominations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United States Securities and Exchange Commission Reports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Delivery of Documents to Stockholders Sharing an Address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58</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top w:val="single" w:sz="8" w:color="0000EE"/>
              <w:bottom w:val="single" w:sz="8" w:color="EBF7FC"/>
            </w:tcBorders>
          </w:tcPr>
          <w:p>
            <w:pPr>
              <w:spacing w:after="0"/>
              <w:rPr>
                <w:sz w:val="4"/>
                <w:szCs w:val="4"/>
                <w:color w:val="auto"/>
              </w:rPr>
            </w:pPr>
          </w:p>
        </w:tc>
        <w:tc>
          <w:tcPr>
            <w:tcW w:w="3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20" w:type="dxa"/>
            <w:vAlign w:val="bottom"/>
            <w:tcBorders>
              <w:top w:val="single" w:sz="8" w:color="0000EE"/>
              <w:bottom w:val="single" w:sz="8" w:color="EBF7FC"/>
            </w:tcBorders>
          </w:tcPr>
          <w:p>
            <w:pPr>
              <w:spacing w:after="0"/>
              <w:rPr>
                <w:sz w:val="4"/>
                <w:szCs w:val="4"/>
                <w:color w:val="auto"/>
              </w:rPr>
            </w:pPr>
          </w:p>
        </w:tc>
        <w:tc>
          <w:tcPr>
            <w:tcW w:w="22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80" w:type="dxa"/>
            <w:vAlign w:val="bottom"/>
            <w:tcBorders>
              <w:top w:val="single" w:sz="8" w:color="0000EE"/>
              <w:bottom w:val="single" w:sz="8" w:color="EBF7FC"/>
            </w:tcBorders>
          </w:tcPr>
          <w:p>
            <w:pPr>
              <w:spacing w:after="0"/>
              <w:rPr>
                <w:sz w:val="4"/>
                <w:szCs w:val="4"/>
                <w:color w:val="auto"/>
              </w:rPr>
            </w:pPr>
          </w:p>
        </w:tc>
        <w:tc>
          <w:tcPr>
            <w:tcW w:w="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280" w:type="dxa"/>
            <w:vAlign w:val="bottom"/>
            <w:tcBorders>
              <w:top w:val="single" w:sz="8" w:color="0000EE"/>
              <w:bottom w:val="single" w:sz="8" w:color="EBF7FC"/>
            </w:tcBorders>
          </w:tcPr>
          <w:p>
            <w:pPr>
              <w:spacing w:after="0"/>
              <w:rPr>
                <w:sz w:val="4"/>
                <w:szCs w:val="4"/>
                <w:color w:val="auto"/>
              </w:rPr>
            </w:pPr>
          </w:p>
        </w:tc>
        <w:tc>
          <w:tcPr>
            <w:tcW w:w="10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20" w:type="dxa"/>
            <w:vAlign w:val="bottom"/>
            <w:tcBorders>
              <w:top w:val="single" w:sz="8" w:color="0000EE"/>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r>
        <w:trPr>
          <w:trHeight w:val="197"/>
        </w:trPr>
        <w:tc>
          <w:tcPr>
            <w:tcW w:w="80" w:type="dxa"/>
            <w:vAlign w:val="bottom"/>
          </w:tcPr>
          <w:p>
            <w:pPr>
              <w:spacing w:after="0"/>
              <w:rPr>
                <w:sz w:val="17"/>
                <w:szCs w:val="17"/>
                <w:color w:val="auto"/>
              </w:rPr>
            </w:pPr>
          </w:p>
        </w:tc>
        <w:tc>
          <w:tcPr>
            <w:tcW w:w="8000" w:type="dxa"/>
            <w:vAlign w:val="bottom"/>
            <w:gridSpan w:val="29"/>
          </w:tcPr>
          <w:p>
            <w:pPr>
              <w:spacing w:after="0"/>
              <w:rPr>
                <w:sz w:val="20"/>
                <w:szCs w:val="20"/>
                <w:color w:val="auto"/>
              </w:rPr>
            </w:pPr>
            <w:r>
              <w:rPr>
                <w:rFonts w:ascii="Arial" w:cs="Arial" w:eastAsia="Arial" w:hAnsi="Arial"/>
                <w:sz w:val="14"/>
                <w:szCs w:val="14"/>
                <w:color w:val="0000EE"/>
              </w:rPr>
              <w:t>Other Matters</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59</w:t>
            </w:r>
          </w:p>
        </w:tc>
      </w:tr>
      <w:tr>
        <w:trPr>
          <w:trHeight w:val="57"/>
        </w:trPr>
        <w:tc>
          <w:tcPr>
            <w:tcW w:w="80" w:type="dxa"/>
            <w:vAlign w:val="bottom"/>
            <w:tcBorders>
              <w:bottom w:val="single" w:sz="8" w:color="EBF7FC"/>
            </w:tcBorders>
          </w:tcPr>
          <w:p>
            <w:pPr>
              <w:spacing w:after="0"/>
              <w:rPr>
                <w:sz w:val="4"/>
                <w:szCs w:val="4"/>
                <w:color w:val="auto"/>
              </w:rPr>
            </w:pPr>
          </w:p>
        </w:tc>
        <w:tc>
          <w:tcPr>
            <w:tcW w:w="160" w:type="dxa"/>
            <w:vAlign w:val="bottom"/>
            <w:tcBorders>
              <w:top w:val="single" w:sz="8" w:color="0000EE"/>
              <w:bottom w:val="single" w:sz="8" w:color="EBF7FC"/>
            </w:tcBorders>
          </w:tcPr>
          <w:p>
            <w:pPr>
              <w:spacing w:after="0"/>
              <w:rPr>
                <w:sz w:val="4"/>
                <w:szCs w:val="4"/>
                <w:color w:val="auto"/>
              </w:rPr>
            </w:pPr>
          </w:p>
        </w:tc>
        <w:tc>
          <w:tcPr>
            <w:tcW w:w="140" w:type="dxa"/>
            <w:vAlign w:val="bottom"/>
            <w:tcBorders>
              <w:top w:val="single" w:sz="8" w:color="0000EE"/>
              <w:bottom w:val="single" w:sz="8" w:color="EBF7FC"/>
            </w:tcBorders>
          </w:tcPr>
          <w:p>
            <w:pPr>
              <w:spacing w:after="0"/>
              <w:rPr>
                <w:sz w:val="4"/>
                <w:szCs w:val="4"/>
                <w:color w:val="auto"/>
              </w:rPr>
            </w:pPr>
          </w:p>
        </w:tc>
        <w:tc>
          <w:tcPr>
            <w:tcW w:w="180" w:type="dxa"/>
            <w:vAlign w:val="bottom"/>
            <w:tcBorders>
              <w:top w:val="single" w:sz="8" w:color="0000EE"/>
              <w:bottom w:val="single" w:sz="8" w:color="EBF7FC"/>
            </w:tcBorders>
          </w:tcPr>
          <w:p>
            <w:pPr>
              <w:spacing w:after="0"/>
              <w:rPr>
                <w:sz w:val="4"/>
                <w:szCs w:val="4"/>
                <w:color w:val="auto"/>
              </w:rPr>
            </w:pPr>
          </w:p>
        </w:tc>
        <w:tc>
          <w:tcPr>
            <w:tcW w:w="340" w:type="dxa"/>
            <w:vAlign w:val="bottom"/>
            <w:tcBorders>
              <w:top w:val="single" w:sz="8" w:color="0000EE"/>
              <w:bottom w:val="single" w:sz="8" w:color="EBF7FC"/>
            </w:tcBorders>
          </w:tcPr>
          <w:p>
            <w:pPr>
              <w:spacing w:after="0"/>
              <w:rPr>
                <w:sz w:val="4"/>
                <w:szCs w:val="4"/>
                <w:color w:val="auto"/>
              </w:rPr>
            </w:pPr>
          </w:p>
        </w:tc>
        <w:tc>
          <w:tcPr>
            <w:tcW w:w="620" w:type="dxa"/>
            <w:vAlign w:val="bottom"/>
            <w:tcBorders>
              <w:bottom w:val="single" w:sz="8" w:color="EBF7FC"/>
            </w:tcBorders>
          </w:tcPr>
          <w:p>
            <w:pPr>
              <w:spacing w:after="0"/>
              <w:rPr>
                <w:sz w:val="4"/>
                <w:szCs w:val="4"/>
                <w:color w:val="auto"/>
              </w:rPr>
            </w:pPr>
          </w:p>
        </w:tc>
        <w:tc>
          <w:tcPr>
            <w:tcW w:w="3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22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60" w:type="dxa"/>
            <w:vAlign w:val="bottom"/>
            <w:tcBorders>
              <w:bottom w:val="single" w:sz="8" w:color="EBF7FC"/>
            </w:tcBorders>
          </w:tcPr>
          <w:p>
            <w:pPr>
              <w:spacing w:after="0"/>
              <w:rPr>
                <w:sz w:val="4"/>
                <w:szCs w:val="4"/>
                <w:color w:val="auto"/>
              </w:rPr>
            </w:pPr>
          </w:p>
        </w:tc>
        <w:tc>
          <w:tcPr>
            <w:tcW w:w="14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20" w:type="dxa"/>
            <w:vAlign w:val="bottom"/>
            <w:tcBorders>
              <w:bottom w:val="single" w:sz="8" w:color="EBF7FC"/>
            </w:tcBorders>
          </w:tcPr>
          <w:p>
            <w:pPr>
              <w:spacing w:after="0"/>
              <w:rPr>
                <w:sz w:val="4"/>
                <w:szCs w:val="4"/>
                <w:color w:val="auto"/>
              </w:rPr>
            </w:pPr>
          </w:p>
        </w:tc>
        <w:tc>
          <w:tcPr>
            <w:tcW w:w="160" w:type="dxa"/>
            <w:vAlign w:val="bottom"/>
            <w:tcBorders>
              <w:bottom w:val="single" w:sz="8" w:color="EBF7FC"/>
            </w:tcBorders>
          </w:tcPr>
          <w:p>
            <w:pPr>
              <w:spacing w:after="0"/>
              <w:rPr>
                <w:sz w:val="4"/>
                <w:szCs w:val="4"/>
                <w:color w:val="auto"/>
              </w:rPr>
            </w:pPr>
          </w:p>
        </w:tc>
        <w:tc>
          <w:tcPr>
            <w:tcW w:w="1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80" w:type="dxa"/>
            <w:vAlign w:val="bottom"/>
            <w:tcBorders>
              <w:bottom w:val="single" w:sz="8" w:color="EBF7FC"/>
            </w:tcBorders>
          </w:tcPr>
          <w:p>
            <w:pPr>
              <w:spacing w:after="0"/>
              <w:rPr>
                <w:sz w:val="4"/>
                <w:szCs w:val="4"/>
                <w:color w:val="auto"/>
              </w:rPr>
            </w:pPr>
          </w:p>
        </w:tc>
        <w:tc>
          <w:tcPr>
            <w:tcW w:w="80" w:type="dxa"/>
            <w:vAlign w:val="bottom"/>
            <w:tcBorders>
              <w:bottom w:val="single" w:sz="8" w:color="EBF7FC"/>
            </w:tcBorders>
          </w:tcPr>
          <w:p>
            <w:pPr>
              <w:spacing w:after="0"/>
              <w:rPr>
                <w:sz w:val="4"/>
                <w:szCs w:val="4"/>
                <w:color w:val="auto"/>
              </w:rPr>
            </w:pPr>
          </w:p>
        </w:tc>
        <w:tc>
          <w:tcPr>
            <w:tcW w:w="20" w:type="dxa"/>
            <w:vAlign w:val="bottom"/>
            <w:tcBorders>
              <w:bottom w:val="single" w:sz="8" w:color="EBF7FC"/>
            </w:tcBorders>
          </w:tcPr>
          <w:p>
            <w:pPr>
              <w:spacing w:after="0"/>
              <w:rPr>
                <w:sz w:val="4"/>
                <w:szCs w:val="4"/>
                <w:color w:val="auto"/>
              </w:rPr>
            </w:pPr>
          </w:p>
        </w:tc>
        <w:tc>
          <w:tcPr>
            <w:tcW w:w="40" w:type="dxa"/>
            <w:vAlign w:val="bottom"/>
            <w:tcBorders>
              <w:bottom w:val="single" w:sz="8" w:color="EBF7FC"/>
            </w:tcBorders>
          </w:tcPr>
          <w:p>
            <w:pPr>
              <w:spacing w:after="0"/>
              <w:rPr>
                <w:sz w:val="4"/>
                <w:szCs w:val="4"/>
                <w:color w:val="auto"/>
              </w:rPr>
            </w:pPr>
          </w:p>
        </w:tc>
        <w:tc>
          <w:tcPr>
            <w:tcW w:w="100" w:type="dxa"/>
            <w:vAlign w:val="bottom"/>
            <w:tcBorders>
              <w:bottom w:val="single" w:sz="8" w:color="EBF7FC"/>
            </w:tcBorders>
          </w:tcPr>
          <w:p>
            <w:pPr>
              <w:spacing w:after="0"/>
              <w:rPr>
                <w:sz w:val="4"/>
                <w:szCs w:val="4"/>
                <w:color w:val="auto"/>
              </w:rPr>
            </w:pPr>
          </w:p>
        </w:tc>
        <w:tc>
          <w:tcPr>
            <w:tcW w:w="260" w:type="dxa"/>
            <w:vAlign w:val="bottom"/>
            <w:tcBorders>
              <w:bottom w:val="single" w:sz="8" w:color="EBF7FC"/>
            </w:tcBorders>
          </w:tcPr>
          <w:p>
            <w:pPr>
              <w:spacing w:after="0"/>
              <w:rPr>
                <w:sz w:val="4"/>
                <w:szCs w:val="4"/>
                <w:color w:val="auto"/>
              </w:rPr>
            </w:pPr>
          </w:p>
        </w:tc>
        <w:tc>
          <w:tcPr>
            <w:tcW w:w="2620" w:type="dxa"/>
            <w:vAlign w:val="bottom"/>
            <w:tcBorders>
              <w:bottom w:val="single" w:sz="8" w:color="EBF7FC"/>
            </w:tcBorders>
          </w:tcPr>
          <w:p>
            <w:pPr>
              <w:spacing w:after="0"/>
              <w:rPr>
                <w:sz w:val="4"/>
                <w:szCs w:val="4"/>
                <w:color w:val="auto"/>
              </w:rPr>
            </w:pPr>
          </w:p>
        </w:tc>
        <w:tc>
          <w:tcPr>
            <w:tcW w:w="940" w:type="dxa"/>
            <w:vAlign w:val="bottom"/>
            <w:tcBorders>
              <w:bottom w:val="single" w:sz="8" w:color="EBF7FC"/>
            </w:tcBorders>
          </w:tcPr>
          <w:p>
            <w:pPr>
              <w:spacing w:after="0"/>
              <w:rPr>
                <w:sz w:val="4"/>
                <w:szCs w:val="4"/>
                <w:color w:val="auto"/>
              </w:rPr>
            </w:pPr>
          </w:p>
        </w:tc>
        <w:tc>
          <w:tcPr>
            <w:tcW w:w="1220" w:type="dxa"/>
            <w:vAlign w:val="bottom"/>
            <w:tcBorders>
              <w:bottom w:val="single" w:sz="8" w:color="EBF7FC"/>
            </w:tcBorders>
          </w:tcPr>
          <w:p>
            <w:pPr>
              <w:spacing w:after="0"/>
              <w:rPr>
                <w:sz w:val="4"/>
                <w:szCs w:val="4"/>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ind w:right="340"/>
        <w:spacing w:after="0" w:line="324" w:lineRule="auto"/>
        <w:rPr>
          <w:sz w:val="20"/>
          <w:szCs w:val="20"/>
          <w:color w:val="auto"/>
        </w:rPr>
      </w:pPr>
      <w:r>
        <w:rPr>
          <w:rFonts w:ascii="Arial" w:cs="Arial" w:eastAsia="Arial" w:hAnsi="Arial"/>
          <w:sz w:val="15"/>
          <w:szCs w:val="15"/>
          <w:i w:val="1"/>
          <w:iCs w:val="1"/>
          <w:color w:val="auto"/>
        </w:rPr>
        <w:t>Except where the context indicates otherwise, the “Company,” “we,” “us” and “our” refer to Limoneira Company and its wholly owned subsidiaries. References to “stockholders” refer to stockholders of Limoneira Company.</w:t>
      </w:r>
    </w:p>
    <w:p>
      <w:pPr>
        <w:sectPr>
          <w:pgSz w:w="11900" w:h="16838" w:orient="portrait"/>
          <w:cols w:equalWidth="0" w:num="1">
            <w:col w:w="9300"/>
          </w:cols>
          <w:pgMar w:left="1300" w:top="133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334" w:right="129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Proxy Statement for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LIMONEIRA COMPANY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1141 Cummings Road</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Santa Paula, California 93060</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Proxy Statement for the Annual Meeting of Stockholders</w:t>
      </w:r>
    </w:p>
    <w:p>
      <w:pPr>
        <w:spacing w:after="0" w:line="213"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This proxy statement is furnished in connection with the solicitation of proxies by the Board of Directors (the “Board”) of Limoneira Company, a Delaware corporation (the “Company” or “Limoneira”), for the 2025 Annual Meeting of Stockholders, to be held on Wednesday, April 9, 2025, at 10:00 a.m., Pacific Time, at the Museum of Ventura County Agriculture Museum, 926 Railroad Avenue, Santa Paula, CA 93060 and for any adjournments or postponements thereof. We refer to the 2025 Annual Meeting of Stockholders as the “Annual Meeting.” This Notice of Annual Meeting, proxy statement and proxy card are first being mailed or provided to stockholders on or about February 27, 2025. The costs for mailing will be paid by the Company.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80" w:type="dxa"/>
            <w:vAlign w:val="bottom"/>
            <w:tcBorders>
              <w:bottom w:val="single" w:sz="8" w:color="EFF7FC"/>
            </w:tcBorders>
            <w:shd w:val="clear" w:color="auto" w:fill="EFF7FC"/>
          </w:tcPr>
          <w:p>
            <w:pPr>
              <w:ind w:left="240"/>
              <w:spacing w:after="0"/>
              <w:rPr>
                <w:sz w:val="20"/>
                <w:szCs w:val="20"/>
                <w:color w:val="auto"/>
              </w:rPr>
            </w:pPr>
            <w:r>
              <w:rPr>
                <w:rFonts w:ascii="Arial" w:cs="Arial" w:eastAsia="Arial" w:hAnsi="Arial"/>
                <w:sz w:val="15"/>
                <w:szCs w:val="15"/>
                <w:b w:val="1"/>
                <w:bCs w:val="1"/>
                <w:color w:val="002552"/>
              </w:rPr>
              <w:t>ANNUAL MEETING OF</w:t>
            </w:r>
          </w:p>
        </w:tc>
        <w:tc>
          <w:tcPr>
            <w:tcW w:w="1480" w:type="dxa"/>
            <w:vAlign w:val="bottom"/>
            <w:tcBorders>
              <w:bottom w:val="single" w:sz="8" w:color="DAE2ED"/>
            </w:tcBorders>
            <w:shd w:val="clear" w:color="auto" w:fill="EFF7FC"/>
          </w:tcPr>
          <w:p>
            <w:pPr>
              <w:spacing w:after="0"/>
              <w:rPr>
                <w:sz w:val="20"/>
                <w:szCs w:val="20"/>
                <w:color w:val="auto"/>
              </w:rPr>
            </w:pPr>
            <w:r>
              <w:rPr>
                <w:rFonts w:ascii="Arial" w:cs="Arial" w:eastAsia="Arial" w:hAnsi="Arial"/>
                <w:sz w:val="15"/>
                <w:szCs w:val="15"/>
                <w:b w:val="1"/>
                <w:bCs w:val="1"/>
                <w:color w:val="002552"/>
              </w:rPr>
              <w:t>Date</w:t>
            </w:r>
          </w:p>
        </w:tc>
        <w:tc>
          <w:tcPr>
            <w:tcW w:w="5100" w:type="dxa"/>
            <w:vAlign w:val="bottom"/>
            <w:tcBorders>
              <w:bottom w:val="single" w:sz="8" w:color="DAE2ED"/>
            </w:tcBorders>
            <w:shd w:val="clear" w:color="auto" w:fill="EFF7FC"/>
          </w:tcPr>
          <w:p>
            <w:pPr>
              <w:ind w:left="580"/>
              <w:spacing w:after="0"/>
              <w:rPr>
                <w:sz w:val="20"/>
                <w:szCs w:val="20"/>
                <w:color w:val="auto"/>
              </w:rPr>
            </w:pPr>
            <w:r>
              <w:rPr>
                <w:rFonts w:ascii="Arial" w:cs="Arial" w:eastAsia="Arial" w:hAnsi="Arial"/>
                <w:sz w:val="15"/>
                <w:szCs w:val="15"/>
                <w:b w:val="1"/>
                <w:bCs w:val="1"/>
                <w:color w:val="002552"/>
              </w:rPr>
              <w:t>Wednesday, April 9, 2025</w:t>
            </w:r>
          </w:p>
        </w:tc>
        <w:tc>
          <w:tcPr>
            <w:tcW w:w="240" w:type="dxa"/>
            <w:vAlign w:val="bottom"/>
            <w:tcBorders>
              <w:bottom w:val="single" w:sz="8" w:color="EFF7FC"/>
            </w:tcBorders>
            <w:shd w:val="clear" w:color="auto" w:fill="EFF7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480" w:type="dxa"/>
            <w:vAlign w:val="bottom"/>
            <w:shd w:val="clear" w:color="auto" w:fill="EFF7FC"/>
          </w:tcPr>
          <w:p>
            <w:pPr>
              <w:ind w:left="240"/>
              <w:spacing w:after="0"/>
              <w:rPr>
                <w:sz w:val="20"/>
                <w:szCs w:val="20"/>
                <w:color w:val="auto"/>
              </w:rPr>
            </w:pPr>
            <w:r>
              <w:rPr>
                <w:rFonts w:ascii="Arial" w:cs="Arial" w:eastAsia="Arial" w:hAnsi="Arial"/>
                <w:sz w:val="15"/>
                <w:szCs w:val="15"/>
                <w:b w:val="1"/>
                <w:bCs w:val="1"/>
                <w:color w:val="002552"/>
              </w:rPr>
              <w:t>STOCKHOLDERS</w:t>
            </w:r>
          </w:p>
        </w:tc>
        <w:tc>
          <w:tcPr>
            <w:tcW w:w="1480" w:type="dxa"/>
            <w:vAlign w:val="bottom"/>
            <w:vMerge w:val="restart"/>
            <w:shd w:val="clear" w:color="auto" w:fill="EFF7FC"/>
          </w:tcPr>
          <w:p>
            <w:pPr>
              <w:spacing w:after="0"/>
              <w:rPr>
                <w:sz w:val="20"/>
                <w:szCs w:val="20"/>
                <w:color w:val="auto"/>
              </w:rPr>
            </w:pPr>
            <w:r>
              <w:rPr>
                <w:rFonts w:ascii="Arial" w:cs="Arial" w:eastAsia="Arial" w:hAnsi="Arial"/>
                <w:sz w:val="15"/>
                <w:szCs w:val="15"/>
                <w:b w:val="1"/>
                <w:bCs w:val="1"/>
                <w:color w:val="002552"/>
              </w:rPr>
              <w:t>Time</w:t>
            </w:r>
          </w:p>
        </w:tc>
        <w:tc>
          <w:tcPr>
            <w:tcW w:w="5100" w:type="dxa"/>
            <w:vAlign w:val="bottom"/>
            <w:vMerge w:val="restart"/>
            <w:shd w:val="clear" w:color="auto" w:fill="EFF7FC"/>
          </w:tcPr>
          <w:p>
            <w:pPr>
              <w:ind w:left="580"/>
              <w:spacing w:after="0"/>
              <w:rPr>
                <w:sz w:val="20"/>
                <w:szCs w:val="20"/>
                <w:color w:val="auto"/>
              </w:rPr>
            </w:pPr>
            <w:r>
              <w:rPr>
                <w:rFonts w:ascii="Arial" w:cs="Arial" w:eastAsia="Arial" w:hAnsi="Arial"/>
                <w:sz w:val="15"/>
                <w:szCs w:val="15"/>
                <w:b w:val="1"/>
                <w:bCs w:val="1"/>
                <w:color w:val="002552"/>
              </w:rPr>
              <w:t>10:00 a.m., Pacific Time</w:t>
            </w:r>
          </w:p>
        </w:tc>
        <w:tc>
          <w:tcPr>
            <w:tcW w:w="240" w:type="dxa"/>
            <w:vAlign w:val="bottom"/>
            <w:vMerge w:val="restart"/>
            <w:shd w:val="clear" w:color="auto" w:fill="EFF7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EFF7FC"/>
            </w:tcBorders>
            <w:shd w:val="clear" w:color="auto" w:fill="EFF7FC"/>
          </w:tcPr>
          <w:p>
            <w:pPr>
              <w:spacing w:after="0"/>
              <w:rPr>
                <w:sz w:val="14"/>
                <w:szCs w:val="14"/>
                <w:color w:val="auto"/>
              </w:rPr>
            </w:pPr>
          </w:p>
        </w:tc>
        <w:tc>
          <w:tcPr>
            <w:tcW w:w="1480" w:type="dxa"/>
            <w:vAlign w:val="bottom"/>
            <w:tcBorders>
              <w:bottom w:val="single" w:sz="8" w:color="DAE2ED"/>
            </w:tcBorders>
            <w:vMerge w:val="continue"/>
            <w:shd w:val="clear" w:color="auto" w:fill="EFF7FC"/>
          </w:tcPr>
          <w:p>
            <w:pPr>
              <w:spacing w:after="0"/>
              <w:rPr>
                <w:sz w:val="14"/>
                <w:szCs w:val="14"/>
                <w:color w:val="auto"/>
              </w:rPr>
            </w:pPr>
          </w:p>
        </w:tc>
        <w:tc>
          <w:tcPr>
            <w:tcW w:w="5100" w:type="dxa"/>
            <w:vAlign w:val="bottom"/>
            <w:tcBorders>
              <w:bottom w:val="single" w:sz="8" w:color="DAE2ED"/>
            </w:tcBorders>
            <w:vMerge w:val="continue"/>
            <w:shd w:val="clear" w:color="auto" w:fill="EFF7FC"/>
          </w:tcPr>
          <w:p>
            <w:pPr>
              <w:spacing w:after="0"/>
              <w:rPr>
                <w:sz w:val="14"/>
                <w:szCs w:val="14"/>
                <w:color w:val="auto"/>
              </w:rPr>
            </w:pPr>
          </w:p>
        </w:tc>
        <w:tc>
          <w:tcPr>
            <w:tcW w:w="240" w:type="dxa"/>
            <w:vAlign w:val="bottom"/>
            <w:tcBorders>
              <w:bottom w:val="single" w:sz="8" w:color="EFF7FC"/>
            </w:tcBorders>
            <w:vMerge w:val="continue"/>
            <w:shd w:val="clear" w:color="auto" w:fill="EFF7FC"/>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2480" w:type="dxa"/>
            <w:vAlign w:val="bottom"/>
            <w:shd w:val="clear" w:color="auto" w:fill="EFF7FC"/>
          </w:tcPr>
          <w:p>
            <w:pPr>
              <w:spacing w:after="0"/>
              <w:rPr>
                <w:sz w:val="24"/>
                <w:szCs w:val="24"/>
                <w:color w:val="auto"/>
              </w:rPr>
            </w:pPr>
          </w:p>
        </w:tc>
        <w:tc>
          <w:tcPr>
            <w:tcW w:w="1480" w:type="dxa"/>
            <w:vAlign w:val="bottom"/>
            <w:shd w:val="clear" w:color="auto" w:fill="EFF7FC"/>
          </w:tcPr>
          <w:p>
            <w:pPr>
              <w:spacing w:after="0"/>
              <w:rPr>
                <w:sz w:val="20"/>
                <w:szCs w:val="20"/>
                <w:color w:val="auto"/>
              </w:rPr>
            </w:pPr>
            <w:r>
              <w:rPr>
                <w:rFonts w:ascii="Arial" w:cs="Arial" w:eastAsia="Arial" w:hAnsi="Arial"/>
                <w:sz w:val="15"/>
                <w:szCs w:val="15"/>
                <w:b w:val="1"/>
                <w:bCs w:val="1"/>
                <w:color w:val="002552"/>
              </w:rPr>
              <w:t>Record Date</w:t>
            </w:r>
          </w:p>
        </w:tc>
        <w:tc>
          <w:tcPr>
            <w:tcW w:w="5340" w:type="dxa"/>
            <w:vAlign w:val="bottom"/>
            <w:gridSpan w:val="2"/>
            <w:shd w:val="clear" w:color="auto" w:fill="EFF7FC"/>
          </w:tcPr>
          <w:p>
            <w:pPr>
              <w:ind w:left="580"/>
              <w:spacing w:after="0"/>
              <w:rPr>
                <w:sz w:val="20"/>
                <w:szCs w:val="20"/>
                <w:color w:val="auto"/>
              </w:rPr>
            </w:pPr>
            <w:r>
              <w:rPr>
                <w:rFonts w:ascii="Arial" w:cs="Arial" w:eastAsia="Arial" w:hAnsi="Arial"/>
                <w:sz w:val="15"/>
                <w:szCs w:val="15"/>
                <w:b w:val="1"/>
                <w:bCs w:val="1"/>
                <w:color w:val="002552"/>
              </w:rPr>
              <w:t>February 12, 2025</w:t>
            </w:r>
          </w:p>
        </w:tc>
        <w:tc>
          <w:tcPr>
            <w:tcW w:w="0" w:type="dxa"/>
            <w:vAlign w:val="bottom"/>
          </w:tcPr>
          <w:p>
            <w:pPr>
              <w:spacing w:after="0"/>
              <w:rPr>
                <w:sz w:val="1"/>
                <w:szCs w:val="1"/>
                <w:color w:val="auto"/>
              </w:rPr>
            </w:pPr>
          </w:p>
        </w:tc>
      </w:tr>
      <w:tr>
        <w:trPr>
          <w:trHeight w:val="185"/>
        </w:trPr>
        <w:tc>
          <w:tcPr>
            <w:tcW w:w="2480" w:type="dxa"/>
            <w:vAlign w:val="bottom"/>
            <w:tcBorders>
              <w:top w:val="single" w:sz="8" w:color="EFF7FC"/>
            </w:tcBorders>
            <w:shd w:val="clear" w:color="auto" w:fill="EFF7FC"/>
          </w:tcPr>
          <w:p>
            <w:pPr>
              <w:spacing w:after="0"/>
              <w:rPr>
                <w:sz w:val="16"/>
                <w:szCs w:val="16"/>
                <w:color w:val="auto"/>
              </w:rPr>
            </w:pPr>
          </w:p>
        </w:tc>
        <w:tc>
          <w:tcPr>
            <w:tcW w:w="1480" w:type="dxa"/>
            <w:vAlign w:val="bottom"/>
            <w:tcBorders>
              <w:top w:val="single" w:sz="8" w:color="DAE2ED"/>
            </w:tcBorders>
            <w:shd w:val="clear" w:color="auto" w:fill="EFF7FC"/>
          </w:tcPr>
          <w:p>
            <w:pPr>
              <w:spacing w:after="0"/>
              <w:rPr>
                <w:sz w:val="16"/>
                <w:szCs w:val="16"/>
                <w:color w:val="auto"/>
              </w:rPr>
            </w:pPr>
          </w:p>
        </w:tc>
        <w:tc>
          <w:tcPr>
            <w:tcW w:w="5100" w:type="dxa"/>
            <w:vAlign w:val="bottom"/>
            <w:tcBorders>
              <w:top w:val="single" w:sz="8" w:color="DAE2ED"/>
            </w:tcBorders>
            <w:shd w:val="clear" w:color="auto" w:fill="EFF7FC"/>
          </w:tcPr>
          <w:p>
            <w:pPr>
              <w:spacing w:after="0"/>
              <w:rPr>
                <w:sz w:val="16"/>
                <w:szCs w:val="16"/>
                <w:color w:val="auto"/>
              </w:rPr>
            </w:pPr>
          </w:p>
        </w:tc>
        <w:tc>
          <w:tcPr>
            <w:tcW w:w="240" w:type="dxa"/>
            <w:vAlign w:val="bottom"/>
            <w:tcBorders>
              <w:top w:val="single" w:sz="8" w:color="EFF7FC"/>
            </w:tcBorders>
            <w:shd w:val="clear" w:color="auto" w:fill="EFF7FC"/>
          </w:tcPr>
          <w:p>
            <w:pPr>
              <w:spacing w:after="0"/>
              <w:rPr>
                <w:sz w:val="16"/>
                <w:szCs w:val="16"/>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Purpose of Meeting</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As described in more detail in this proxy statement, the Annual Meeting is being held for the following purposes: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5"/>
                <w:szCs w:val="15"/>
                <w:b w:val="1"/>
                <w:bCs w:val="1"/>
                <w:color w:val="002552"/>
              </w:rPr>
              <w:t>Board of Directors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60" w:type="dxa"/>
            <w:vAlign w:val="bottom"/>
          </w:tcPr>
          <w:p>
            <w:pPr>
              <w:jc w:val="center"/>
              <w:spacing w:after="0"/>
              <w:rPr>
                <w:sz w:val="20"/>
                <w:szCs w:val="20"/>
                <w:color w:val="auto"/>
              </w:rPr>
            </w:pPr>
            <w:r>
              <w:rPr>
                <w:rFonts w:ascii="Arial" w:cs="Arial" w:eastAsia="Arial" w:hAnsi="Arial"/>
                <w:sz w:val="15"/>
                <w:szCs w:val="15"/>
                <w:b w:val="1"/>
                <w:bCs w:val="1"/>
                <w:color w:val="002552"/>
              </w:rPr>
              <w:t>Proposal</w:t>
            </w:r>
          </w:p>
        </w:tc>
        <w:tc>
          <w:tcPr>
            <w:tcW w:w="45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5"/>
                <w:szCs w:val="15"/>
                <w:b w:val="1"/>
                <w:bCs w:val="1"/>
                <w:color w:val="002552"/>
              </w:rPr>
              <w:t>Vote Recommendation</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002552"/>
              </w:rPr>
              <w:t>Page Reference</w:t>
            </w:r>
          </w:p>
        </w:tc>
        <w:tc>
          <w:tcPr>
            <w:tcW w:w="0" w:type="dxa"/>
            <w:vAlign w:val="bottom"/>
          </w:tcPr>
          <w:p>
            <w:pPr>
              <w:spacing w:after="0"/>
              <w:rPr>
                <w:sz w:val="1"/>
                <w:szCs w:val="1"/>
                <w:color w:val="auto"/>
              </w:rPr>
            </w:pPr>
          </w:p>
        </w:tc>
      </w:tr>
      <w:tr>
        <w:trPr>
          <w:trHeight w:val="21"/>
        </w:trPr>
        <w:tc>
          <w:tcPr>
            <w:tcW w:w="1060" w:type="dxa"/>
            <w:vAlign w:val="bottom"/>
            <w:tcBorders>
              <w:bottom w:val="single" w:sz="8" w:color="EBF7FC"/>
            </w:tcBorders>
          </w:tcPr>
          <w:p>
            <w:pPr>
              <w:spacing w:after="0" w:line="20" w:lineRule="exact"/>
              <w:rPr>
                <w:sz w:val="1"/>
                <w:szCs w:val="1"/>
                <w:color w:val="auto"/>
              </w:rPr>
            </w:pPr>
          </w:p>
        </w:tc>
        <w:tc>
          <w:tcPr>
            <w:tcW w:w="4500" w:type="dxa"/>
            <w:vAlign w:val="bottom"/>
            <w:tcBorders>
              <w:bottom w:val="single" w:sz="8" w:color="EBF7FC"/>
            </w:tcBorders>
          </w:tcPr>
          <w:p>
            <w:pPr>
              <w:spacing w:after="0" w:line="20" w:lineRule="exact"/>
              <w:rPr>
                <w:sz w:val="1"/>
                <w:szCs w:val="1"/>
                <w:color w:val="auto"/>
              </w:rPr>
            </w:pPr>
          </w:p>
        </w:tc>
        <w:tc>
          <w:tcPr>
            <w:tcW w:w="2140" w:type="dxa"/>
            <w:vAlign w:val="bottom"/>
            <w:tcBorders>
              <w:bottom w:val="single" w:sz="8" w:color="EBF7FC"/>
            </w:tcBorders>
          </w:tcPr>
          <w:p>
            <w:pPr>
              <w:spacing w:after="0" w:line="20" w:lineRule="exact"/>
              <w:rPr>
                <w:sz w:val="1"/>
                <w:szCs w:val="1"/>
                <w:color w:val="auto"/>
              </w:rPr>
            </w:pPr>
          </w:p>
        </w:tc>
        <w:tc>
          <w:tcPr>
            <w:tcW w:w="1560" w:type="dxa"/>
            <w:vAlign w:val="bottom"/>
            <w:tcBorders>
              <w:bottom w:val="single" w:sz="8" w:color="EBF7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1060" w:type="dxa"/>
            <w:vAlign w:val="bottom"/>
            <w:tcBorders>
              <w:right w:val="single" w:sz="8" w:color="EBF7FC"/>
            </w:tcBorders>
            <w:vMerge w:val="restart"/>
            <w:shd w:val="clear" w:color="auto" w:fill="F3F9FD"/>
          </w:tcPr>
          <w:p>
            <w:pPr>
              <w:jc w:val="center"/>
              <w:spacing w:after="0" w:line="504" w:lineRule="exact"/>
              <w:rPr>
                <w:sz w:val="20"/>
                <w:szCs w:val="20"/>
                <w:color w:val="auto"/>
              </w:rPr>
            </w:pPr>
            <w:r>
              <w:rPr>
                <w:rFonts w:ascii="Arial" w:cs="Arial" w:eastAsia="Arial" w:hAnsi="Arial"/>
                <w:sz w:val="51"/>
                <w:szCs w:val="51"/>
                <w:b w:val="1"/>
                <w:bCs w:val="1"/>
                <w:color w:val="002552"/>
              </w:rPr>
              <w:t>1.</w:t>
            </w:r>
          </w:p>
        </w:tc>
        <w:tc>
          <w:tcPr>
            <w:tcW w:w="4500" w:type="dxa"/>
            <w:vAlign w:val="bottom"/>
            <w:tcBorders>
              <w:right w:val="single" w:sz="8" w:color="EBF7FC"/>
            </w:tcBorders>
            <w:shd w:val="clear" w:color="auto" w:fill="F3F9FD"/>
          </w:tcPr>
          <w:p>
            <w:pPr>
              <w:ind w:left="60"/>
              <w:spacing w:after="0"/>
              <w:rPr>
                <w:sz w:val="20"/>
                <w:szCs w:val="20"/>
                <w:color w:val="auto"/>
              </w:rPr>
            </w:pPr>
            <w:r>
              <w:rPr>
                <w:rFonts w:ascii="Arial" w:cs="Arial" w:eastAsia="Arial" w:hAnsi="Arial"/>
                <w:sz w:val="15"/>
                <w:szCs w:val="15"/>
                <w:color w:val="002552"/>
              </w:rPr>
              <w:t>to elect three (3) Class II directors to the Board of Directors,</w:t>
            </w:r>
          </w:p>
        </w:tc>
        <w:tc>
          <w:tcPr>
            <w:tcW w:w="2140" w:type="dxa"/>
            <w:vAlign w:val="bottom"/>
            <w:tcBorders>
              <w:right w:val="single" w:sz="8" w:color="EBF7FC"/>
            </w:tcBorders>
            <w:vMerge w:val="restart"/>
            <w:shd w:val="clear" w:color="auto" w:fill="F3F9FD"/>
          </w:tcPr>
          <w:p>
            <w:pPr>
              <w:jc w:val="center"/>
              <w:spacing w:after="0"/>
              <w:rPr>
                <w:sz w:val="20"/>
                <w:szCs w:val="20"/>
                <w:color w:val="auto"/>
              </w:rPr>
            </w:pPr>
            <w:r>
              <w:rPr>
                <w:rFonts w:ascii="Arial" w:cs="Arial" w:eastAsia="Arial" w:hAnsi="Arial"/>
                <w:sz w:val="29"/>
                <w:szCs w:val="29"/>
                <w:b w:val="1"/>
                <w:bCs w:val="1"/>
                <w:color w:val="002552"/>
                <w:w w:val="97"/>
              </w:rPr>
              <w:t>FOR</w:t>
            </w:r>
          </w:p>
        </w:tc>
        <w:tc>
          <w:tcPr>
            <w:tcW w:w="1560" w:type="dxa"/>
            <w:vAlign w:val="bottom"/>
            <w:vMerge w:val="restart"/>
            <w:shd w:val="clear" w:color="auto" w:fill="F3F9FD"/>
          </w:tcPr>
          <w:p>
            <w:pPr>
              <w:jc w:val="center"/>
              <w:spacing w:after="0"/>
              <w:rPr>
                <w:sz w:val="20"/>
                <w:szCs w:val="20"/>
                <w:color w:val="auto"/>
              </w:rPr>
            </w:pPr>
            <w:r>
              <w:rPr>
                <w:rFonts w:ascii="Arial" w:cs="Arial" w:eastAsia="Arial" w:hAnsi="Arial"/>
                <w:sz w:val="14"/>
                <w:szCs w:val="14"/>
                <w:color w:val="002552"/>
                <w:w w:val="95"/>
              </w:rPr>
              <w:t>Page 24</w:t>
            </w:r>
          </w:p>
        </w:tc>
        <w:tc>
          <w:tcPr>
            <w:tcW w:w="0" w:type="dxa"/>
            <w:vAlign w:val="bottom"/>
          </w:tcPr>
          <w:p>
            <w:pPr>
              <w:spacing w:after="0"/>
              <w:rPr>
                <w:sz w:val="1"/>
                <w:szCs w:val="1"/>
                <w:color w:val="auto"/>
              </w:rPr>
            </w:pPr>
          </w:p>
        </w:tc>
      </w:tr>
      <w:tr>
        <w:trPr>
          <w:trHeight w:val="98"/>
        </w:trPr>
        <w:tc>
          <w:tcPr>
            <w:tcW w:w="1060" w:type="dxa"/>
            <w:vAlign w:val="bottom"/>
            <w:tcBorders>
              <w:right w:val="single" w:sz="8" w:color="EBF7FC"/>
            </w:tcBorders>
            <w:vMerge w:val="continue"/>
            <w:shd w:val="clear" w:color="auto" w:fill="F3F9FD"/>
          </w:tcPr>
          <w:p>
            <w:pPr>
              <w:spacing w:after="0"/>
              <w:rPr>
                <w:sz w:val="8"/>
                <w:szCs w:val="8"/>
                <w:color w:val="auto"/>
              </w:rPr>
            </w:pPr>
          </w:p>
        </w:tc>
        <w:tc>
          <w:tcPr>
            <w:tcW w:w="4500" w:type="dxa"/>
            <w:vAlign w:val="bottom"/>
            <w:tcBorders>
              <w:right w:val="single" w:sz="8" w:color="EBF7FC"/>
            </w:tcBorders>
            <w:vMerge w:val="restart"/>
            <w:shd w:val="clear" w:color="auto" w:fill="F3F9FD"/>
          </w:tcPr>
          <w:p>
            <w:pPr>
              <w:ind w:left="60"/>
              <w:spacing w:after="0"/>
              <w:rPr>
                <w:sz w:val="20"/>
                <w:szCs w:val="20"/>
                <w:color w:val="auto"/>
              </w:rPr>
            </w:pPr>
            <w:r>
              <w:rPr>
                <w:rFonts w:ascii="Arial" w:cs="Arial" w:eastAsia="Arial" w:hAnsi="Arial"/>
                <w:sz w:val="15"/>
                <w:szCs w:val="15"/>
                <w:color w:val="002552"/>
              </w:rPr>
              <w:t>each to serve for a three-year term (“Proposal 1”);</w:t>
            </w:r>
          </w:p>
        </w:tc>
        <w:tc>
          <w:tcPr>
            <w:tcW w:w="2140" w:type="dxa"/>
            <w:vAlign w:val="bottom"/>
            <w:tcBorders>
              <w:right w:val="single" w:sz="8" w:color="EBF7FC"/>
            </w:tcBorders>
            <w:vMerge w:val="continue"/>
            <w:shd w:val="clear" w:color="auto" w:fill="F3F9FD"/>
          </w:tcPr>
          <w:p>
            <w:pPr>
              <w:spacing w:after="0"/>
              <w:rPr>
                <w:sz w:val="8"/>
                <w:szCs w:val="8"/>
                <w:color w:val="auto"/>
              </w:rPr>
            </w:pPr>
          </w:p>
        </w:tc>
        <w:tc>
          <w:tcPr>
            <w:tcW w:w="1560" w:type="dxa"/>
            <w:vAlign w:val="bottom"/>
            <w:vMerge w:val="continue"/>
            <w:shd w:val="clear" w:color="auto" w:fill="F3F9FD"/>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tcBorders>
              <w:bottom w:val="single" w:sz="8" w:color="EBF7FC"/>
              <w:right w:val="single" w:sz="8" w:color="EBF7FC"/>
            </w:tcBorders>
            <w:vMerge w:val="continue"/>
            <w:shd w:val="clear" w:color="auto" w:fill="F3F9FD"/>
          </w:tcPr>
          <w:p>
            <w:pPr>
              <w:spacing w:after="0"/>
              <w:rPr>
                <w:sz w:val="13"/>
                <w:szCs w:val="13"/>
                <w:color w:val="auto"/>
              </w:rPr>
            </w:pPr>
          </w:p>
        </w:tc>
        <w:tc>
          <w:tcPr>
            <w:tcW w:w="4500" w:type="dxa"/>
            <w:vAlign w:val="bottom"/>
            <w:tcBorders>
              <w:bottom w:val="single" w:sz="8" w:color="EBF7FC"/>
              <w:right w:val="single" w:sz="8" w:color="EBF7FC"/>
            </w:tcBorders>
            <w:vMerge w:val="continue"/>
            <w:shd w:val="clear" w:color="auto" w:fill="F3F9FD"/>
          </w:tcPr>
          <w:p>
            <w:pPr>
              <w:spacing w:after="0"/>
              <w:rPr>
                <w:sz w:val="13"/>
                <w:szCs w:val="13"/>
                <w:color w:val="auto"/>
              </w:rPr>
            </w:pPr>
          </w:p>
        </w:tc>
        <w:tc>
          <w:tcPr>
            <w:tcW w:w="2140" w:type="dxa"/>
            <w:vAlign w:val="bottom"/>
            <w:tcBorders>
              <w:bottom w:val="single" w:sz="8" w:color="EBF7FC"/>
              <w:right w:val="single" w:sz="8" w:color="EBF7FC"/>
            </w:tcBorders>
            <w:vMerge w:val="continue"/>
            <w:shd w:val="clear" w:color="auto" w:fill="F3F9FD"/>
          </w:tcPr>
          <w:p>
            <w:pPr>
              <w:spacing w:after="0"/>
              <w:rPr>
                <w:sz w:val="13"/>
                <w:szCs w:val="13"/>
                <w:color w:val="auto"/>
              </w:rPr>
            </w:pPr>
          </w:p>
        </w:tc>
        <w:tc>
          <w:tcPr>
            <w:tcW w:w="1560" w:type="dxa"/>
            <w:vAlign w:val="bottom"/>
            <w:tcBorders>
              <w:bottom w:val="single" w:sz="8" w:color="EBF7FC"/>
            </w:tcBorders>
            <w:shd w:val="clear" w:color="auto" w:fill="F3F9FD"/>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60" w:type="dxa"/>
            <w:vAlign w:val="bottom"/>
            <w:tcBorders>
              <w:right w:val="single" w:sz="8" w:color="EBF7FC"/>
            </w:tcBorders>
            <w:vMerge w:val="restart"/>
          </w:tcPr>
          <w:p>
            <w:pPr>
              <w:jc w:val="center"/>
              <w:spacing w:after="0"/>
              <w:rPr>
                <w:sz w:val="20"/>
                <w:szCs w:val="20"/>
                <w:color w:val="auto"/>
              </w:rPr>
            </w:pPr>
            <w:r>
              <w:rPr>
                <w:rFonts w:ascii="Arial" w:cs="Arial" w:eastAsia="Arial" w:hAnsi="Arial"/>
                <w:sz w:val="51"/>
                <w:szCs w:val="51"/>
                <w:b w:val="1"/>
                <w:bCs w:val="1"/>
                <w:color w:val="002552"/>
              </w:rPr>
              <w:t>2.</w:t>
            </w:r>
          </w:p>
        </w:tc>
        <w:tc>
          <w:tcPr>
            <w:tcW w:w="4500" w:type="dxa"/>
            <w:vAlign w:val="bottom"/>
            <w:tcBorders>
              <w:right w:val="single" w:sz="8" w:color="EBF7FC"/>
            </w:tcBorders>
          </w:tcPr>
          <w:p>
            <w:pPr>
              <w:ind w:left="60"/>
              <w:spacing w:after="0"/>
              <w:rPr>
                <w:sz w:val="20"/>
                <w:szCs w:val="20"/>
                <w:color w:val="auto"/>
              </w:rPr>
            </w:pPr>
            <w:r>
              <w:rPr>
                <w:rFonts w:ascii="Arial" w:cs="Arial" w:eastAsia="Arial" w:hAnsi="Arial"/>
                <w:sz w:val="15"/>
                <w:szCs w:val="15"/>
                <w:color w:val="002552"/>
              </w:rPr>
              <w:t>to vote on an advisory resolution to approve the compensation</w:t>
            </w:r>
          </w:p>
        </w:tc>
        <w:tc>
          <w:tcPr>
            <w:tcW w:w="2140" w:type="dxa"/>
            <w:vAlign w:val="bottom"/>
            <w:tcBorders>
              <w:right w:val="single" w:sz="8" w:color="EBF7FC"/>
            </w:tcBorders>
            <w:vMerge w:val="restart"/>
          </w:tcPr>
          <w:p>
            <w:pPr>
              <w:jc w:val="center"/>
              <w:spacing w:after="0"/>
              <w:rPr>
                <w:sz w:val="20"/>
                <w:szCs w:val="20"/>
                <w:color w:val="auto"/>
              </w:rPr>
            </w:pPr>
            <w:r>
              <w:rPr>
                <w:rFonts w:ascii="Arial" w:cs="Arial" w:eastAsia="Arial" w:hAnsi="Arial"/>
                <w:sz w:val="29"/>
                <w:szCs w:val="29"/>
                <w:b w:val="1"/>
                <w:bCs w:val="1"/>
                <w:color w:val="002552"/>
                <w:w w:val="97"/>
              </w:rPr>
              <w:t>FOR</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060" w:type="dxa"/>
            <w:vAlign w:val="bottom"/>
            <w:tcBorders>
              <w:right w:val="single" w:sz="8" w:color="EBF7FC"/>
            </w:tcBorders>
            <w:vMerge w:val="continue"/>
          </w:tcPr>
          <w:p>
            <w:pPr>
              <w:spacing w:after="0"/>
              <w:rPr>
                <w:sz w:val="17"/>
                <w:szCs w:val="17"/>
                <w:color w:val="auto"/>
              </w:rPr>
            </w:pPr>
          </w:p>
        </w:tc>
        <w:tc>
          <w:tcPr>
            <w:tcW w:w="4500" w:type="dxa"/>
            <w:vAlign w:val="bottom"/>
            <w:tcBorders>
              <w:right w:val="single" w:sz="8" w:color="EBF7FC"/>
            </w:tcBorders>
          </w:tcPr>
          <w:p>
            <w:pPr>
              <w:ind w:left="60"/>
              <w:spacing w:after="0"/>
              <w:rPr>
                <w:sz w:val="20"/>
                <w:szCs w:val="20"/>
                <w:color w:val="auto"/>
              </w:rPr>
            </w:pPr>
            <w:r>
              <w:rPr>
                <w:rFonts w:ascii="Arial" w:cs="Arial" w:eastAsia="Arial" w:hAnsi="Arial"/>
                <w:sz w:val="15"/>
                <w:szCs w:val="15"/>
                <w:color w:val="002552"/>
              </w:rPr>
              <w:t>of the Named Executive Officers as disclosed in this proxy</w:t>
            </w:r>
          </w:p>
        </w:tc>
        <w:tc>
          <w:tcPr>
            <w:tcW w:w="2140" w:type="dxa"/>
            <w:vAlign w:val="bottom"/>
            <w:tcBorders>
              <w:right w:val="single" w:sz="8" w:color="EBF7FC"/>
            </w:tcBorders>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002552"/>
                <w:w w:val="95"/>
              </w:rPr>
              <w:t>Page 51</w:t>
            </w:r>
          </w:p>
        </w:tc>
        <w:tc>
          <w:tcPr>
            <w:tcW w:w="0" w:type="dxa"/>
            <w:vAlign w:val="bottom"/>
          </w:tcPr>
          <w:p>
            <w:pPr>
              <w:spacing w:after="0"/>
              <w:rPr>
                <w:sz w:val="1"/>
                <w:szCs w:val="1"/>
                <w:color w:val="auto"/>
              </w:rPr>
            </w:pPr>
          </w:p>
        </w:tc>
      </w:tr>
      <w:tr>
        <w:trPr>
          <w:trHeight w:val="253"/>
        </w:trPr>
        <w:tc>
          <w:tcPr>
            <w:tcW w:w="1060" w:type="dxa"/>
            <w:vAlign w:val="bottom"/>
            <w:tcBorders>
              <w:bottom w:val="single" w:sz="8" w:color="EBF7FC"/>
              <w:right w:val="single" w:sz="8" w:color="EBF7FC"/>
            </w:tcBorders>
            <w:vMerge w:val="continue"/>
          </w:tcPr>
          <w:p>
            <w:pPr>
              <w:spacing w:after="0"/>
              <w:rPr>
                <w:sz w:val="22"/>
                <w:szCs w:val="22"/>
                <w:color w:val="auto"/>
              </w:rPr>
            </w:pPr>
          </w:p>
        </w:tc>
        <w:tc>
          <w:tcPr>
            <w:tcW w:w="4500" w:type="dxa"/>
            <w:vAlign w:val="bottom"/>
            <w:tcBorders>
              <w:bottom w:val="single" w:sz="8" w:color="EBF7FC"/>
              <w:right w:val="single" w:sz="8" w:color="EBF7FC"/>
            </w:tcBorders>
          </w:tcPr>
          <w:p>
            <w:pPr>
              <w:ind w:left="60"/>
              <w:spacing w:after="0"/>
              <w:rPr>
                <w:sz w:val="20"/>
                <w:szCs w:val="20"/>
                <w:color w:val="auto"/>
              </w:rPr>
            </w:pPr>
            <w:r>
              <w:rPr>
                <w:rFonts w:ascii="Arial" w:cs="Arial" w:eastAsia="Arial" w:hAnsi="Arial"/>
                <w:sz w:val="15"/>
                <w:szCs w:val="15"/>
                <w:color w:val="002552"/>
              </w:rPr>
              <w:t>statement (“Proposal 2”);</w:t>
            </w:r>
          </w:p>
        </w:tc>
        <w:tc>
          <w:tcPr>
            <w:tcW w:w="2140" w:type="dxa"/>
            <w:vAlign w:val="bottom"/>
            <w:tcBorders>
              <w:bottom w:val="single" w:sz="8" w:color="EBF7FC"/>
              <w:right w:val="single" w:sz="8" w:color="EBF7FC"/>
            </w:tcBorders>
            <w:vMerge w:val="continue"/>
          </w:tcPr>
          <w:p>
            <w:pPr>
              <w:spacing w:after="0"/>
              <w:rPr>
                <w:sz w:val="22"/>
                <w:szCs w:val="22"/>
                <w:color w:val="auto"/>
              </w:rPr>
            </w:pPr>
          </w:p>
        </w:tc>
        <w:tc>
          <w:tcPr>
            <w:tcW w:w="1560" w:type="dxa"/>
            <w:vAlign w:val="bottom"/>
            <w:tcBorders>
              <w:bottom w:val="single" w:sz="8" w:color="EBF7FC"/>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060" w:type="dxa"/>
            <w:vAlign w:val="bottom"/>
            <w:tcBorders>
              <w:right w:val="single" w:sz="8" w:color="EBF7FC"/>
            </w:tcBorders>
            <w:vMerge w:val="restart"/>
            <w:shd w:val="clear" w:color="auto" w:fill="F3F9FD"/>
          </w:tcPr>
          <w:p>
            <w:pPr>
              <w:jc w:val="center"/>
              <w:spacing w:after="0"/>
              <w:rPr>
                <w:sz w:val="20"/>
                <w:szCs w:val="20"/>
                <w:color w:val="auto"/>
              </w:rPr>
            </w:pPr>
            <w:r>
              <w:rPr>
                <w:rFonts w:ascii="Arial" w:cs="Arial" w:eastAsia="Arial" w:hAnsi="Arial"/>
                <w:sz w:val="51"/>
                <w:szCs w:val="51"/>
                <w:b w:val="1"/>
                <w:bCs w:val="1"/>
                <w:color w:val="002552"/>
              </w:rPr>
              <w:t>3.</w:t>
            </w:r>
          </w:p>
        </w:tc>
        <w:tc>
          <w:tcPr>
            <w:tcW w:w="4500" w:type="dxa"/>
            <w:vAlign w:val="bottom"/>
            <w:tcBorders>
              <w:right w:val="single" w:sz="8" w:color="EBF7FC"/>
            </w:tcBorders>
            <w:shd w:val="clear" w:color="auto" w:fill="F3F9FD"/>
          </w:tcPr>
          <w:p>
            <w:pPr>
              <w:ind w:left="60"/>
              <w:spacing w:after="0"/>
              <w:rPr>
                <w:sz w:val="20"/>
                <w:szCs w:val="20"/>
                <w:color w:val="auto"/>
              </w:rPr>
            </w:pPr>
            <w:r>
              <w:rPr>
                <w:rFonts w:ascii="Arial" w:cs="Arial" w:eastAsia="Arial" w:hAnsi="Arial"/>
                <w:sz w:val="15"/>
                <w:szCs w:val="15"/>
                <w:color w:val="002552"/>
              </w:rPr>
              <w:t>to ratify the appointment of Deloitte &amp; Touche LLP to serve as</w:t>
            </w:r>
          </w:p>
        </w:tc>
        <w:tc>
          <w:tcPr>
            <w:tcW w:w="2140" w:type="dxa"/>
            <w:vAlign w:val="bottom"/>
            <w:tcBorders>
              <w:right w:val="single" w:sz="8" w:color="EBF7FC"/>
            </w:tcBorders>
            <w:shd w:val="clear" w:color="auto" w:fill="F3F9FD"/>
          </w:tcPr>
          <w:p>
            <w:pPr>
              <w:spacing w:after="0"/>
              <w:rPr>
                <w:sz w:val="21"/>
                <w:szCs w:val="21"/>
                <w:color w:val="auto"/>
              </w:rPr>
            </w:pPr>
          </w:p>
        </w:tc>
        <w:tc>
          <w:tcPr>
            <w:tcW w:w="1560" w:type="dxa"/>
            <w:vAlign w:val="bottom"/>
            <w:shd w:val="clear" w:color="auto" w:fill="F3F9FD"/>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060" w:type="dxa"/>
            <w:vAlign w:val="bottom"/>
            <w:tcBorders>
              <w:right w:val="single" w:sz="8" w:color="EBF7FC"/>
            </w:tcBorders>
            <w:vMerge w:val="continue"/>
            <w:shd w:val="clear" w:color="auto" w:fill="F3F9FD"/>
          </w:tcPr>
          <w:p>
            <w:pPr>
              <w:spacing w:after="0"/>
              <w:rPr>
                <w:sz w:val="17"/>
                <w:szCs w:val="17"/>
                <w:color w:val="auto"/>
              </w:rPr>
            </w:pPr>
          </w:p>
        </w:tc>
        <w:tc>
          <w:tcPr>
            <w:tcW w:w="4500" w:type="dxa"/>
            <w:vAlign w:val="bottom"/>
            <w:tcBorders>
              <w:right w:val="single" w:sz="8" w:color="EBF7FC"/>
            </w:tcBorders>
            <w:shd w:val="clear" w:color="auto" w:fill="F3F9FD"/>
          </w:tcPr>
          <w:p>
            <w:pPr>
              <w:ind w:left="60"/>
              <w:spacing w:after="0"/>
              <w:rPr>
                <w:sz w:val="20"/>
                <w:szCs w:val="20"/>
                <w:color w:val="auto"/>
              </w:rPr>
            </w:pPr>
            <w:r>
              <w:rPr>
                <w:rFonts w:ascii="Arial" w:cs="Arial" w:eastAsia="Arial" w:hAnsi="Arial"/>
                <w:sz w:val="15"/>
                <w:szCs w:val="15"/>
                <w:color w:val="002552"/>
              </w:rPr>
              <w:t>the independent registered public accounting firm for Limoneira</w:t>
            </w:r>
          </w:p>
        </w:tc>
        <w:tc>
          <w:tcPr>
            <w:tcW w:w="2140" w:type="dxa"/>
            <w:vAlign w:val="bottom"/>
            <w:tcBorders>
              <w:right w:val="single" w:sz="8" w:color="EBF7FC"/>
            </w:tcBorders>
            <w:vMerge w:val="restart"/>
            <w:shd w:val="clear" w:color="auto" w:fill="F3F9FD"/>
          </w:tcPr>
          <w:p>
            <w:pPr>
              <w:jc w:val="center"/>
              <w:spacing w:after="0"/>
              <w:rPr>
                <w:sz w:val="20"/>
                <w:szCs w:val="20"/>
                <w:color w:val="auto"/>
              </w:rPr>
            </w:pPr>
            <w:r>
              <w:rPr>
                <w:rFonts w:ascii="Arial" w:cs="Arial" w:eastAsia="Arial" w:hAnsi="Arial"/>
                <w:sz w:val="29"/>
                <w:szCs w:val="29"/>
                <w:b w:val="1"/>
                <w:bCs w:val="1"/>
                <w:color w:val="002552"/>
                <w:w w:val="97"/>
              </w:rPr>
              <w:t>FOR</w:t>
            </w:r>
          </w:p>
        </w:tc>
        <w:tc>
          <w:tcPr>
            <w:tcW w:w="1560" w:type="dxa"/>
            <w:vAlign w:val="bottom"/>
            <w:vMerge w:val="restart"/>
            <w:shd w:val="clear" w:color="auto" w:fill="F3F9FD"/>
          </w:tcPr>
          <w:p>
            <w:pPr>
              <w:jc w:val="center"/>
              <w:spacing w:after="0"/>
              <w:rPr>
                <w:sz w:val="20"/>
                <w:szCs w:val="20"/>
                <w:color w:val="auto"/>
              </w:rPr>
            </w:pPr>
            <w:r>
              <w:rPr>
                <w:rFonts w:ascii="Arial" w:cs="Arial" w:eastAsia="Arial" w:hAnsi="Arial"/>
                <w:sz w:val="14"/>
                <w:szCs w:val="14"/>
                <w:color w:val="002552"/>
                <w:w w:val="95"/>
              </w:rPr>
              <w:t>Page 52</w:t>
            </w:r>
          </w:p>
        </w:tc>
        <w:tc>
          <w:tcPr>
            <w:tcW w:w="0" w:type="dxa"/>
            <w:vAlign w:val="bottom"/>
          </w:tcPr>
          <w:p>
            <w:pPr>
              <w:spacing w:after="0"/>
              <w:rPr>
                <w:sz w:val="1"/>
                <w:szCs w:val="1"/>
                <w:color w:val="auto"/>
              </w:rPr>
            </w:pPr>
          </w:p>
        </w:tc>
      </w:tr>
      <w:tr>
        <w:trPr>
          <w:trHeight w:val="98"/>
        </w:trPr>
        <w:tc>
          <w:tcPr>
            <w:tcW w:w="1060" w:type="dxa"/>
            <w:vAlign w:val="bottom"/>
            <w:tcBorders>
              <w:right w:val="single" w:sz="8" w:color="EBF7FC"/>
            </w:tcBorders>
            <w:vMerge w:val="continue"/>
            <w:shd w:val="clear" w:color="auto" w:fill="F3F9FD"/>
          </w:tcPr>
          <w:p>
            <w:pPr>
              <w:spacing w:after="0"/>
              <w:rPr>
                <w:sz w:val="8"/>
                <w:szCs w:val="8"/>
                <w:color w:val="auto"/>
              </w:rPr>
            </w:pPr>
          </w:p>
        </w:tc>
        <w:tc>
          <w:tcPr>
            <w:tcW w:w="4500" w:type="dxa"/>
            <w:vAlign w:val="bottom"/>
            <w:tcBorders>
              <w:right w:val="single" w:sz="8" w:color="EBF7FC"/>
            </w:tcBorders>
            <w:vMerge w:val="restart"/>
            <w:shd w:val="clear" w:color="auto" w:fill="F3F9FD"/>
          </w:tcPr>
          <w:p>
            <w:pPr>
              <w:ind w:left="60"/>
              <w:spacing w:after="0"/>
              <w:rPr>
                <w:sz w:val="20"/>
                <w:szCs w:val="20"/>
                <w:color w:val="auto"/>
              </w:rPr>
            </w:pPr>
            <w:r>
              <w:rPr>
                <w:rFonts w:ascii="Arial" w:cs="Arial" w:eastAsia="Arial" w:hAnsi="Arial"/>
                <w:sz w:val="15"/>
                <w:szCs w:val="15"/>
                <w:color w:val="002552"/>
              </w:rPr>
              <w:t>Company for the fiscal year ending October 31, 2025 (“Proposal</w:t>
            </w:r>
          </w:p>
        </w:tc>
        <w:tc>
          <w:tcPr>
            <w:tcW w:w="2140" w:type="dxa"/>
            <w:vAlign w:val="bottom"/>
            <w:tcBorders>
              <w:right w:val="single" w:sz="8" w:color="EBF7FC"/>
            </w:tcBorders>
            <w:vMerge w:val="continue"/>
            <w:shd w:val="clear" w:color="auto" w:fill="F3F9FD"/>
          </w:tcPr>
          <w:p>
            <w:pPr>
              <w:spacing w:after="0"/>
              <w:rPr>
                <w:sz w:val="8"/>
                <w:szCs w:val="8"/>
                <w:color w:val="auto"/>
              </w:rPr>
            </w:pPr>
          </w:p>
        </w:tc>
        <w:tc>
          <w:tcPr>
            <w:tcW w:w="1560" w:type="dxa"/>
            <w:vAlign w:val="bottom"/>
            <w:vMerge w:val="continue"/>
            <w:shd w:val="clear" w:color="auto" w:fill="F3F9FD"/>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060" w:type="dxa"/>
            <w:vAlign w:val="bottom"/>
            <w:tcBorders>
              <w:right w:val="single" w:sz="8" w:color="EBF7FC"/>
            </w:tcBorders>
            <w:vMerge w:val="continue"/>
            <w:shd w:val="clear" w:color="auto" w:fill="F3F9FD"/>
          </w:tcPr>
          <w:p>
            <w:pPr>
              <w:spacing w:after="0"/>
              <w:rPr>
                <w:sz w:val="9"/>
                <w:szCs w:val="9"/>
                <w:color w:val="auto"/>
              </w:rPr>
            </w:pPr>
          </w:p>
        </w:tc>
        <w:tc>
          <w:tcPr>
            <w:tcW w:w="4500" w:type="dxa"/>
            <w:vAlign w:val="bottom"/>
            <w:tcBorders>
              <w:right w:val="single" w:sz="8" w:color="EBF7FC"/>
            </w:tcBorders>
            <w:vMerge w:val="continue"/>
            <w:shd w:val="clear" w:color="auto" w:fill="F3F9FD"/>
          </w:tcPr>
          <w:p>
            <w:pPr>
              <w:spacing w:after="0"/>
              <w:rPr>
                <w:sz w:val="9"/>
                <w:szCs w:val="9"/>
                <w:color w:val="auto"/>
              </w:rPr>
            </w:pPr>
          </w:p>
        </w:tc>
        <w:tc>
          <w:tcPr>
            <w:tcW w:w="2140" w:type="dxa"/>
            <w:vAlign w:val="bottom"/>
            <w:tcBorders>
              <w:right w:val="single" w:sz="8" w:color="EBF7FC"/>
            </w:tcBorders>
            <w:vMerge w:val="continue"/>
            <w:shd w:val="clear" w:color="auto" w:fill="F3F9FD"/>
          </w:tcPr>
          <w:p>
            <w:pPr>
              <w:spacing w:after="0"/>
              <w:rPr>
                <w:sz w:val="9"/>
                <w:szCs w:val="9"/>
                <w:color w:val="auto"/>
              </w:rPr>
            </w:pPr>
          </w:p>
        </w:tc>
        <w:tc>
          <w:tcPr>
            <w:tcW w:w="1560" w:type="dxa"/>
            <w:vAlign w:val="bottom"/>
            <w:shd w:val="clear" w:color="auto" w:fill="F3F9FD"/>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060" w:type="dxa"/>
            <w:vAlign w:val="bottom"/>
            <w:tcBorders>
              <w:bottom w:val="single" w:sz="8" w:color="F3F9FD"/>
              <w:right w:val="single" w:sz="8" w:color="EBF7FC"/>
            </w:tcBorders>
            <w:shd w:val="clear" w:color="auto" w:fill="F3F9FD"/>
          </w:tcPr>
          <w:p>
            <w:pPr>
              <w:spacing w:after="0"/>
              <w:rPr>
                <w:sz w:val="22"/>
                <w:szCs w:val="22"/>
                <w:color w:val="auto"/>
              </w:rPr>
            </w:pPr>
          </w:p>
        </w:tc>
        <w:tc>
          <w:tcPr>
            <w:tcW w:w="4500" w:type="dxa"/>
            <w:vAlign w:val="bottom"/>
            <w:tcBorders>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5"/>
                <w:szCs w:val="15"/>
                <w:color w:val="002552"/>
              </w:rPr>
              <w:t>3”); and</w:t>
            </w:r>
          </w:p>
        </w:tc>
        <w:tc>
          <w:tcPr>
            <w:tcW w:w="2140" w:type="dxa"/>
            <w:vAlign w:val="bottom"/>
            <w:tcBorders>
              <w:bottom w:val="single" w:sz="8" w:color="F3F9FD"/>
              <w:right w:val="single" w:sz="8" w:color="EBF7FC"/>
            </w:tcBorders>
            <w:shd w:val="clear" w:color="auto" w:fill="F3F9FD"/>
          </w:tcPr>
          <w:p>
            <w:pPr>
              <w:spacing w:after="0"/>
              <w:rPr>
                <w:sz w:val="22"/>
                <w:szCs w:val="22"/>
                <w:color w:val="auto"/>
              </w:rPr>
            </w:pPr>
          </w:p>
        </w:tc>
        <w:tc>
          <w:tcPr>
            <w:tcW w:w="1560" w:type="dxa"/>
            <w:vAlign w:val="bottom"/>
            <w:tcBorders>
              <w:bottom w:val="single" w:sz="8" w:color="F3F9FD"/>
            </w:tcBorders>
            <w:shd w:val="clear" w:color="auto" w:fill="F3F9FD"/>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060" w:type="dxa"/>
            <w:vAlign w:val="bottom"/>
            <w:tcBorders>
              <w:top w:val="single" w:sz="8" w:color="EBF7FC"/>
              <w:right w:val="single" w:sz="8" w:color="EBF7FC"/>
            </w:tcBorders>
            <w:vMerge w:val="restart"/>
          </w:tcPr>
          <w:p>
            <w:pPr>
              <w:jc w:val="center"/>
              <w:spacing w:after="0" w:line="504" w:lineRule="exact"/>
              <w:rPr>
                <w:sz w:val="20"/>
                <w:szCs w:val="20"/>
                <w:color w:val="auto"/>
              </w:rPr>
            </w:pPr>
            <w:r>
              <w:rPr>
                <w:rFonts w:ascii="Arial" w:cs="Arial" w:eastAsia="Arial" w:hAnsi="Arial"/>
                <w:sz w:val="51"/>
                <w:szCs w:val="51"/>
                <w:b w:val="1"/>
                <w:bCs w:val="1"/>
                <w:color w:val="002552"/>
              </w:rPr>
              <w:t>4.</w:t>
            </w:r>
          </w:p>
        </w:tc>
        <w:tc>
          <w:tcPr>
            <w:tcW w:w="4500" w:type="dxa"/>
            <w:vAlign w:val="bottom"/>
            <w:tcBorders>
              <w:top w:val="single" w:sz="8" w:color="EBF7FC"/>
              <w:right w:val="single" w:sz="8" w:color="EBF7FC"/>
            </w:tcBorders>
          </w:tcPr>
          <w:p>
            <w:pPr>
              <w:ind w:left="60"/>
              <w:spacing w:after="0"/>
              <w:rPr>
                <w:sz w:val="20"/>
                <w:szCs w:val="20"/>
                <w:color w:val="auto"/>
              </w:rPr>
            </w:pPr>
            <w:r>
              <w:rPr>
                <w:rFonts w:ascii="Arial" w:cs="Arial" w:eastAsia="Arial" w:hAnsi="Arial"/>
                <w:sz w:val="15"/>
                <w:szCs w:val="15"/>
                <w:color w:val="002552"/>
              </w:rPr>
              <w:t>to transact such other business as may properly come before</w:t>
            </w:r>
          </w:p>
        </w:tc>
        <w:tc>
          <w:tcPr>
            <w:tcW w:w="2140" w:type="dxa"/>
            <w:vAlign w:val="bottom"/>
            <w:tcBorders>
              <w:top w:val="single" w:sz="8" w:color="EBF7FC"/>
              <w:right w:val="single" w:sz="8" w:color="EBF7FC"/>
            </w:tcBorders>
          </w:tcPr>
          <w:p>
            <w:pPr>
              <w:spacing w:after="0"/>
              <w:rPr>
                <w:sz w:val="21"/>
                <w:szCs w:val="21"/>
                <w:color w:val="auto"/>
              </w:rPr>
            </w:pPr>
          </w:p>
        </w:tc>
        <w:tc>
          <w:tcPr>
            <w:tcW w:w="1560" w:type="dxa"/>
            <w:vAlign w:val="bottom"/>
            <w:tcBorders>
              <w:top w:val="single" w:sz="8" w:color="EBF7FC"/>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060" w:type="dxa"/>
            <w:vAlign w:val="bottom"/>
            <w:tcBorders>
              <w:bottom w:val="single" w:sz="8" w:color="EBF7FC"/>
              <w:right w:val="single" w:sz="8" w:color="EBF7FC"/>
            </w:tcBorders>
            <w:vMerge w:val="continue"/>
          </w:tcPr>
          <w:p>
            <w:pPr>
              <w:spacing w:after="0"/>
              <w:rPr>
                <w:sz w:val="22"/>
                <w:szCs w:val="22"/>
                <w:color w:val="auto"/>
              </w:rPr>
            </w:pPr>
          </w:p>
        </w:tc>
        <w:tc>
          <w:tcPr>
            <w:tcW w:w="4500" w:type="dxa"/>
            <w:vAlign w:val="bottom"/>
            <w:tcBorders>
              <w:bottom w:val="single" w:sz="8" w:color="EBF7FC"/>
              <w:right w:val="single" w:sz="8" w:color="EBF7FC"/>
            </w:tcBorders>
          </w:tcPr>
          <w:p>
            <w:pPr>
              <w:ind w:left="60"/>
              <w:spacing w:after="0"/>
              <w:rPr>
                <w:sz w:val="20"/>
                <w:szCs w:val="20"/>
                <w:color w:val="auto"/>
              </w:rPr>
            </w:pPr>
            <w:r>
              <w:rPr>
                <w:rFonts w:ascii="Arial" w:cs="Arial" w:eastAsia="Arial" w:hAnsi="Arial"/>
                <w:sz w:val="15"/>
                <w:szCs w:val="15"/>
                <w:color w:val="002552"/>
              </w:rPr>
              <w:t>the meeting or any adjournment or postponement thereof.</w:t>
            </w:r>
          </w:p>
        </w:tc>
        <w:tc>
          <w:tcPr>
            <w:tcW w:w="2140" w:type="dxa"/>
            <w:vAlign w:val="bottom"/>
            <w:tcBorders>
              <w:bottom w:val="single" w:sz="8" w:color="EBF7FC"/>
              <w:right w:val="single" w:sz="8" w:color="EBF7FC"/>
            </w:tcBorders>
          </w:tcPr>
          <w:p>
            <w:pPr>
              <w:spacing w:after="0"/>
              <w:rPr>
                <w:sz w:val="22"/>
                <w:szCs w:val="22"/>
                <w:color w:val="auto"/>
              </w:rPr>
            </w:pPr>
          </w:p>
        </w:tc>
        <w:tc>
          <w:tcPr>
            <w:tcW w:w="1560" w:type="dxa"/>
            <w:vAlign w:val="bottom"/>
            <w:tcBorders>
              <w:bottom w:val="single" w:sz="8" w:color="EBF7F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40"/>
          </w:cols>
          <w:pgMar w:left="1300" w:top="107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072" w:right="1259" w:bottom="1440" w:gutter="0" w:footer="0" w:header="0"/>
          <w:type w:val="continuous"/>
        </w:sectPr>
      </w:pPr>
    </w:p>
    <w:bookmarkStart w:id="8" w:name="page9"/>
    <w:bookmarkEnd w:id="8"/>
    <w:p>
      <w:pPr>
        <w:ind w:left="40" w:right="2940"/>
        <w:spacing w:after="0" w:line="278"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Questions and Answers About Attending and Voting at the Annual Meeting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Computershare Trust Company, N.A. (“Computershare”) is our inspector of election. As part of its responsibilities, Computershare is required to independently verify that you are a stockholder of the Company eligible to participate in the Annual Meeting and to determine whether you may vote at the Annual Meeting. Therefore, it is very important that you follow the instructions below to participate in the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Where and when will the meeting be held?</w:t>
      </w:r>
    </w:p>
    <w:p>
      <w:pPr>
        <w:spacing w:after="0" w:line="47" w:lineRule="exact"/>
        <w:rPr>
          <w:sz w:val="20"/>
          <w:szCs w:val="20"/>
          <w:color w:val="auto"/>
        </w:rPr>
      </w:pPr>
    </w:p>
    <w:p>
      <w:pPr>
        <w:ind w:right="440"/>
        <w:spacing w:after="0" w:line="324" w:lineRule="auto"/>
        <w:rPr>
          <w:sz w:val="20"/>
          <w:szCs w:val="20"/>
          <w:color w:val="auto"/>
        </w:rPr>
      </w:pPr>
      <w:r>
        <w:rPr>
          <w:rFonts w:ascii="Arial" w:cs="Arial" w:eastAsia="Arial" w:hAnsi="Arial"/>
          <w:sz w:val="15"/>
          <w:szCs w:val="15"/>
          <w:color w:val="auto"/>
        </w:rPr>
        <w:t>The Annual Meeting will be held on Wednesday, April 9, 2025, and will begin at 10:00 a.m., Pacific Time, at the Museum of Ventura County Agriculture Museum, 926 Railroad Avenue, Santa Paula, CA 93060.</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Who is entitled to vote at the Annual Meeting?</w:t>
      </w:r>
    </w:p>
    <w:p>
      <w:pPr>
        <w:spacing w:after="0" w:line="4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Only stockholders of record of our common stock, par value $0.01 (the “Common Stock”), Series B Convertible Preferred Stock and Series B-2 Convertible Preferred Stock (collectively, the Voting Stock”) at the close of business on February 12, 2025 (the “Record Date”), are entitled to vote at the Annual Meeting. At the close of business on the Record Date, we had 18,045,169 shares of Common Stock outstanding and entitled to vote, 14,790 shares of Series B Convertible Preferred Stock outstanding and entitled to vote and 9,300 shares of Series B-2 Convertible Preferred Stock outstanding and entitled to vote. Holders of our Common Stock and Series B-2 Convertible Preferred Stock are entitled to one (1) vote per share while holders of our Series B Convertible Preferred Stock are entitled to ten (10) votes per share.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What is the purpose of the Annual Meeting?</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At the Annual Meeting, stockholders will consider and vote on the following matters:</w:t>
      </w:r>
    </w:p>
    <w:p>
      <w:pPr>
        <w:spacing w:after="0" w:line="133" w:lineRule="exact"/>
        <w:rPr>
          <w:sz w:val="20"/>
          <w:szCs w:val="20"/>
          <w:color w:val="auto"/>
        </w:rPr>
      </w:pPr>
    </w:p>
    <w:p>
      <w:pPr>
        <w:ind w:right="80" w:firstLine="5"/>
        <w:spacing w:after="0" w:line="327" w:lineRule="auto"/>
        <w:tabs>
          <w:tab w:leader="none" w:pos="171"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Proposal 1</w:t>
      </w:r>
      <w:r>
        <w:rPr>
          <w:rFonts w:ascii="Arial" w:cs="Arial" w:eastAsia="Arial" w:hAnsi="Arial"/>
          <w:sz w:val="15"/>
          <w:szCs w:val="15"/>
          <w:color w:val="auto"/>
        </w:rPr>
        <w:t>: To elect three (3) Class II directors to the Board of Directors, each to serve for a three-year term. Below are the nominees</w:t>
      </w:r>
      <w:r>
        <w:rPr>
          <w:rFonts w:ascii="Arial" w:cs="Arial" w:eastAsia="Arial" w:hAnsi="Arial"/>
          <w:sz w:val="15"/>
          <w:szCs w:val="15"/>
          <w:b w:val="1"/>
          <w:bCs w:val="1"/>
          <w:color w:val="auto"/>
        </w:rPr>
        <w:t xml:space="preserve"> </w:t>
      </w:r>
      <w:r>
        <w:rPr>
          <w:rFonts w:ascii="Arial" w:cs="Arial" w:eastAsia="Arial" w:hAnsi="Arial"/>
          <w:sz w:val="15"/>
          <w:szCs w:val="15"/>
          <w:color w:val="auto"/>
        </w:rPr>
        <w:t>for election by stockholders at the 2025 Annual Meeting, all of whom are current directors: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Director</w:t>
            </w:r>
          </w:p>
        </w:tc>
        <w:tc>
          <w:tcPr>
            <w:tcW w:w="2300" w:type="dxa"/>
            <w:vAlign w:val="bottom"/>
            <w:tcBorders>
              <w:bottom w:val="single" w:sz="8" w:color="E5E9ED"/>
              <w:right w:val="single" w:sz="8" w:color="E5E9ED"/>
            </w:tcBorders>
            <w:shd w:val="clear" w:color="auto" w:fill="E5E9ED"/>
          </w:tcPr>
          <w:p>
            <w:pPr>
              <w:jc w:val="right"/>
              <w:ind w:right="972"/>
              <w:spacing w:after="0"/>
              <w:rPr>
                <w:sz w:val="20"/>
                <w:szCs w:val="20"/>
                <w:color w:val="auto"/>
              </w:rPr>
            </w:pPr>
            <w:r>
              <w:rPr>
                <w:rFonts w:ascii="Arial" w:cs="Arial" w:eastAsia="Arial" w:hAnsi="Arial"/>
                <w:sz w:val="14"/>
                <w:szCs w:val="14"/>
                <w:b w:val="1"/>
                <w:bCs w:val="1"/>
                <w:color w:val="auto"/>
              </w:rPr>
              <w:t>Age</w:t>
            </w:r>
          </w:p>
        </w:tc>
        <w:tc>
          <w:tcPr>
            <w:tcW w:w="2300" w:type="dxa"/>
            <w:vAlign w:val="bottom"/>
            <w:tcBorders>
              <w:bottom w:val="single" w:sz="8" w:color="E5E9ED"/>
              <w:right w:val="single" w:sz="8" w:color="E5E9ED"/>
            </w:tcBorders>
            <w:shd w:val="clear" w:color="auto" w:fill="E5E9ED"/>
          </w:tcPr>
          <w:p>
            <w:pPr>
              <w:jc w:val="right"/>
              <w:ind w:right="652"/>
              <w:spacing w:after="0"/>
              <w:rPr>
                <w:sz w:val="20"/>
                <w:szCs w:val="20"/>
                <w:color w:val="auto"/>
              </w:rPr>
            </w:pPr>
            <w:r>
              <w:rPr>
                <w:rFonts w:ascii="Arial" w:cs="Arial" w:eastAsia="Arial" w:hAnsi="Arial"/>
                <w:sz w:val="14"/>
                <w:szCs w:val="14"/>
                <w:b w:val="1"/>
                <w:bCs w:val="1"/>
                <w:color w:val="auto"/>
              </w:rPr>
              <w:t>Serving Since</w:t>
            </w:r>
          </w:p>
        </w:tc>
        <w:tc>
          <w:tcPr>
            <w:tcW w:w="2280" w:type="dxa"/>
            <w:vAlign w:val="bottom"/>
            <w:tcBorders>
              <w:bottom w:val="single" w:sz="8" w:color="E5E9ED"/>
            </w:tcBorders>
            <w:shd w:val="clear" w:color="auto" w:fill="E5E9ED"/>
          </w:tcPr>
          <w:p>
            <w:pPr>
              <w:ind w:left="720"/>
              <w:spacing w:after="0"/>
              <w:rPr>
                <w:sz w:val="20"/>
                <w:szCs w:val="20"/>
                <w:color w:val="auto"/>
              </w:rPr>
            </w:pPr>
            <w:r>
              <w:rPr>
                <w:rFonts w:ascii="Arial" w:cs="Arial" w:eastAsia="Arial" w:hAnsi="Arial"/>
                <w:sz w:val="14"/>
                <w:szCs w:val="14"/>
                <w:b w:val="1"/>
                <w:bCs w:val="1"/>
                <w:color w:val="auto"/>
              </w:rPr>
              <w:t>Independent</w:t>
            </w:r>
          </w:p>
        </w:tc>
        <w:tc>
          <w:tcPr>
            <w:tcW w:w="20" w:type="dxa"/>
            <w:vAlign w:val="bottom"/>
          </w:tcPr>
          <w:p>
            <w:pPr>
              <w:spacing w:after="0"/>
              <w:rPr>
                <w:sz w:val="22"/>
                <w:szCs w:val="22"/>
                <w:color w:val="auto"/>
              </w:rPr>
            </w:pPr>
          </w:p>
        </w:tc>
      </w:tr>
      <w:tr>
        <w:trPr>
          <w:trHeight w:val="229"/>
        </w:trPr>
        <w:tc>
          <w:tcPr>
            <w:tcW w:w="240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Barbara Carbone</w:t>
            </w:r>
          </w:p>
        </w:tc>
        <w:tc>
          <w:tcPr>
            <w:tcW w:w="2300" w:type="dxa"/>
            <w:vAlign w:val="bottom"/>
            <w:tcBorders>
              <w:top w:val="single" w:sz="8" w:color="EBF7FC"/>
              <w:right w:val="single" w:sz="8" w:color="EBF7FC"/>
            </w:tcBorders>
          </w:tcPr>
          <w:p>
            <w:pPr>
              <w:jc w:val="right"/>
              <w:ind w:right="1052"/>
              <w:spacing w:after="0"/>
              <w:rPr>
                <w:sz w:val="20"/>
                <w:szCs w:val="20"/>
                <w:color w:val="auto"/>
              </w:rPr>
            </w:pPr>
            <w:r>
              <w:rPr>
                <w:rFonts w:ascii="Arial" w:cs="Arial" w:eastAsia="Arial" w:hAnsi="Arial"/>
                <w:sz w:val="14"/>
                <w:szCs w:val="14"/>
                <w:color w:val="auto"/>
              </w:rPr>
              <w:t>66</w:t>
            </w:r>
          </w:p>
        </w:tc>
        <w:tc>
          <w:tcPr>
            <w:tcW w:w="2300" w:type="dxa"/>
            <w:vAlign w:val="bottom"/>
            <w:tcBorders>
              <w:top w:val="single" w:sz="8" w:color="EBF7FC"/>
              <w:right w:val="single" w:sz="8" w:color="EBF7FC"/>
            </w:tcBorders>
          </w:tcPr>
          <w:p>
            <w:pPr>
              <w:jc w:val="right"/>
              <w:ind w:right="972"/>
              <w:spacing w:after="0"/>
              <w:rPr>
                <w:sz w:val="20"/>
                <w:szCs w:val="20"/>
                <w:color w:val="auto"/>
              </w:rPr>
            </w:pPr>
            <w:r>
              <w:rPr>
                <w:rFonts w:ascii="Arial" w:cs="Arial" w:eastAsia="Arial" w:hAnsi="Arial"/>
                <w:sz w:val="14"/>
                <w:szCs w:val="14"/>
                <w:color w:val="auto"/>
              </w:rPr>
              <w:t>2023</w:t>
            </w:r>
          </w:p>
        </w:tc>
        <w:tc>
          <w:tcPr>
            <w:tcW w:w="2280" w:type="dxa"/>
            <w:vAlign w:val="bottom"/>
            <w:tcBorders>
              <w:top w:val="single" w:sz="8" w:color="EBF7FC"/>
            </w:tcBorders>
          </w:tcPr>
          <w:p>
            <w:pPr>
              <w:ind w:left="1000"/>
              <w:spacing w:after="0"/>
              <w:rPr>
                <w:sz w:val="20"/>
                <w:szCs w:val="20"/>
                <w:color w:val="auto"/>
              </w:rPr>
            </w:pPr>
            <w:r>
              <w:rPr>
                <w:rFonts w:ascii="Arial" w:cs="Arial" w:eastAsia="Arial" w:hAnsi="Arial"/>
                <w:sz w:val="14"/>
                <w:szCs w:val="14"/>
                <w:color w:val="auto"/>
              </w:rPr>
              <w:t>Yes</w:t>
            </w:r>
          </w:p>
        </w:tc>
        <w:tc>
          <w:tcPr>
            <w:tcW w:w="20" w:type="dxa"/>
            <w:vAlign w:val="bottom"/>
            <w:tcBorders>
              <w:top w:val="single" w:sz="8" w:color="EBF7FC"/>
            </w:tcBorders>
          </w:tcPr>
          <w:p>
            <w:pPr>
              <w:spacing w:after="0"/>
              <w:rPr>
                <w:sz w:val="19"/>
                <w:szCs w:val="19"/>
                <w:color w:val="auto"/>
              </w:rPr>
            </w:pPr>
          </w:p>
        </w:tc>
      </w:tr>
      <w:tr>
        <w:trPr>
          <w:trHeight w:val="46"/>
        </w:trPr>
        <w:tc>
          <w:tcPr>
            <w:tcW w:w="2400" w:type="dxa"/>
            <w:vAlign w:val="bottom"/>
            <w:tcBorders>
              <w:bottom w:val="single" w:sz="8" w:color="EBF7FC"/>
              <w:right w:val="single" w:sz="8" w:color="EBF7FC"/>
            </w:tcBorders>
          </w:tcPr>
          <w:p>
            <w:pPr>
              <w:spacing w:after="0"/>
              <w:rPr>
                <w:sz w:val="3"/>
                <w:szCs w:val="3"/>
                <w:color w:val="auto"/>
              </w:rPr>
            </w:pPr>
          </w:p>
        </w:tc>
        <w:tc>
          <w:tcPr>
            <w:tcW w:w="2300" w:type="dxa"/>
            <w:vAlign w:val="bottom"/>
            <w:tcBorders>
              <w:bottom w:val="single" w:sz="8" w:color="EBF7FC"/>
              <w:right w:val="single" w:sz="8" w:color="EBF7FC"/>
            </w:tcBorders>
          </w:tcPr>
          <w:p>
            <w:pPr>
              <w:spacing w:after="0"/>
              <w:rPr>
                <w:sz w:val="3"/>
                <w:szCs w:val="3"/>
                <w:color w:val="auto"/>
              </w:rPr>
            </w:pPr>
          </w:p>
        </w:tc>
        <w:tc>
          <w:tcPr>
            <w:tcW w:w="2300" w:type="dxa"/>
            <w:vAlign w:val="bottom"/>
            <w:tcBorders>
              <w:bottom w:val="single" w:sz="8" w:color="EBF7FC"/>
              <w:right w:val="single" w:sz="8" w:color="EBF7FC"/>
            </w:tcBorders>
          </w:tcPr>
          <w:p>
            <w:pPr>
              <w:spacing w:after="0"/>
              <w:rPr>
                <w:sz w:val="3"/>
                <w:szCs w:val="3"/>
                <w:color w:val="auto"/>
              </w:rPr>
            </w:pPr>
          </w:p>
        </w:tc>
        <w:tc>
          <w:tcPr>
            <w:tcW w:w="2280" w:type="dxa"/>
            <w:vAlign w:val="bottom"/>
            <w:tcBorders>
              <w:bottom w:val="single" w:sz="8" w:color="EBF7FC"/>
            </w:tcBorders>
          </w:tcPr>
          <w:p>
            <w:pPr>
              <w:spacing w:after="0"/>
              <w:rPr>
                <w:sz w:val="3"/>
                <w:szCs w:val="3"/>
                <w:color w:val="auto"/>
              </w:rPr>
            </w:pPr>
          </w:p>
        </w:tc>
        <w:tc>
          <w:tcPr>
            <w:tcW w:w="20" w:type="dxa"/>
            <w:vAlign w:val="bottom"/>
          </w:tcPr>
          <w:p>
            <w:pPr>
              <w:spacing w:after="0"/>
              <w:rPr>
                <w:sz w:val="3"/>
                <w:szCs w:val="3"/>
                <w:color w:val="auto"/>
              </w:rPr>
            </w:pPr>
          </w:p>
        </w:tc>
      </w:tr>
      <w:tr>
        <w:trPr>
          <w:trHeight w:val="279"/>
        </w:trPr>
        <w:tc>
          <w:tcPr>
            <w:tcW w:w="240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Gordon E. Kimball</w:t>
            </w:r>
          </w:p>
        </w:tc>
        <w:tc>
          <w:tcPr>
            <w:tcW w:w="2300" w:type="dxa"/>
            <w:vAlign w:val="bottom"/>
            <w:tcBorders>
              <w:bottom w:val="single" w:sz="8" w:color="F3F9FD"/>
              <w:right w:val="single" w:sz="8" w:color="EBF7FC"/>
            </w:tcBorders>
            <w:shd w:val="clear" w:color="auto" w:fill="F3F9FD"/>
          </w:tcPr>
          <w:p>
            <w:pPr>
              <w:jc w:val="right"/>
              <w:ind w:right="1052"/>
              <w:spacing w:after="0"/>
              <w:rPr>
                <w:sz w:val="20"/>
                <w:szCs w:val="20"/>
                <w:color w:val="auto"/>
              </w:rPr>
            </w:pPr>
            <w:r>
              <w:rPr>
                <w:rFonts w:ascii="Arial" w:cs="Arial" w:eastAsia="Arial" w:hAnsi="Arial"/>
                <w:sz w:val="14"/>
                <w:szCs w:val="14"/>
                <w:color w:val="auto"/>
              </w:rPr>
              <w:t>72</w:t>
            </w:r>
          </w:p>
        </w:tc>
        <w:tc>
          <w:tcPr>
            <w:tcW w:w="2300" w:type="dxa"/>
            <w:vAlign w:val="bottom"/>
            <w:tcBorders>
              <w:bottom w:val="single" w:sz="8" w:color="F3F9FD"/>
              <w:right w:val="single" w:sz="8" w:color="EBF7FC"/>
            </w:tcBorders>
            <w:shd w:val="clear" w:color="auto" w:fill="F3F9FD"/>
          </w:tcPr>
          <w:p>
            <w:pPr>
              <w:jc w:val="right"/>
              <w:ind w:right="972"/>
              <w:spacing w:after="0"/>
              <w:rPr>
                <w:sz w:val="20"/>
                <w:szCs w:val="20"/>
                <w:color w:val="auto"/>
              </w:rPr>
            </w:pPr>
            <w:r>
              <w:rPr>
                <w:rFonts w:ascii="Arial" w:cs="Arial" w:eastAsia="Arial" w:hAnsi="Arial"/>
                <w:sz w:val="14"/>
                <w:szCs w:val="14"/>
                <w:color w:val="auto"/>
              </w:rPr>
              <w:t>1995</w:t>
            </w:r>
          </w:p>
        </w:tc>
        <w:tc>
          <w:tcPr>
            <w:tcW w:w="2280" w:type="dxa"/>
            <w:vAlign w:val="bottom"/>
            <w:tcBorders>
              <w:bottom w:val="single" w:sz="8" w:color="F3F9FD"/>
            </w:tcBorders>
            <w:shd w:val="clear" w:color="auto" w:fill="F3F9FD"/>
          </w:tcPr>
          <w:p>
            <w:pPr>
              <w:ind w:left="1000"/>
              <w:spacing w:after="0"/>
              <w:rPr>
                <w:sz w:val="20"/>
                <w:szCs w:val="20"/>
                <w:color w:val="auto"/>
              </w:rPr>
            </w:pPr>
            <w:r>
              <w:rPr>
                <w:rFonts w:ascii="Arial" w:cs="Arial" w:eastAsia="Arial" w:hAnsi="Arial"/>
                <w:sz w:val="14"/>
                <w:szCs w:val="14"/>
                <w:color w:val="auto"/>
              </w:rPr>
              <w:t>Yes</w:t>
            </w:r>
          </w:p>
        </w:tc>
        <w:tc>
          <w:tcPr>
            <w:tcW w:w="20" w:type="dxa"/>
            <w:vAlign w:val="bottom"/>
          </w:tcPr>
          <w:p>
            <w:pPr>
              <w:spacing w:after="0"/>
              <w:rPr>
                <w:sz w:val="23"/>
                <w:szCs w:val="23"/>
                <w:color w:val="auto"/>
              </w:rPr>
            </w:pPr>
          </w:p>
        </w:tc>
      </w:tr>
      <w:tr>
        <w:trPr>
          <w:trHeight w:val="229"/>
        </w:trPr>
        <w:tc>
          <w:tcPr>
            <w:tcW w:w="240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Scott S. Slater</w:t>
            </w:r>
          </w:p>
        </w:tc>
        <w:tc>
          <w:tcPr>
            <w:tcW w:w="2300" w:type="dxa"/>
            <w:vAlign w:val="bottom"/>
            <w:tcBorders>
              <w:top w:val="single" w:sz="8" w:color="EBF7FC"/>
              <w:right w:val="single" w:sz="8" w:color="EBF7FC"/>
            </w:tcBorders>
          </w:tcPr>
          <w:p>
            <w:pPr>
              <w:jc w:val="right"/>
              <w:ind w:right="1052"/>
              <w:spacing w:after="0"/>
              <w:rPr>
                <w:sz w:val="20"/>
                <w:szCs w:val="20"/>
                <w:color w:val="auto"/>
              </w:rPr>
            </w:pPr>
            <w:r>
              <w:rPr>
                <w:rFonts w:ascii="Arial" w:cs="Arial" w:eastAsia="Arial" w:hAnsi="Arial"/>
                <w:sz w:val="14"/>
                <w:szCs w:val="14"/>
                <w:color w:val="auto"/>
              </w:rPr>
              <w:t>67</w:t>
            </w:r>
          </w:p>
        </w:tc>
        <w:tc>
          <w:tcPr>
            <w:tcW w:w="2300" w:type="dxa"/>
            <w:vAlign w:val="bottom"/>
            <w:tcBorders>
              <w:top w:val="single" w:sz="8" w:color="EBF7FC"/>
              <w:right w:val="single" w:sz="8" w:color="EBF7FC"/>
            </w:tcBorders>
          </w:tcPr>
          <w:p>
            <w:pPr>
              <w:jc w:val="right"/>
              <w:ind w:right="972"/>
              <w:spacing w:after="0"/>
              <w:rPr>
                <w:sz w:val="20"/>
                <w:szCs w:val="20"/>
                <w:color w:val="auto"/>
              </w:rPr>
            </w:pPr>
            <w:r>
              <w:rPr>
                <w:rFonts w:ascii="Arial" w:cs="Arial" w:eastAsia="Arial" w:hAnsi="Arial"/>
                <w:sz w:val="14"/>
                <w:szCs w:val="14"/>
                <w:color w:val="auto"/>
              </w:rPr>
              <w:t>2012</w:t>
            </w:r>
          </w:p>
        </w:tc>
        <w:tc>
          <w:tcPr>
            <w:tcW w:w="2280" w:type="dxa"/>
            <w:vAlign w:val="bottom"/>
            <w:tcBorders>
              <w:top w:val="single" w:sz="8" w:color="EBF7FC"/>
            </w:tcBorders>
          </w:tcPr>
          <w:p>
            <w:pPr>
              <w:ind w:left="1000"/>
              <w:spacing w:after="0"/>
              <w:rPr>
                <w:sz w:val="20"/>
                <w:szCs w:val="20"/>
                <w:color w:val="auto"/>
              </w:rPr>
            </w:pPr>
            <w:r>
              <w:rPr>
                <w:rFonts w:ascii="Arial" w:cs="Arial" w:eastAsia="Arial" w:hAnsi="Arial"/>
                <w:sz w:val="14"/>
                <w:szCs w:val="14"/>
                <w:color w:val="auto"/>
              </w:rPr>
              <w:t>Yes</w:t>
            </w:r>
          </w:p>
        </w:tc>
        <w:tc>
          <w:tcPr>
            <w:tcW w:w="20" w:type="dxa"/>
            <w:vAlign w:val="bottom"/>
          </w:tcPr>
          <w:p>
            <w:pPr>
              <w:spacing w:after="0"/>
              <w:rPr>
                <w:sz w:val="19"/>
                <w:szCs w:val="19"/>
                <w:color w:val="auto"/>
              </w:rPr>
            </w:pPr>
          </w:p>
        </w:tc>
      </w:tr>
      <w:tr>
        <w:trPr>
          <w:trHeight w:val="46"/>
        </w:trPr>
        <w:tc>
          <w:tcPr>
            <w:tcW w:w="2400" w:type="dxa"/>
            <w:vAlign w:val="bottom"/>
            <w:tcBorders>
              <w:bottom w:val="single" w:sz="8" w:color="EBF7FC"/>
              <w:right w:val="single" w:sz="8" w:color="EBF7FC"/>
            </w:tcBorders>
          </w:tcPr>
          <w:p>
            <w:pPr>
              <w:spacing w:after="0"/>
              <w:rPr>
                <w:sz w:val="3"/>
                <w:szCs w:val="3"/>
                <w:color w:val="auto"/>
              </w:rPr>
            </w:pPr>
          </w:p>
        </w:tc>
        <w:tc>
          <w:tcPr>
            <w:tcW w:w="2300" w:type="dxa"/>
            <w:vAlign w:val="bottom"/>
            <w:tcBorders>
              <w:bottom w:val="single" w:sz="8" w:color="EBF7FC"/>
              <w:right w:val="single" w:sz="8" w:color="EBF7FC"/>
            </w:tcBorders>
          </w:tcPr>
          <w:p>
            <w:pPr>
              <w:spacing w:after="0"/>
              <w:rPr>
                <w:sz w:val="3"/>
                <w:szCs w:val="3"/>
                <w:color w:val="auto"/>
              </w:rPr>
            </w:pPr>
          </w:p>
        </w:tc>
        <w:tc>
          <w:tcPr>
            <w:tcW w:w="2300" w:type="dxa"/>
            <w:vAlign w:val="bottom"/>
            <w:tcBorders>
              <w:bottom w:val="single" w:sz="8" w:color="EBF7FC"/>
              <w:right w:val="single" w:sz="8" w:color="EBF7FC"/>
            </w:tcBorders>
          </w:tcPr>
          <w:p>
            <w:pPr>
              <w:spacing w:after="0"/>
              <w:rPr>
                <w:sz w:val="3"/>
                <w:szCs w:val="3"/>
                <w:color w:val="auto"/>
              </w:rPr>
            </w:pPr>
          </w:p>
        </w:tc>
        <w:tc>
          <w:tcPr>
            <w:tcW w:w="2280" w:type="dxa"/>
            <w:vAlign w:val="bottom"/>
            <w:tcBorders>
              <w:bottom w:val="single" w:sz="8" w:color="EBF7FC"/>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01" w:lineRule="exact"/>
        <w:rPr>
          <w:sz w:val="20"/>
          <w:szCs w:val="20"/>
          <w:color w:val="auto"/>
        </w:rPr>
      </w:pPr>
    </w:p>
    <w:p>
      <w:pPr>
        <w:ind w:right="40" w:firstLine="5"/>
        <w:spacing w:after="0" w:line="327" w:lineRule="auto"/>
        <w:tabs>
          <w:tab w:leader="none" w:pos="171"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Proposal 2</w:t>
      </w:r>
      <w:r>
        <w:rPr>
          <w:rFonts w:ascii="Arial" w:cs="Arial" w:eastAsia="Arial" w:hAnsi="Arial"/>
          <w:sz w:val="15"/>
          <w:szCs w:val="15"/>
          <w:color w:val="auto"/>
        </w:rPr>
        <w:t>: To vote on an advisory resolution to approve the compensation of the Named Executive Officers as disclosed in this proxy</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w:t>
      </w:r>
    </w:p>
    <w:p>
      <w:pPr>
        <w:spacing w:after="0" w:line="44"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This advisory stockholder vote is commonly known as “Say-on-Pay”. Our Board values stockholder input as we provide oversight of the strategic growth and initiatives of Limoneira. Throughout the year, Limoneira engages with our stockholders directly by participating in investor conferences and other presentations with current and prospective stockholders. Additionally, we appropriately engage our stockholders informally throughout the year as needed to provide transparency regarding emerging issues, to discuss milestones and to inform our decision-making. As highlighted in more detail in these proxy materials, we incorporated feedback from our stockholders directly into our decision-making as a Board in 2024. Say-On-Pay is one such way that we engage with our stockholders to ensure their desires are reflected in our governance and incorporated into our decision-making.</w:t>
      </w:r>
    </w:p>
    <w:p>
      <w:pPr>
        <w:spacing w:after="0" w:line="69" w:lineRule="exact"/>
        <w:rPr>
          <w:sz w:val="20"/>
          <w:szCs w:val="20"/>
          <w:color w:val="auto"/>
        </w:rPr>
      </w:pPr>
    </w:p>
    <w:p>
      <w:pPr>
        <w:ind w:right="220" w:firstLine="5"/>
        <w:spacing w:after="0" w:line="327" w:lineRule="auto"/>
        <w:tabs>
          <w:tab w:leader="none" w:pos="171"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Proposal 3</w:t>
      </w:r>
      <w:r>
        <w:rPr>
          <w:rFonts w:ascii="Arial" w:cs="Arial" w:eastAsia="Arial" w:hAnsi="Arial"/>
          <w:sz w:val="15"/>
          <w:szCs w:val="15"/>
          <w:color w:val="auto"/>
        </w:rPr>
        <w:t>: To ratify the appointment of Deloitte &amp; Touche LLP (“Deloitte”) to serve as the independent registered public accounting</w:t>
      </w:r>
      <w:r>
        <w:rPr>
          <w:rFonts w:ascii="Arial" w:cs="Arial" w:eastAsia="Arial" w:hAnsi="Arial"/>
          <w:sz w:val="15"/>
          <w:szCs w:val="15"/>
          <w:b w:val="1"/>
          <w:bCs w:val="1"/>
          <w:color w:val="auto"/>
        </w:rPr>
        <w:t xml:space="preserve"> </w:t>
      </w:r>
      <w:r>
        <w:rPr>
          <w:rFonts w:ascii="Arial" w:cs="Arial" w:eastAsia="Arial" w:hAnsi="Arial"/>
          <w:sz w:val="15"/>
          <w:szCs w:val="15"/>
          <w:color w:val="auto"/>
        </w:rPr>
        <w:t>firm for Limoneira Company for the fiscal year ending October 31, 2025.</w:t>
      </w:r>
    </w:p>
    <w:p>
      <w:pPr>
        <w:spacing w:after="0" w:line="44" w:lineRule="exact"/>
        <w:rPr>
          <w:sz w:val="20"/>
          <w:szCs w:val="20"/>
          <w:color w:val="auto"/>
        </w:rPr>
      </w:pPr>
    </w:p>
    <w:p>
      <w:pPr>
        <w:jc w:val="both"/>
        <w:ind w:right="160"/>
        <w:spacing w:after="0" w:line="304" w:lineRule="auto"/>
        <w:rPr>
          <w:sz w:val="20"/>
          <w:szCs w:val="20"/>
          <w:color w:val="auto"/>
        </w:rPr>
      </w:pPr>
      <w:r>
        <w:rPr>
          <w:rFonts w:ascii="Arial" w:cs="Arial" w:eastAsia="Arial" w:hAnsi="Arial"/>
          <w:sz w:val="15"/>
          <w:szCs w:val="15"/>
          <w:color w:val="auto"/>
        </w:rPr>
        <w:t>Our Audit and Finance Committee (“Audit Committee”) appointed Deloitte to serve as our independent registered public accounting firm to perform the audit of our consolidated financial statements for the fiscal year ended October 31, 2025, and we ask our stockholders to ratify this appointment.</w:t>
      </w:r>
    </w:p>
    <w:p>
      <w:pPr>
        <w:spacing w:after="0" w:line="59" w:lineRule="exact"/>
        <w:rPr>
          <w:sz w:val="20"/>
          <w:szCs w:val="20"/>
          <w:color w:val="auto"/>
        </w:rPr>
      </w:pPr>
    </w:p>
    <w:p>
      <w:pPr>
        <w:ind w:right="360" w:firstLine="5"/>
        <w:spacing w:after="0" w:line="480" w:lineRule="auto"/>
        <w:tabs>
          <w:tab w:leader="none" w:pos="171"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To transact such other business as may properly come before the meeting or any adjournment or postponement thereof. The Board recommends a vote “FOR” Proposals 1, 2, and 3.</w:t>
      </w:r>
    </w:p>
    <w:p>
      <w:pPr>
        <w:sectPr>
          <w:pgSz w:w="11900" w:h="16838" w:orient="portrait"/>
          <w:cols w:equalWidth="0" w:num="1">
            <w:col w:w="9340"/>
          </w:cols>
          <w:pgMar w:left="1300" w:top="119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9" w:right="12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color w:val="89C6F0"/>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What do I do if I wish to attend the meeting?</w:t>
      </w:r>
    </w:p>
    <w:p>
      <w:pPr>
        <w:spacing w:after="0" w:line="39"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It is very important that you follow the Check-in Procedure below to attend the Annual Meeting. You will not be allowed access without the proper credentials.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Check-in Procedure for Attending the Annual Meeting</w:t>
      </w:r>
    </w:p>
    <w:p>
      <w:pPr>
        <w:spacing w:after="0" w:line="91" w:lineRule="exact"/>
        <w:rPr>
          <w:sz w:val="20"/>
          <w:szCs w:val="20"/>
          <w:color w:val="auto"/>
        </w:rPr>
      </w:pPr>
    </w:p>
    <w:p>
      <w:pPr>
        <w:ind w:right="300"/>
        <w:spacing w:after="0" w:line="324" w:lineRule="auto"/>
        <w:rPr>
          <w:sz w:val="20"/>
          <w:szCs w:val="20"/>
          <w:color w:val="auto"/>
        </w:rPr>
      </w:pPr>
      <w:r>
        <w:rPr>
          <w:rFonts w:ascii="Arial" w:cs="Arial" w:eastAsia="Arial" w:hAnsi="Arial"/>
          <w:sz w:val="15"/>
          <w:szCs w:val="15"/>
          <w:color w:val="auto"/>
        </w:rPr>
        <w:t>Stockholders of Record. The documents that you need to provide to be admitted to the Annual Meeting depend on whether you are a stockholder of record or represent a stockholder of record.</w:t>
      </w:r>
    </w:p>
    <w:p>
      <w:pPr>
        <w:spacing w:after="0" w:line="84" w:lineRule="exact"/>
        <w:rPr>
          <w:sz w:val="20"/>
          <w:szCs w:val="20"/>
          <w:color w:val="auto"/>
        </w:rPr>
      </w:pPr>
    </w:p>
    <w:p>
      <w:pPr>
        <w:ind w:left="120" w:right="20" w:hanging="115"/>
        <w:spacing w:after="0" w:line="304" w:lineRule="auto"/>
        <w:tabs>
          <w:tab w:leader="none" w:pos="12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Individuals: </w:t>
      </w:r>
      <w:r>
        <w:rPr>
          <w:rFonts w:ascii="Arial" w:cs="Arial" w:eastAsia="Arial" w:hAnsi="Arial"/>
          <w:sz w:val="15"/>
          <w:szCs w:val="15"/>
          <w:color w:val="auto"/>
        </w:rPr>
        <w:t>If you are a stockholder of record holding shares in your own name, you must bring to the Annual Meeting a form of</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government-issued photo identification (e.g., a driver’s license or passport). Trustees who are individuals and named as stockholders of record are in this category.</w:t>
      </w:r>
    </w:p>
    <w:p>
      <w:pPr>
        <w:spacing w:after="0" w:line="99" w:lineRule="exact"/>
        <w:rPr>
          <w:rFonts w:ascii="Arial" w:cs="Arial" w:eastAsia="Arial" w:hAnsi="Arial"/>
          <w:sz w:val="15"/>
          <w:szCs w:val="15"/>
          <w:color w:val="auto"/>
        </w:rPr>
      </w:pPr>
    </w:p>
    <w:p>
      <w:pPr>
        <w:ind w:left="120" w:right="260" w:hanging="115"/>
        <w:spacing w:after="0" w:line="324" w:lineRule="auto"/>
        <w:tabs>
          <w:tab w:leader="none" w:pos="12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Individuals Representing a Stockholder of Record: </w:t>
      </w:r>
      <w:r>
        <w:rPr>
          <w:rFonts w:ascii="Arial" w:cs="Arial" w:eastAsia="Arial" w:hAnsi="Arial"/>
          <w:sz w:val="15"/>
          <w:szCs w:val="15"/>
          <w:color w:val="auto"/>
        </w:rPr>
        <w:t>If you attend on behalf of a stockholder of record, whether such stockholder is an</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corporation, trust or partnership:</w:t>
      </w:r>
    </w:p>
    <w:p>
      <w:pPr>
        <w:spacing w:after="0" w:line="71" w:lineRule="exact"/>
        <w:rPr>
          <w:rFonts w:ascii="Arial" w:cs="Arial" w:eastAsia="Arial" w:hAnsi="Arial"/>
          <w:sz w:val="15"/>
          <w:szCs w:val="15"/>
          <w:color w:val="auto"/>
        </w:rPr>
      </w:pPr>
    </w:p>
    <w:p>
      <w:pPr>
        <w:ind w:left="220" w:hanging="103"/>
        <w:spacing w:after="0"/>
        <w:tabs>
          <w:tab w:leader="none" w:pos="220" w:val="left"/>
        </w:tabs>
        <w:numPr>
          <w:ilvl w:val="1"/>
          <w:numId w:val="9"/>
        </w:numPr>
        <w:rPr>
          <w:rFonts w:ascii="Arial" w:cs="Arial" w:eastAsia="Arial" w:hAnsi="Arial"/>
          <w:sz w:val="15"/>
          <w:szCs w:val="15"/>
          <w:color w:val="auto"/>
        </w:rPr>
      </w:pPr>
      <w:r>
        <w:rPr>
          <w:rFonts w:ascii="Arial" w:cs="Arial" w:eastAsia="Arial" w:hAnsi="Arial"/>
          <w:sz w:val="15"/>
          <w:szCs w:val="15"/>
          <w:color w:val="auto"/>
        </w:rPr>
        <w:t>you must bring to the Annual Meeting a form of government-issued photo identification (e.g., a driver’s license or passport); AND</w:t>
      </w:r>
    </w:p>
    <w:p>
      <w:pPr>
        <w:spacing w:after="0" w:line="172" w:lineRule="exact"/>
        <w:rPr>
          <w:rFonts w:ascii="Arial" w:cs="Arial" w:eastAsia="Arial" w:hAnsi="Arial"/>
          <w:sz w:val="15"/>
          <w:szCs w:val="15"/>
          <w:color w:val="auto"/>
        </w:rPr>
      </w:pPr>
    </w:p>
    <w:p>
      <w:pPr>
        <w:ind w:left="220" w:hanging="103"/>
        <w:spacing w:after="0"/>
        <w:tabs>
          <w:tab w:leader="none" w:pos="220" w:val="left"/>
        </w:tabs>
        <w:numPr>
          <w:ilvl w:val="1"/>
          <w:numId w:val="9"/>
        </w:numPr>
        <w:rPr>
          <w:rFonts w:ascii="Arial" w:cs="Arial" w:eastAsia="Arial" w:hAnsi="Arial"/>
          <w:sz w:val="15"/>
          <w:szCs w:val="15"/>
          <w:color w:val="auto"/>
        </w:rPr>
      </w:pPr>
      <w:r>
        <w:rPr>
          <w:rFonts w:ascii="Arial" w:cs="Arial" w:eastAsia="Arial" w:hAnsi="Arial"/>
          <w:sz w:val="15"/>
          <w:szCs w:val="15"/>
          <w:color w:val="auto"/>
        </w:rPr>
        <w:t>either:</w:t>
      </w:r>
    </w:p>
    <w:p>
      <w:pPr>
        <w:spacing w:after="0" w:line="172" w:lineRule="exact"/>
        <w:rPr>
          <w:rFonts w:ascii="Arial" w:cs="Arial" w:eastAsia="Arial" w:hAnsi="Arial"/>
          <w:sz w:val="15"/>
          <w:szCs w:val="15"/>
          <w:color w:val="auto"/>
        </w:rPr>
      </w:pPr>
    </w:p>
    <w:p>
      <w:pPr>
        <w:ind w:left="340" w:hanging="110"/>
        <w:spacing w:after="0"/>
        <w:tabs>
          <w:tab w:leader="none" w:pos="340" w:val="left"/>
        </w:tabs>
        <w:numPr>
          <w:ilvl w:val="2"/>
          <w:numId w:val="9"/>
        </w:numPr>
        <w:rPr>
          <w:rFonts w:ascii="Arial" w:cs="Arial" w:eastAsia="Arial" w:hAnsi="Arial"/>
          <w:sz w:val="15"/>
          <w:szCs w:val="15"/>
          <w:color w:val="auto"/>
        </w:rPr>
      </w:pPr>
      <w:r>
        <w:rPr>
          <w:rFonts w:ascii="Arial" w:cs="Arial" w:eastAsia="Arial" w:hAnsi="Arial"/>
          <w:sz w:val="15"/>
          <w:szCs w:val="15"/>
          <w:color w:val="auto"/>
        </w:rPr>
        <w:t>a letter from the stockholder of record that you represent authorizing you to attend the Annual Meeting on their behalf; OR</w:t>
      </w:r>
    </w:p>
    <w:p>
      <w:pPr>
        <w:spacing w:after="0" w:line="160" w:lineRule="exact"/>
        <w:rPr>
          <w:rFonts w:ascii="Arial" w:cs="Arial" w:eastAsia="Arial" w:hAnsi="Arial"/>
          <w:sz w:val="15"/>
          <w:szCs w:val="15"/>
          <w:color w:val="auto"/>
        </w:rPr>
      </w:pPr>
    </w:p>
    <w:p>
      <w:pPr>
        <w:ind w:left="340" w:right="60" w:hanging="110"/>
        <w:spacing w:after="0" w:line="324" w:lineRule="auto"/>
        <w:tabs>
          <w:tab w:leader="none" w:pos="340" w:val="left"/>
        </w:tabs>
        <w:numPr>
          <w:ilvl w:val="2"/>
          <w:numId w:val="9"/>
        </w:numPr>
        <w:rPr>
          <w:rFonts w:ascii="Arial" w:cs="Arial" w:eastAsia="Arial" w:hAnsi="Arial"/>
          <w:sz w:val="15"/>
          <w:szCs w:val="15"/>
          <w:color w:val="auto"/>
        </w:rPr>
      </w:pPr>
      <w:r>
        <w:rPr>
          <w:rFonts w:ascii="Arial" w:cs="Arial" w:eastAsia="Arial" w:hAnsi="Arial"/>
          <w:sz w:val="15"/>
          <w:szCs w:val="15"/>
          <w:color w:val="auto"/>
        </w:rPr>
        <w:t>a duly executed proxy card from the stockholder of record appointing you as proxy, which must be received as set forth in this proxy statement by 11:59 p.m., Pacific Time, on April 8, 2025.</w:t>
      </w:r>
    </w:p>
    <w:p>
      <w:pPr>
        <w:spacing w:after="0" w:line="82"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b w:val="1"/>
          <w:bCs w:val="1"/>
          <w:color w:val="auto"/>
        </w:rPr>
        <w:t>Beneficial Owners</w:t>
      </w:r>
      <w:r>
        <w:rPr>
          <w:rFonts w:ascii="Arial" w:cs="Arial" w:eastAsia="Arial" w:hAnsi="Arial"/>
          <w:sz w:val="15"/>
          <w:szCs w:val="15"/>
          <w:color w:val="auto"/>
        </w:rPr>
        <w:t>. If your shares are held by a bank or broker (often referred to as holding in “street name”), the organization holding</w:t>
      </w:r>
      <w:r>
        <w:rPr>
          <w:rFonts w:ascii="Arial" w:cs="Arial" w:eastAsia="Arial" w:hAnsi="Arial"/>
          <w:sz w:val="15"/>
          <w:szCs w:val="15"/>
          <w:b w:val="1"/>
          <w:bCs w:val="1"/>
          <w:color w:val="auto"/>
        </w:rPr>
        <w:t xml:space="preserve"> </w:t>
      </w:r>
      <w:r>
        <w:rPr>
          <w:rFonts w:ascii="Arial" w:cs="Arial" w:eastAsia="Arial" w:hAnsi="Arial"/>
          <w:sz w:val="15"/>
          <w:szCs w:val="15"/>
          <w:color w:val="auto"/>
        </w:rPr>
        <w:t>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because you are not the stockholder of record, you may not vote your shares in person at the meeting unless you request and obtain a valid proxy from your broker, bank or other agent, and present the valid legal proxy to the inspector of elections at the meeting. If you decide to attend, you should go to the “Beneficial Owners” check-in area at the Annual Meeting. The documents that you need to provide to be admitted to the Annual Meeting depend on whether you are a beneficial owner or represent a beneficial owner.</w:t>
      </w:r>
    </w:p>
    <w:p>
      <w:pPr>
        <w:spacing w:after="0" w:line="316" w:lineRule="exact"/>
        <w:rPr>
          <w:sz w:val="20"/>
          <w:szCs w:val="20"/>
          <w:color w:val="auto"/>
        </w:rPr>
      </w:pPr>
    </w:p>
    <w:p>
      <w:pPr>
        <w:ind w:left="120" w:hanging="115"/>
        <w:spacing w:after="0"/>
        <w:tabs>
          <w:tab w:leader="none" w:pos="1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Individuals. </w:t>
      </w:r>
      <w:r>
        <w:rPr>
          <w:rFonts w:ascii="Arial" w:cs="Arial" w:eastAsia="Arial" w:hAnsi="Arial"/>
          <w:sz w:val="15"/>
          <w:szCs w:val="15"/>
          <w:color w:val="auto"/>
        </w:rPr>
        <w:t>If you are a beneficial owner, you must bring to the Annual Meeting:</w:t>
      </w:r>
    </w:p>
    <w:p>
      <w:pPr>
        <w:spacing w:after="0" w:line="160" w:lineRule="exact"/>
        <w:rPr>
          <w:rFonts w:ascii="Arial" w:cs="Arial" w:eastAsia="Arial" w:hAnsi="Arial"/>
          <w:sz w:val="15"/>
          <w:szCs w:val="15"/>
          <w:color w:val="auto"/>
        </w:rPr>
      </w:pPr>
    </w:p>
    <w:p>
      <w:pPr>
        <w:ind w:left="220" w:hanging="103"/>
        <w:spacing w:after="0"/>
        <w:tabs>
          <w:tab w:leader="none" w:pos="2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 form of government-issued photo identification (e.g., a driver’s license or passport); AND</w:t>
      </w:r>
    </w:p>
    <w:p>
      <w:pPr>
        <w:spacing w:after="0" w:line="172" w:lineRule="exact"/>
        <w:rPr>
          <w:rFonts w:ascii="Arial" w:cs="Arial" w:eastAsia="Arial" w:hAnsi="Arial"/>
          <w:sz w:val="15"/>
          <w:szCs w:val="15"/>
          <w:color w:val="auto"/>
        </w:rPr>
      </w:pPr>
    </w:p>
    <w:p>
      <w:pPr>
        <w:ind w:left="220" w:hanging="103"/>
        <w:spacing w:after="0"/>
        <w:tabs>
          <w:tab w:leader="none" w:pos="2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either:</w:t>
      </w:r>
    </w:p>
    <w:p>
      <w:pPr>
        <w:spacing w:after="0" w:line="172" w:lineRule="exact"/>
        <w:rPr>
          <w:rFonts w:ascii="Arial" w:cs="Arial" w:eastAsia="Arial" w:hAnsi="Arial"/>
          <w:sz w:val="15"/>
          <w:szCs w:val="15"/>
          <w:color w:val="auto"/>
        </w:rPr>
      </w:pPr>
    </w:p>
    <w:p>
      <w:pPr>
        <w:ind w:left="340" w:hanging="110"/>
        <w:spacing w:after="0"/>
        <w:tabs>
          <w:tab w:leader="none" w:pos="340" w:val="left"/>
        </w:tabs>
        <w:numPr>
          <w:ilvl w:val="2"/>
          <w:numId w:val="10"/>
        </w:numPr>
        <w:rPr>
          <w:rFonts w:ascii="Arial" w:cs="Arial" w:eastAsia="Arial" w:hAnsi="Arial"/>
          <w:sz w:val="15"/>
          <w:szCs w:val="15"/>
          <w:color w:val="auto"/>
        </w:rPr>
      </w:pPr>
      <w:r>
        <w:rPr>
          <w:rFonts w:ascii="Arial" w:cs="Arial" w:eastAsia="Arial" w:hAnsi="Arial"/>
          <w:sz w:val="15"/>
          <w:szCs w:val="15"/>
          <w:color w:val="auto"/>
        </w:rPr>
        <w:t>a legal proxy that you obtained from your bank or broker; OR</w:t>
      </w:r>
    </w:p>
    <w:p>
      <w:pPr>
        <w:spacing w:after="0" w:line="160" w:lineRule="exact"/>
        <w:rPr>
          <w:rFonts w:ascii="Arial" w:cs="Arial" w:eastAsia="Arial" w:hAnsi="Arial"/>
          <w:sz w:val="15"/>
          <w:szCs w:val="15"/>
          <w:color w:val="auto"/>
        </w:rPr>
      </w:pPr>
    </w:p>
    <w:p>
      <w:pPr>
        <w:ind w:left="340" w:right="480" w:hanging="110"/>
        <w:spacing w:after="0" w:line="324" w:lineRule="auto"/>
        <w:tabs>
          <w:tab w:leader="none" w:pos="340" w:val="left"/>
        </w:tabs>
        <w:numPr>
          <w:ilvl w:val="2"/>
          <w:numId w:val="10"/>
        </w:numPr>
        <w:rPr>
          <w:rFonts w:ascii="Arial" w:cs="Arial" w:eastAsia="Arial" w:hAnsi="Arial"/>
          <w:sz w:val="15"/>
          <w:szCs w:val="15"/>
          <w:color w:val="auto"/>
        </w:rPr>
      </w:pPr>
      <w:r>
        <w:rPr>
          <w:rFonts w:ascii="Arial" w:cs="Arial" w:eastAsia="Arial" w:hAnsi="Arial"/>
          <w:sz w:val="15"/>
          <w:szCs w:val="15"/>
          <w:color w:val="auto"/>
        </w:rPr>
        <w:t>your most recent brokerage account statement or a recent letter from your bank or broker showing that you own shares of the Company.</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Individuals Representing a Beneficial Owner. </w:t>
      </w:r>
      <w:r>
        <w:rPr>
          <w:rFonts w:ascii="Arial" w:cs="Arial" w:eastAsia="Arial" w:hAnsi="Arial"/>
          <w:sz w:val="15"/>
          <w:szCs w:val="15"/>
          <w:color w:val="auto"/>
        </w:rPr>
        <w:t>If you attend on behalf of a beneficial owner, you must bring to the Annual Meeting:</w:t>
      </w:r>
    </w:p>
    <w:p>
      <w:pPr>
        <w:spacing w:after="0" w:line="172" w:lineRule="exact"/>
        <w:rPr>
          <w:rFonts w:ascii="Arial" w:cs="Arial" w:eastAsia="Arial" w:hAnsi="Arial"/>
          <w:sz w:val="15"/>
          <w:szCs w:val="15"/>
          <w:color w:val="auto"/>
        </w:rPr>
      </w:pPr>
    </w:p>
    <w:p>
      <w:pPr>
        <w:ind w:left="220" w:hanging="103"/>
        <w:spacing w:after="0"/>
        <w:tabs>
          <w:tab w:leader="none" w:pos="2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 form of government-issued photo identification (e.g., a driver’s license or passport); AND</w:t>
      </w:r>
    </w:p>
    <w:p>
      <w:pPr>
        <w:spacing w:after="0" w:line="160" w:lineRule="exact"/>
        <w:rPr>
          <w:rFonts w:ascii="Arial" w:cs="Arial" w:eastAsia="Arial" w:hAnsi="Arial"/>
          <w:sz w:val="15"/>
          <w:szCs w:val="15"/>
          <w:color w:val="auto"/>
        </w:rPr>
      </w:pPr>
    </w:p>
    <w:p>
      <w:pPr>
        <w:ind w:left="220" w:hanging="103"/>
        <w:spacing w:after="0"/>
        <w:tabs>
          <w:tab w:leader="none" w:pos="2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 letter from the beneficial owner authorizing you to represent such beneficial owner’s shares at the Annual Meeting.</w:t>
      </w:r>
    </w:p>
    <w:p>
      <w:pPr>
        <w:sectPr>
          <w:pgSz w:w="11900" w:h="16838" w:orient="portrait"/>
          <w:cols w:equalWidth="0" w:num="1">
            <w:col w:w="9320"/>
          </w:cols>
          <w:pgMar w:left="1300" w:top="119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193" w:right="12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b w:val="1"/>
          <w:bCs w:val="1"/>
          <w:color w:val="89C6F0"/>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If I am a stockholder of record of Voting Stock, how do I vote?</w:t>
      </w:r>
    </w:p>
    <w:p>
      <w:pPr>
        <w:spacing w:after="0" w:line="172" w:lineRule="exact"/>
        <w:rPr>
          <w:sz w:val="20"/>
          <w:szCs w:val="20"/>
          <w:color w:val="auto"/>
        </w:rPr>
      </w:pPr>
    </w:p>
    <w:p>
      <w:pPr>
        <w:ind w:left="980" w:right="140"/>
        <w:spacing w:after="0" w:line="305" w:lineRule="auto"/>
        <w:rPr>
          <w:sz w:val="20"/>
          <w:szCs w:val="20"/>
          <w:color w:val="auto"/>
        </w:rPr>
      </w:pPr>
      <w:r>
        <w:rPr>
          <w:rFonts w:ascii="Arial" w:cs="Arial" w:eastAsia="Arial" w:hAnsi="Arial"/>
          <w:sz w:val="15"/>
          <w:szCs w:val="15"/>
          <w:b w:val="1"/>
          <w:bCs w:val="1"/>
          <w:u w:val="single" w:color="auto"/>
          <w:color w:val="auto"/>
        </w:rPr>
        <w:t>By Telephone:</w:t>
      </w:r>
      <w:r>
        <w:rPr>
          <w:rFonts w:ascii="Arial" w:cs="Arial" w:eastAsia="Arial" w:hAnsi="Arial"/>
          <w:sz w:val="15"/>
          <w:szCs w:val="15"/>
          <w:b w:val="1"/>
          <w:bCs w:val="1"/>
          <w:color w:val="auto"/>
        </w:rPr>
        <w:t xml:space="preserve"> </w:t>
      </w:r>
      <w:r>
        <w:rPr>
          <w:rFonts w:ascii="Arial" w:cs="Arial" w:eastAsia="Arial" w:hAnsi="Arial"/>
          <w:sz w:val="15"/>
          <w:szCs w:val="15"/>
          <w:color w:val="auto"/>
        </w:rPr>
        <w:t>Call 1-800-652-VOTE (8683). You can use any touch-tone telephone to transmit your voting instructions</w:t>
      </w:r>
      <w:r>
        <w:rPr>
          <w:rFonts w:ascii="Arial" w:cs="Arial" w:eastAsia="Arial" w:hAnsi="Arial"/>
          <w:sz w:val="15"/>
          <w:szCs w:val="15"/>
          <w:b w:val="1"/>
          <w:bCs w:val="1"/>
          <w:color w:val="auto"/>
        </w:rPr>
        <w:t xml:space="preserve"> </w:t>
      </w:r>
      <w:r>
        <w:rPr>
          <w:rFonts w:ascii="Arial" w:cs="Arial" w:eastAsia="Arial" w:hAnsi="Arial"/>
          <w:sz w:val="15"/>
          <w:szCs w:val="15"/>
          <w:color w:val="auto"/>
        </w:rPr>
        <w:t>up until voting is announced to be closed during the Annual Meeting. You need to have your proxy card in hand when you call and follow the instructions.</w:t>
      </w:r>
    </w:p>
    <w:p>
      <w:pPr>
        <w:spacing w:after="0" w:line="199" w:lineRule="exact"/>
        <w:rPr>
          <w:sz w:val="20"/>
          <w:szCs w:val="20"/>
          <w:color w:val="auto"/>
        </w:rPr>
      </w:pPr>
    </w:p>
    <w:p>
      <w:pPr>
        <w:jc w:val="both"/>
        <w:ind w:left="980" w:right="220"/>
        <w:spacing w:after="0" w:line="305" w:lineRule="auto"/>
        <w:rPr>
          <w:sz w:val="20"/>
          <w:szCs w:val="20"/>
          <w:color w:val="auto"/>
        </w:rPr>
      </w:pPr>
      <w:r>
        <w:rPr>
          <w:rFonts w:ascii="Arial" w:cs="Arial" w:eastAsia="Arial" w:hAnsi="Arial"/>
          <w:sz w:val="15"/>
          <w:szCs w:val="15"/>
          <w:b w:val="1"/>
          <w:bCs w:val="1"/>
          <w:u w:val="single" w:color="auto"/>
          <w:color w:val="auto"/>
        </w:rPr>
        <w:t>Over the Internet</w:t>
      </w:r>
      <w:r>
        <w:rPr>
          <w:rFonts w:ascii="Arial" w:cs="Arial" w:eastAsia="Arial" w:hAnsi="Arial"/>
          <w:sz w:val="15"/>
          <w:szCs w:val="15"/>
          <w:b w:val="1"/>
          <w:bCs w:val="1"/>
          <w:color w:val="auto"/>
        </w:rPr>
        <w:t xml:space="preserve">: </w:t>
      </w:r>
      <w:r>
        <w:rPr>
          <w:rFonts w:ascii="Arial" w:cs="Arial" w:eastAsia="Arial" w:hAnsi="Arial"/>
          <w:sz w:val="15"/>
          <w:szCs w:val="15"/>
          <w:color w:val="auto"/>
        </w:rPr>
        <w:t>Go to www.investorvote.com/LMNR. You can use the Internet 24 hours a day to transmit your voting</w:t>
      </w:r>
      <w:r>
        <w:rPr>
          <w:rFonts w:ascii="Arial" w:cs="Arial" w:eastAsia="Arial" w:hAnsi="Arial"/>
          <w:sz w:val="15"/>
          <w:szCs w:val="15"/>
          <w:b w:val="1"/>
          <w:bCs w:val="1"/>
          <w:color w:val="auto"/>
        </w:rPr>
        <w:t xml:space="preserve"> </w:t>
      </w:r>
      <w:r>
        <w:rPr>
          <w:rFonts w:ascii="Arial" w:cs="Arial" w:eastAsia="Arial" w:hAnsi="Arial"/>
          <w:sz w:val="15"/>
          <w:szCs w:val="15"/>
          <w:color w:val="auto"/>
        </w:rPr>
        <w:t>instructions until voting is announced to be closed during the Annual Meeting. You need to have your proxy card in hand when you access the website and follow the instructions.</w:t>
      </w:r>
    </w:p>
    <w:p>
      <w:pPr>
        <w:spacing w:after="0" w:line="212" w:lineRule="exact"/>
        <w:rPr>
          <w:sz w:val="20"/>
          <w:szCs w:val="20"/>
          <w:color w:val="auto"/>
        </w:rPr>
      </w:pPr>
    </w:p>
    <w:p>
      <w:pPr>
        <w:ind w:left="980" w:right="400"/>
        <w:spacing w:after="0" w:line="305" w:lineRule="auto"/>
        <w:rPr>
          <w:sz w:val="20"/>
          <w:szCs w:val="20"/>
          <w:color w:val="auto"/>
        </w:rPr>
      </w:pPr>
      <w:r>
        <w:rPr>
          <w:rFonts w:ascii="Arial" w:cs="Arial" w:eastAsia="Arial" w:hAnsi="Arial"/>
          <w:sz w:val="15"/>
          <w:szCs w:val="15"/>
          <w:b w:val="1"/>
          <w:bCs w:val="1"/>
          <w:u w:val="single" w:color="auto"/>
          <w:color w:val="auto"/>
        </w:rPr>
        <w:t>By Mail</w:t>
      </w:r>
      <w:r>
        <w:rPr>
          <w:rFonts w:ascii="Arial" w:cs="Arial" w:eastAsia="Arial" w:hAnsi="Arial"/>
          <w:sz w:val="15"/>
          <w:szCs w:val="15"/>
          <w:b w:val="1"/>
          <w:bCs w:val="1"/>
          <w:color w:val="auto"/>
        </w:rPr>
        <w:t xml:space="preserve">: </w:t>
      </w:r>
      <w:r>
        <w:rPr>
          <w:rFonts w:ascii="Arial" w:cs="Arial" w:eastAsia="Arial" w:hAnsi="Arial"/>
          <w:sz w:val="15"/>
          <w:szCs w:val="15"/>
          <w:color w:val="auto"/>
        </w:rPr>
        <w:t>You may submit your vote by completing, signing and dating your proxy card and returning it in the prepaid</w:t>
      </w:r>
      <w:r>
        <w:rPr>
          <w:rFonts w:ascii="Arial" w:cs="Arial" w:eastAsia="Arial" w:hAnsi="Arial"/>
          <w:sz w:val="15"/>
          <w:szCs w:val="15"/>
          <w:b w:val="1"/>
          <w:bCs w:val="1"/>
          <w:color w:val="auto"/>
        </w:rPr>
        <w:t xml:space="preserve"> </w:t>
      </w:r>
      <w:r>
        <w:rPr>
          <w:rFonts w:ascii="Arial" w:cs="Arial" w:eastAsia="Arial" w:hAnsi="Arial"/>
          <w:sz w:val="15"/>
          <w:szCs w:val="15"/>
          <w:color w:val="auto"/>
        </w:rPr>
        <w:t>envelope to Proxy Services, C/O Computershare Investor Services, PO Box 43101, Providence, RI 02940-5067 to be received by 11:59 p.m., Pacific Time, on April 8, 2025.</w:t>
      </w:r>
    </w:p>
    <w:p>
      <w:pPr>
        <w:spacing w:after="0" w:line="200" w:lineRule="exact"/>
        <w:rPr>
          <w:sz w:val="20"/>
          <w:szCs w:val="20"/>
          <w:color w:val="auto"/>
        </w:rPr>
      </w:pPr>
    </w:p>
    <w:p>
      <w:pPr>
        <w:spacing w:after="0" w:line="217" w:lineRule="exact"/>
        <w:rPr>
          <w:sz w:val="20"/>
          <w:szCs w:val="20"/>
          <w:color w:val="auto"/>
        </w:rPr>
      </w:pPr>
    </w:p>
    <w:p>
      <w:pPr>
        <w:ind w:left="980"/>
        <w:spacing w:after="0"/>
        <w:rPr>
          <w:sz w:val="20"/>
          <w:szCs w:val="20"/>
          <w:color w:val="auto"/>
        </w:rPr>
      </w:pPr>
      <w:r>
        <w:rPr>
          <w:rFonts w:ascii="Arial" w:cs="Arial" w:eastAsia="Arial" w:hAnsi="Arial"/>
          <w:sz w:val="15"/>
          <w:szCs w:val="15"/>
          <w:b w:val="1"/>
          <w:bCs w:val="1"/>
          <w:u w:val="single" w:color="auto"/>
          <w:color w:val="auto"/>
        </w:rPr>
        <w:t>During the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See specific instructions below.</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Voting in Person at the Annual Meeting</w:t>
      </w:r>
    </w:p>
    <w:p>
      <w:pPr>
        <w:spacing w:after="0" w:line="101"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b w:val="1"/>
          <w:bCs w:val="1"/>
          <w:color w:val="auto"/>
        </w:rPr>
        <w:t>Stockholders of Record</w:t>
      </w:r>
      <w:r>
        <w:rPr>
          <w:rFonts w:ascii="Arial" w:cs="Arial" w:eastAsia="Arial" w:hAnsi="Arial"/>
          <w:sz w:val="15"/>
          <w:szCs w:val="15"/>
          <w:color w:val="auto"/>
        </w:rPr>
        <w:t>. Stockholders of record may vote their shares in person at the Annual Meeting by ballot. Each proposal has a</w:t>
      </w:r>
      <w:r>
        <w:rPr>
          <w:rFonts w:ascii="Arial" w:cs="Arial" w:eastAsia="Arial" w:hAnsi="Arial"/>
          <w:sz w:val="15"/>
          <w:szCs w:val="15"/>
          <w:b w:val="1"/>
          <w:bCs w:val="1"/>
          <w:color w:val="auto"/>
        </w:rPr>
        <w:t xml:space="preserve"> </w:t>
      </w:r>
      <w:r>
        <w:rPr>
          <w:rFonts w:ascii="Arial" w:cs="Arial" w:eastAsia="Arial" w:hAnsi="Arial"/>
          <w:sz w:val="15"/>
          <w:szCs w:val="15"/>
          <w:color w:val="auto"/>
        </w:rPr>
        <w:t>separate ballot. You must properly complete, sign, date and return the ballots to the inspector of election at the Annual Meeting to vote in person. To receive ballots, you must bring with you the documents described below:</w:t>
      </w:r>
    </w:p>
    <w:p>
      <w:pPr>
        <w:spacing w:after="0" w:line="86" w:lineRule="exact"/>
        <w:rPr>
          <w:sz w:val="20"/>
          <w:szCs w:val="20"/>
          <w:color w:val="auto"/>
        </w:rPr>
      </w:pPr>
    </w:p>
    <w:p>
      <w:pPr>
        <w:ind w:left="120" w:right="160" w:hanging="115"/>
        <w:spacing w:after="0" w:line="304"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Individuals. </w:t>
      </w:r>
      <w:r>
        <w:rPr>
          <w:rFonts w:ascii="Arial" w:cs="Arial" w:eastAsia="Arial" w:hAnsi="Arial"/>
          <w:sz w:val="15"/>
          <w:szCs w:val="15"/>
          <w:color w:val="auto"/>
        </w:rPr>
        <w:t>You will receive ballots at the check-in table when you present your identification. If you already voted by proxy and do not</w:t>
      </w:r>
      <w:r>
        <w:rPr>
          <w:rFonts w:ascii="Arial" w:cs="Arial" w:eastAsia="Arial" w:hAnsi="Arial"/>
          <w:sz w:val="15"/>
          <w:szCs w:val="15"/>
          <w:i w:val="1"/>
          <w:iCs w:val="1"/>
          <w:color w:val="auto"/>
        </w:rPr>
        <w:t xml:space="preserve"> </w:t>
      </w:r>
      <w:r>
        <w:rPr>
          <w:rFonts w:ascii="Arial" w:cs="Arial" w:eastAsia="Arial" w:hAnsi="Arial"/>
          <w:sz w:val="15"/>
          <w:szCs w:val="15"/>
          <w:color w:val="auto"/>
        </w:rPr>
        <w:t>want to change your votes, you do not need to complete the ballots. If you do complete and return the ballots to us, your previously delivered proxy will be automatically revoked.</w:t>
      </w:r>
    </w:p>
    <w:p>
      <w:pPr>
        <w:spacing w:after="0" w:line="99" w:lineRule="exact"/>
        <w:rPr>
          <w:rFonts w:ascii="Arial" w:cs="Arial" w:eastAsia="Arial" w:hAnsi="Arial"/>
          <w:sz w:val="15"/>
          <w:szCs w:val="15"/>
          <w:color w:val="auto"/>
        </w:rPr>
      </w:pPr>
    </w:p>
    <w:p>
      <w:pPr>
        <w:ind w:left="120" w:right="140" w:hanging="115"/>
        <w:spacing w:after="0" w:line="297"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Individuals Voting on Behalf of Another Individual. </w:t>
      </w:r>
      <w:r>
        <w:rPr>
          <w:rFonts w:ascii="Arial" w:cs="Arial" w:eastAsia="Arial" w:hAnsi="Arial"/>
          <w:sz w:val="15"/>
          <w:szCs w:val="15"/>
          <w:color w:val="auto"/>
        </w:rPr>
        <w:t>If you vote on behalf of another individual who is a stockholder of record, we must</w:t>
      </w:r>
      <w:r>
        <w:rPr>
          <w:rFonts w:ascii="Arial" w:cs="Arial" w:eastAsia="Arial" w:hAnsi="Arial"/>
          <w:sz w:val="15"/>
          <w:szCs w:val="15"/>
          <w:i w:val="1"/>
          <w:iCs w:val="1"/>
          <w:color w:val="auto"/>
        </w:rPr>
        <w:t xml:space="preserve"> </w:t>
      </w:r>
      <w:r>
        <w:rPr>
          <w:rFonts w:ascii="Arial" w:cs="Arial" w:eastAsia="Arial" w:hAnsi="Arial"/>
          <w:sz w:val="15"/>
          <w:szCs w:val="15"/>
          <w:color w:val="auto"/>
        </w:rPr>
        <w:t>receive by 11:59 p.m., Pacific Time, on April 8, 2025, a duly executed proxy card from such individual stockholder of record appointing you as his or her proxy. If we received such executed proxy card, you will receive ballots at the check-in table when you present your identification.</w:t>
      </w:r>
    </w:p>
    <w:p>
      <w:pPr>
        <w:spacing w:after="0" w:line="105" w:lineRule="exact"/>
        <w:rPr>
          <w:rFonts w:ascii="Arial" w:cs="Arial" w:eastAsia="Arial" w:hAnsi="Arial"/>
          <w:sz w:val="15"/>
          <w:szCs w:val="15"/>
          <w:color w:val="auto"/>
        </w:rPr>
      </w:pPr>
    </w:p>
    <w:p>
      <w:pPr>
        <w:ind w:left="120" w:right="60" w:hanging="115"/>
        <w:spacing w:after="0" w:line="304"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Individuals Voting on Behalf of a Legal Entity. </w:t>
      </w:r>
      <w:r>
        <w:rPr>
          <w:rFonts w:ascii="Arial" w:cs="Arial" w:eastAsia="Arial" w:hAnsi="Arial"/>
          <w:sz w:val="15"/>
          <w:szCs w:val="15"/>
          <w:color w:val="auto"/>
        </w:rPr>
        <w:t>If you represent a stockholder of record that is a legal entity, you may vote that legal</w:t>
      </w:r>
      <w:r>
        <w:rPr>
          <w:rFonts w:ascii="Arial" w:cs="Arial" w:eastAsia="Arial" w:hAnsi="Arial"/>
          <w:sz w:val="15"/>
          <w:szCs w:val="15"/>
          <w:i w:val="1"/>
          <w:iCs w:val="1"/>
          <w:color w:val="auto"/>
        </w:rPr>
        <w:t xml:space="preserve"> </w:t>
      </w:r>
      <w:r>
        <w:rPr>
          <w:rFonts w:ascii="Arial" w:cs="Arial" w:eastAsia="Arial" w:hAnsi="Arial"/>
          <w:sz w:val="15"/>
          <w:szCs w:val="15"/>
          <w:color w:val="auto"/>
        </w:rPr>
        <w:t>entity’s shares if it authorizes you to do so. The documents you must provide to receive ballots at the check-in table depend on whether you are representing a corporation, trust, partnership or other legal entity.</w:t>
      </w:r>
    </w:p>
    <w:p>
      <w:pPr>
        <w:spacing w:after="0" w:line="86" w:lineRule="exact"/>
        <w:rPr>
          <w:rFonts w:ascii="Arial" w:cs="Arial" w:eastAsia="Arial" w:hAnsi="Arial"/>
          <w:sz w:val="15"/>
          <w:szCs w:val="15"/>
          <w:color w:val="auto"/>
        </w:rPr>
      </w:pPr>
    </w:p>
    <w:p>
      <w:pPr>
        <w:ind w:left="220" w:hanging="103"/>
        <w:spacing w:after="0"/>
        <w:tabs>
          <w:tab w:leader="none" w:pos="2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If you represent a corporation:</w:t>
      </w:r>
    </w:p>
    <w:p>
      <w:pPr>
        <w:spacing w:after="0" w:line="172" w:lineRule="exact"/>
        <w:rPr>
          <w:rFonts w:ascii="Arial" w:cs="Arial" w:eastAsia="Arial" w:hAnsi="Arial"/>
          <w:sz w:val="15"/>
          <w:szCs w:val="15"/>
          <w:color w:val="auto"/>
        </w:rPr>
      </w:pPr>
    </w:p>
    <w:p>
      <w:pPr>
        <w:ind w:left="340" w:right="80" w:hanging="110"/>
        <w:spacing w:after="0" w:line="324" w:lineRule="auto"/>
        <w:tabs>
          <w:tab w:leader="none" w:pos="340" w:val="left"/>
        </w:tabs>
        <w:numPr>
          <w:ilvl w:val="2"/>
          <w:numId w:val="11"/>
        </w:numPr>
        <w:rPr>
          <w:rFonts w:ascii="Arial" w:cs="Arial" w:eastAsia="Arial" w:hAnsi="Arial"/>
          <w:sz w:val="15"/>
          <w:szCs w:val="15"/>
          <w:color w:val="auto"/>
        </w:rPr>
      </w:pPr>
      <w:r>
        <w:rPr>
          <w:rFonts w:ascii="Arial" w:cs="Arial" w:eastAsia="Arial" w:hAnsi="Arial"/>
          <w:sz w:val="15"/>
          <w:szCs w:val="15"/>
          <w:color w:val="auto"/>
        </w:rPr>
        <w:t>you must bring to the Annual Meeting a letter or other document from the corporation, on the corporation’s letterhead and signed by an officer of the corporation, that authorizes you to vote the corporation’s shares on its behalf; OR</w:t>
      </w:r>
    </w:p>
    <w:p>
      <w:pPr>
        <w:spacing w:after="0" w:line="84" w:lineRule="exact"/>
        <w:rPr>
          <w:rFonts w:ascii="Arial" w:cs="Arial" w:eastAsia="Arial" w:hAnsi="Arial"/>
          <w:sz w:val="15"/>
          <w:szCs w:val="15"/>
          <w:color w:val="auto"/>
        </w:rPr>
      </w:pPr>
    </w:p>
    <w:p>
      <w:pPr>
        <w:ind w:left="340" w:right="560" w:hanging="110"/>
        <w:spacing w:after="0" w:line="324" w:lineRule="auto"/>
        <w:tabs>
          <w:tab w:leader="none" w:pos="324" w:val="left"/>
        </w:tabs>
        <w:numPr>
          <w:ilvl w:val="2"/>
          <w:numId w:val="11"/>
        </w:numPr>
        <w:rPr>
          <w:rFonts w:ascii="Arial" w:cs="Arial" w:eastAsia="Arial" w:hAnsi="Arial"/>
          <w:sz w:val="15"/>
          <w:szCs w:val="15"/>
          <w:color w:val="auto"/>
        </w:rPr>
      </w:pPr>
      <w:r>
        <w:rPr>
          <w:rFonts w:ascii="Arial" w:cs="Arial" w:eastAsia="Arial" w:hAnsi="Arial"/>
          <w:sz w:val="15"/>
          <w:szCs w:val="15"/>
          <w:color w:val="auto"/>
        </w:rPr>
        <w:t>a duly executed proxy card from the corporation appointing you as its proxy, which must be received as set forth in this proxy statement by 11:59 p.m., Pacific Time, on April 8, 2025.</w:t>
      </w:r>
    </w:p>
    <w:p>
      <w:pPr>
        <w:spacing w:after="0" w:line="71" w:lineRule="exact"/>
        <w:rPr>
          <w:rFonts w:ascii="Arial" w:cs="Arial" w:eastAsia="Arial" w:hAnsi="Arial"/>
          <w:sz w:val="15"/>
          <w:szCs w:val="15"/>
          <w:color w:val="auto"/>
        </w:rPr>
      </w:pPr>
    </w:p>
    <w:p>
      <w:pPr>
        <w:ind w:left="220" w:right="40" w:hanging="103"/>
        <w:spacing w:after="0" w:line="304" w:lineRule="auto"/>
        <w:tabs>
          <w:tab w:leader="none" w:pos="220" w:val="left"/>
        </w:tabs>
        <w:numPr>
          <w:ilvl w:val="1"/>
          <w:numId w:val="11"/>
        </w:numPr>
        <w:rPr>
          <w:rFonts w:ascii="Arial" w:cs="Arial" w:eastAsia="Arial" w:hAnsi="Arial"/>
          <w:sz w:val="15"/>
          <w:szCs w:val="15"/>
          <w:color w:val="auto"/>
        </w:rPr>
      </w:pPr>
      <w:r>
        <w:rPr>
          <w:rFonts w:ascii="Arial" w:cs="Arial" w:eastAsia="Arial" w:hAnsi="Arial"/>
          <w:sz w:val="15"/>
          <w:szCs w:val="15"/>
          <w:i w:val="1"/>
          <w:iCs w:val="1"/>
          <w:color w:val="auto"/>
        </w:rPr>
        <w:t>If you represent a trust, partnership or other legal entity</w:t>
      </w:r>
      <w:r>
        <w:rPr>
          <w:rFonts w:ascii="Arial" w:cs="Arial" w:eastAsia="Arial" w:hAnsi="Arial"/>
          <w:sz w:val="15"/>
          <w:szCs w:val="15"/>
          <w:color w:val="auto"/>
        </w:rPr>
        <w:t>, we must receive by 11:59 p.m., Pacific Time, on April 8, 2025, a duly</w:t>
      </w:r>
      <w:r>
        <w:rPr>
          <w:rFonts w:ascii="Arial" w:cs="Arial" w:eastAsia="Arial" w:hAnsi="Arial"/>
          <w:sz w:val="15"/>
          <w:szCs w:val="15"/>
          <w:i w:val="1"/>
          <w:iCs w:val="1"/>
          <w:color w:val="auto"/>
        </w:rPr>
        <w:t xml:space="preserve"> </w:t>
      </w:r>
      <w:r>
        <w:rPr>
          <w:rFonts w:ascii="Arial" w:cs="Arial" w:eastAsia="Arial" w:hAnsi="Arial"/>
          <w:sz w:val="15"/>
          <w:szCs w:val="15"/>
          <w:color w:val="auto"/>
        </w:rPr>
        <w:t>executed proxy card from the legal entity appointing you as its proxy. A letter or other document will not be sufficient for you to vote on behalf of a trust, partnership or other legal entity other than a corporation.</w:t>
      </w:r>
    </w:p>
    <w:p>
      <w:pPr>
        <w:spacing w:after="0" w:line="97" w:lineRule="exact"/>
        <w:rPr>
          <w:sz w:val="20"/>
          <w:szCs w:val="20"/>
          <w:color w:val="auto"/>
        </w:rPr>
      </w:pPr>
    </w:p>
    <w:p>
      <w:pPr>
        <w:spacing w:after="0" w:line="305" w:lineRule="auto"/>
        <w:rPr>
          <w:sz w:val="20"/>
          <w:szCs w:val="20"/>
          <w:color w:val="auto"/>
        </w:rPr>
      </w:pPr>
      <w:r>
        <w:rPr>
          <w:rFonts w:ascii="Arial" w:cs="Arial" w:eastAsia="Arial" w:hAnsi="Arial"/>
          <w:sz w:val="15"/>
          <w:szCs w:val="15"/>
          <w:b w:val="1"/>
          <w:bCs w:val="1"/>
          <w:color w:val="auto"/>
        </w:rPr>
        <w:t>Beneficial Owners</w:t>
      </w:r>
      <w:r>
        <w:rPr>
          <w:rFonts w:ascii="Arial" w:cs="Arial" w:eastAsia="Arial" w:hAnsi="Arial"/>
          <w:sz w:val="15"/>
          <w:szCs w:val="15"/>
          <w:color w:val="auto"/>
        </w:rPr>
        <w:t>. If you hold your shares in street name, your bank, broker or their appointed agent is forwarding these proxy materials</w:t>
      </w:r>
      <w:r>
        <w:rPr>
          <w:rFonts w:ascii="Arial" w:cs="Arial" w:eastAsia="Arial" w:hAnsi="Arial"/>
          <w:sz w:val="15"/>
          <w:szCs w:val="15"/>
          <w:b w:val="1"/>
          <w:bCs w:val="1"/>
          <w:color w:val="auto"/>
        </w:rPr>
        <w:t xml:space="preserve"> </w:t>
      </w:r>
      <w:r>
        <w:rPr>
          <w:rFonts w:ascii="Arial" w:cs="Arial" w:eastAsia="Arial" w:hAnsi="Arial"/>
          <w:sz w:val="15"/>
          <w:szCs w:val="15"/>
          <w:color w:val="auto"/>
        </w:rPr>
        <w:t>to you. Because your name does not appear on the share register of the Company, you will not be able to vote in person at the Annual Meeting unless you request a legal proxy from your bank or broker and bring it with you to the Annual Meeting.</w:t>
      </w:r>
    </w:p>
    <w:p>
      <w:pPr>
        <w:spacing w:after="0" w:line="99" w:lineRule="exact"/>
        <w:rPr>
          <w:sz w:val="20"/>
          <w:szCs w:val="20"/>
          <w:color w:val="auto"/>
        </w:rPr>
      </w:pPr>
    </w:p>
    <w:p>
      <w:pPr>
        <w:ind w:left="120" w:right="160" w:hanging="115"/>
        <w:spacing w:after="0" w:line="324" w:lineRule="auto"/>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Individuals. </w:t>
      </w:r>
      <w:r>
        <w:rPr>
          <w:rFonts w:ascii="Arial" w:cs="Arial" w:eastAsia="Arial" w:hAnsi="Arial"/>
          <w:sz w:val="15"/>
          <w:szCs w:val="15"/>
          <w:color w:val="auto"/>
        </w:rPr>
        <w:t>As an individual, the legal proxy will have your name on it. You must present the legal proxy at check-in to the inspector of</w:t>
      </w:r>
      <w:r>
        <w:rPr>
          <w:rFonts w:ascii="Arial" w:cs="Arial" w:eastAsia="Arial" w:hAnsi="Arial"/>
          <w:sz w:val="15"/>
          <w:szCs w:val="15"/>
          <w:i w:val="1"/>
          <w:iCs w:val="1"/>
          <w:color w:val="auto"/>
        </w:rPr>
        <w:t xml:space="preserve"> </w:t>
      </w:r>
      <w:r>
        <w:rPr>
          <w:rFonts w:ascii="Arial" w:cs="Arial" w:eastAsia="Arial" w:hAnsi="Arial"/>
          <w:sz w:val="15"/>
          <w:szCs w:val="15"/>
          <w:color w:val="auto"/>
        </w:rPr>
        <w:t>election at the Annual Meeting to receive your ballots.</w:t>
      </w:r>
    </w:p>
    <w:p>
      <w:pPr>
        <w:spacing w:after="0" w:line="71" w:lineRule="exact"/>
        <w:rPr>
          <w:rFonts w:ascii="Arial" w:cs="Arial" w:eastAsia="Arial" w:hAnsi="Arial"/>
          <w:sz w:val="15"/>
          <w:szCs w:val="15"/>
          <w:color w:val="auto"/>
        </w:rPr>
      </w:pPr>
    </w:p>
    <w:p>
      <w:pPr>
        <w:ind w:left="120" w:right="20" w:hanging="115"/>
        <w:spacing w:after="0" w:line="304" w:lineRule="auto"/>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Individuals Voting on Behalf of a Beneficial Owner. </w:t>
      </w:r>
      <w:r>
        <w:rPr>
          <w:rFonts w:ascii="Arial" w:cs="Arial" w:eastAsia="Arial" w:hAnsi="Arial"/>
          <w:sz w:val="15"/>
          <w:szCs w:val="15"/>
          <w:color w:val="auto"/>
        </w:rPr>
        <w:t>Because the legal proxy will not have your name on it, to receive your ballots, you</w:t>
      </w:r>
      <w:r>
        <w:rPr>
          <w:rFonts w:ascii="Arial" w:cs="Arial" w:eastAsia="Arial" w:hAnsi="Arial"/>
          <w:sz w:val="15"/>
          <w:szCs w:val="15"/>
          <w:i w:val="1"/>
          <w:iCs w:val="1"/>
          <w:color w:val="auto"/>
        </w:rPr>
        <w:t xml:space="preserve"> </w:t>
      </w:r>
      <w:r>
        <w:rPr>
          <w:rFonts w:ascii="Arial" w:cs="Arial" w:eastAsia="Arial" w:hAnsi="Arial"/>
          <w:sz w:val="15"/>
          <w:szCs w:val="15"/>
          <w:color w:val="auto"/>
        </w:rPr>
        <w:t>must bring to the Annual Meeting a letter from the person or entity named on the legal proxy that authorizes you to vote its shares at the Annual Meeting.</w:t>
      </w:r>
    </w:p>
    <w:p>
      <w:pPr>
        <w:sectPr>
          <w:pgSz w:w="11900" w:h="16838" w:orient="portrait"/>
          <w:cols w:equalWidth="0" w:num="1">
            <w:col w:w="9340"/>
          </w:cols>
          <w:pgMar w:left="1300" w:top="119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3" w:right="1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2661A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What does it mean to vote by designated proxies?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The persons who are the designated proxies will vote as you direct in your proxy or voter instruction card.</w:t>
      </w:r>
    </w:p>
    <w:p>
      <w:pPr>
        <w:spacing w:after="0" w:line="173"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color w:val="auto"/>
        </w:rPr>
        <w:t>Please note that proxies returned without voting directions, and without specifying a proxy to attend the Annual Meeting and vote on your behalf, will be voted by the proxies designated by our Board in accordance with the recommendations of our Board.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89C6F0"/>
        </w:rPr>
        <w:t>What if I want to change or revoke my vote?</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You may revoke or change your proxy any time before the Annual Meeting by:</w:t>
      </w:r>
    </w:p>
    <w:p>
      <w:pPr>
        <w:spacing w:after="0" w:line="160" w:lineRule="exact"/>
        <w:rPr>
          <w:sz w:val="20"/>
          <w:szCs w:val="20"/>
          <w:color w:val="auto"/>
        </w:rPr>
      </w:pPr>
    </w:p>
    <w:p>
      <w:pPr>
        <w:ind w:left="120" w:hanging="115"/>
        <w:spacing w:after="0"/>
        <w:tabs>
          <w:tab w:leader="none" w:pos="1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Submitting a later vote via the Internet or telephone prior to 11:59 p.m., Pacific Time, on April 8, 2025; or</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Submitting a properly signed proxy card with a later date that is received at or prior to the Annual Meeting; or</w:t>
      </w:r>
    </w:p>
    <w:p>
      <w:pPr>
        <w:spacing w:after="0" w:line="172" w:lineRule="exact"/>
        <w:rPr>
          <w:rFonts w:ascii="Arial" w:cs="Arial" w:eastAsia="Arial" w:hAnsi="Arial"/>
          <w:sz w:val="15"/>
          <w:szCs w:val="15"/>
          <w:color w:val="auto"/>
        </w:rPr>
      </w:pPr>
    </w:p>
    <w:p>
      <w:pPr>
        <w:ind w:left="120" w:right="160" w:hanging="115"/>
        <w:spacing w:after="0" w:line="324" w:lineRule="auto"/>
        <w:tabs>
          <w:tab w:leader="none" w:pos="1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Providing notice in writing before the meeting to: Mark Palamountain, Executive Vice President, Chief Financial Officer and Treasurer, Limoneira Company, 1141 Cummings Road, Santa Paula, California 93060 or by facsimile to (805) 525-8211.</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What if I submit a proxy without giving specific voting instructions?</w:t>
      </w:r>
    </w:p>
    <w:p>
      <w:pPr>
        <w:spacing w:after="0" w:line="47"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color w:val="auto"/>
        </w:rPr>
        <w:t>If you properly submit a proxy without giving specific voting instructions, the individuals named as proxies on the proxy card will vote your shares:</w:t>
      </w:r>
    </w:p>
    <w:p>
      <w:pPr>
        <w:spacing w:after="0" w:line="82" w:lineRule="exact"/>
        <w:rPr>
          <w:sz w:val="20"/>
          <w:szCs w:val="20"/>
          <w:color w:val="auto"/>
        </w:rPr>
      </w:pPr>
    </w:p>
    <w:p>
      <w:pPr>
        <w:ind w:left="120" w:hanging="115"/>
        <w:spacing w:after="0"/>
        <w:tabs>
          <w:tab w:leader="none" w:pos="12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the three (3) Class II nominees for directors to the Board of Directors;</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on an advisory basis, of the compensation of the Company’s Named Executive Officers;</w:t>
      </w:r>
    </w:p>
    <w:p>
      <w:pPr>
        <w:spacing w:after="0" w:line="172" w:lineRule="exact"/>
        <w:rPr>
          <w:rFonts w:ascii="Arial" w:cs="Arial" w:eastAsia="Arial" w:hAnsi="Arial"/>
          <w:sz w:val="15"/>
          <w:szCs w:val="15"/>
          <w:color w:val="auto"/>
        </w:rPr>
      </w:pPr>
    </w:p>
    <w:p>
      <w:pPr>
        <w:ind w:left="120" w:right="280" w:hanging="115"/>
        <w:spacing w:after="0" w:line="327" w:lineRule="auto"/>
        <w:tabs>
          <w:tab w:leader="none" w:pos="120" w:val="left"/>
        </w:tabs>
        <w:numPr>
          <w:ilvl w:val="0"/>
          <w:numId w:val="14"/>
        </w:numPr>
        <w:rPr>
          <w:rFonts w:ascii="Arial" w:cs="Arial" w:eastAsia="Arial" w:hAnsi="Arial"/>
          <w:sz w:val="15"/>
          <w:szCs w:val="15"/>
          <w:i w:val="1"/>
          <w:iCs w:val="1"/>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Deloitte &amp; Touche LLP as the Company’s independent registered public accounting firm for fiscal year ending</w:t>
      </w:r>
      <w:r>
        <w:rPr>
          <w:rFonts w:ascii="Arial" w:cs="Arial" w:eastAsia="Arial" w:hAnsi="Arial"/>
          <w:sz w:val="15"/>
          <w:szCs w:val="15"/>
          <w:b w:val="1"/>
          <w:bCs w:val="1"/>
          <w:color w:val="auto"/>
        </w:rPr>
        <w:t xml:space="preserve"> </w:t>
      </w:r>
      <w:r>
        <w:rPr>
          <w:rFonts w:ascii="Arial" w:cs="Arial" w:eastAsia="Arial" w:hAnsi="Arial"/>
          <w:sz w:val="15"/>
          <w:szCs w:val="15"/>
          <w:color w:val="auto"/>
        </w:rPr>
        <w:t>October 31, 2025; and</w:t>
      </w:r>
    </w:p>
    <w:p>
      <w:pPr>
        <w:spacing w:after="0" w:line="81" w:lineRule="exact"/>
        <w:rPr>
          <w:rFonts w:ascii="Arial" w:cs="Arial" w:eastAsia="Arial" w:hAnsi="Arial"/>
          <w:sz w:val="15"/>
          <w:szCs w:val="15"/>
          <w:i w:val="1"/>
          <w:iCs w:val="1"/>
          <w:color w:val="auto"/>
        </w:rPr>
      </w:pPr>
    </w:p>
    <w:p>
      <w:pPr>
        <w:ind w:left="120" w:right="380" w:hanging="115"/>
        <w:spacing w:after="0" w:line="324" w:lineRule="auto"/>
        <w:tabs>
          <w:tab w:leader="none" w:pos="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accordance with the best judgment of the individuals named as proxies on the proxy card on any other matters properly brought before the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Will my shares be voted if I do not provide my proxy?</w:t>
      </w:r>
    </w:p>
    <w:p>
      <w:pPr>
        <w:spacing w:after="0" w:line="47"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If you are a registered stockholder and do not submit a proxy, you must attend the meeting to vote your shares up until voting is announced to be closed at the Annual Meeting. If you hold shares in “street name,” your shares may be voted with respect to discretionary matters even if you do not provide voting instructions to your bank or broker but will not be voted with respect to non-discretionary items, pursuant to current industry practice. In the case of non-discretionary items, shares not voted are treated as “broker non-votes.”</w:t>
      </w:r>
    </w:p>
    <w:p>
      <w:pPr>
        <w:spacing w:after="0" w:line="30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proposals to elect three (3) Class II directors (Proposal 1) and to vote on an advisory resolution to approve the executive compensation (Proposal 2) are considered non-discretionary items; therefore, you must provide instructions in order to have your shares voted on these matters. If your shares are held in street name and you do not instruct your broker how to vote, your broker will have discretion to vote your shares on our sole “routine” matter - Proposal 3, the ratification of the appointment of Deloitte &amp; Touche LLP as the Company’s independent registered public accounting firm to perform the audit of our consolidated financial statements for the fiscal year ending October 31, 2025.</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What constitutes a quorum, permitting the meeting to conduct its business?</w:t>
      </w:r>
    </w:p>
    <w:p>
      <w:pPr>
        <w:spacing w:after="0" w:line="4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presence at the Annual Meeting, participating in person or by proxy, of holders of a majority of the issued and outstanding shares of Voting Stock entitled to vote as of the Record Date is considered a quorum for the transaction of business at the Annual Meeting. If you attend the Annual Meeting to vote in person or submit a properly completed proxy by mail, by telephone or via the Internet, your shares of Voting Stock will be considered part of the quorum.</w:t>
      </w:r>
    </w:p>
    <w:p>
      <w:pPr>
        <w:spacing w:after="0" w:line="106"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Shares represented by proxies that are marked “Abstain” or “Withhold” will be counted as shares present for purposes of determining the presence of a quorum. Shares of stock entitled to vote that are represented by broker non-votes will be counted as shares present for purposes of determining the presence of a quorum. A broker non-vote occurs when the broker holding shares for a beneficial owner does not vote on a particular proposal because the broker does not have discretionary voting power to vote on that proposal without specific voting instructions from the beneficial owner.</w:t>
      </w:r>
    </w:p>
    <w:p>
      <w:pPr>
        <w:sectPr>
          <w:pgSz w:w="11900" w:h="16838" w:orient="portrait"/>
          <w:cols w:equalWidth="0" w:num="1">
            <w:col w:w="9320"/>
          </w:cols>
          <w:pgMar w:left="1300" w:top="11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197" w:right="1279" w:bottom="1440" w:gutter="0" w:footer="0" w:header="0"/>
          <w:type w:val="continuous"/>
        </w:sectPr>
      </w:pPr>
    </w:p>
    <w:bookmarkStart w:id="12" w:name="page13"/>
    <w:bookmarkEnd w:id="12"/>
    <w:p>
      <w:pPr>
        <w:ind w:right="80"/>
        <w:spacing w:after="0" w:line="32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If the persons present or represented by proxies at the Annual Meeting do not constitute a quorum, we will postpone the Annual Meeting to a later date.</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How many votes are needed to approve a proposal?</w:t>
      </w:r>
    </w:p>
    <w:p>
      <w:pPr>
        <w:spacing w:after="0" w:line="47"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auto"/>
        </w:rPr>
        <w:t>For the proposal to elect three (3) Class I directors to the Board of Directors (Proposal 1), each director nominee receiving a plurality of the votes cast at the Annual Meeting will be elected as a director. Stockholders of any class or series of stock shall be permitted to cumulate votes for the election of directors.</w:t>
      </w:r>
    </w:p>
    <w:p>
      <w:pPr>
        <w:spacing w:after="0" w:line="99"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The proposal to approve, on an advisory basis, of the compensation of the Company’s named executive officers (“NEOs”) (Proposal 2), and the proposal to ratify the appointment of Deloitte &amp; Touche LLP as the Company’s independent registered public accounting firm to perform the audit of our consolidated financial statements for the fiscal year ended October 31, 2025 (Proposal 3), each require the affirmative vote of the holders of at least a majority of the outstanding shares present, in person or by proxy, at the Annual Meeting and entitled to vote thereon. Abstentions have the same effect as a vote “against” the proposal. Broker non-votes have no impact on these proposals.</w:t>
      </w:r>
    </w:p>
    <w:p>
      <w:pPr>
        <w:spacing w:after="0" w:line="97"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Computershare, the proxy tabulator and inspector of election appointed for the Annual Meeting, will tabulate all votes. Computershare will separately tabulate affirmative and negative votes, abstentions and broker non-votes.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How is solicitation being made?</w:t>
      </w:r>
    </w:p>
    <w:p>
      <w:pPr>
        <w:spacing w:after="0" w:line="47" w:lineRule="exact"/>
        <w:rPr>
          <w:sz w:val="20"/>
          <w:szCs w:val="20"/>
          <w:color w:val="auto"/>
        </w:rPr>
      </w:pPr>
    </w:p>
    <w:p>
      <w:pPr>
        <w:jc w:val="both"/>
        <w:ind w:right="100"/>
        <w:spacing w:after="0" w:line="291" w:lineRule="auto"/>
        <w:rPr>
          <w:sz w:val="20"/>
          <w:szCs w:val="20"/>
          <w:color w:val="auto"/>
        </w:rPr>
      </w:pPr>
      <w:r>
        <w:rPr>
          <w:rFonts w:ascii="Arial" w:cs="Arial" w:eastAsia="Arial" w:hAnsi="Arial"/>
          <w:sz w:val="15"/>
          <w:szCs w:val="15"/>
          <w:color w:val="auto"/>
        </w:rPr>
        <w:t>We, the Company, are making this solicitation and as such, the cost of solicitation of proxies will be borne by us. Our directors, officers, and employees may make solicitation, personally or by telephone, email or fax. The Notice of Annual Meeting, the proxy statement, and proxy card will be distributed to beneficial owners of Voting Stock through brokers, custodians, nominees and other like parties, and we expect to reimburse such parties for their charges and expenses. We have retained Sodali &amp; Co. (“Sodali”), a proxy solicitor, to assist us in the solicitation of proxies for the Annual Meeting. The Company will pay Sodali $25,000 plus reimbursement for its reasonable out-of-pocket expenses. The Company will indemnify Sodali and its affiliates against certain claims, liabilities, losses, damages and expenses for its services as our proxy solicitor.</w:t>
      </w:r>
    </w:p>
    <w:p>
      <w:pPr>
        <w:spacing w:after="0" w:line="9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We may supplement the original solicitation of proxies by mail with solicitation by telephone, and other means by directors, officers and/or employees of the Company and by Internet, phone, or other means by Sodali. We will not pay any additional compensation to these individuals, other than Sodali, for any such services.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What should I do if I have any questions?</w:t>
      </w:r>
    </w:p>
    <w:p>
      <w:pPr>
        <w:spacing w:after="0" w:line="47"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color w:val="auto"/>
        </w:rPr>
        <w:t>If you have any questions or require any assistance with voting your shares of Voting Stock, please contact Sodali, our proxy solicitor, by calling (800) 662-5200, or banks and brokers can call (203) 658-9400, or email LMNR@investor.sodali.com.</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How can I find out the results of the voting at the Annual Meeting?</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Preliminary voting results will be announced at the Annual Meeting. In addition, final voting results will be published in a current report on Form 8-K within four (4) business days after the Annual Meeting. If final voting results are not available to us at that time, we intend to file a current report on Form 8-K to publish preliminary results and, within four (4) business days after the final results are known to us, file an amendment to such current report on Form 8-K to publish the final results.</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tabs>
          <w:tab w:leader="none" w:pos="462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Fiscal Year Highlights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Business Performance / Fiscal Year 2024 Achievements / Recent Events</w:t>
      </w:r>
    </w:p>
    <w:p>
      <w:pPr>
        <w:spacing w:after="0" w:line="91"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On December 1, 2023, we announced the commencement of a strategic review process to explore potential alternatives aimed at maximizing stockholder value (“Strategic Alternatives Process”). Potential strategic alternatives could include, but are not limited to, a sale of all or part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spacing w:after="0" w:line="108"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color w:val="auto"/>
        </w:rPr>
        <w:t>In December 2023, we sold twelve (12) acres of real property located in Yuma, Arizona, for a sales price of $0.8 million. After transaction and closing costs, we recorded a gain on sale of approximately $0.2 million.</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In April 2024, the Company conducted an organization restructuring resulting in severance benefit costs of approximately $1.2 million.</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On April 30, 2024, our real estate development joint venture with The Lewis Group of Companies (“Lewis”) closed an additional 554 residential homesites at the Harvest at Limoneira master planned community in Santa Paula, CA (“Harvest”) and we recorded equity in earnings of investments of $16.6 million in the second quarter of fiscal year 2024. On June 5, 2024, we received a cash distribution of $15.0 million from the joint venture.</w:t>
      </w:r>
    </w:p>
    <w:p>
      <w:pPr>
        <w:spacing w:after="0" w:line="106" w:lineRule="exact"/>
        <w:rPr>
          <w:sz w:val="20"/>
          <w:szCs w:val="20"/>
          <w:color w:val="auto"/>
        </w:rPr>
      </w:pPr>
    </w:p>
    <w:p>
      <w:pPr>
        <w:ind w:right="140"/>
        <w:spacing w:after="0" w:line="294" w:lineRule="auto"/>
        <w:rPr>
          <w:sz w:val="20"/>
          <w:szCs w:val="20"/>
          <w:color w:val="auto"/>
        </w:rPr>
      </w:pPr>
      <w:r>
        <w:rPr>
          <w:rFonts w:ascii="Arial" w:cs="Arial" w:eastAsia="Arial" w:hAnsi="Arial"/>
          <w:sz w:val="15"/>
          <w:szCs w:val="15"/>
          <w:color w:val="auto"/>
        </w:rPr>
        <w:t>On May 7, 2024, it was announced that the Santa Paula City Council approved the proposal brought by the Company’s real estate development joint venture with Lewis to increase the number of entitled lots at Harvest from 1,500 dwelling units to 2,050 dwelling units. The Santa Paula City Council approved an amendment allowing for the 550-unit increase on April 3, 2024. The 550-unit increase will provide 250 additional single family for-sale homesites within Phase 3 of Harvest. Additionally, the Company in partnership with Lewis plans to construct 300 multi-family rental homes on a mixed-use portion of the project.</w:t>
      </w:r>
    </w:p>
    <w:p>
      <w:pPr>
        <w:spacing w:after="0" w:line="95"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On December 19, 2023, we declared a cash dividend of $0.075 per common share payable on January 12, 2024, in the aggregate amount of approximately $1.3 million to holders of Common Stock of record as of January 2, 2024. On March 19, 2024, we declared a cash dividend of $0.075 per common share payable on April 12, 2024, in the aggregate amount of approximately $1.3 million to holders of Common Stock of record as of April 1, 2024. On June 25, 2024, we declared a cash dividend of $0.075 per common share payable on July 19, 2024, in the aggregate amount of approximately $1.4 million to holders of Common Stock of record as of July 8, 2024. On September 24, 2024, we declared a cash dividend of $0.075 per common share payable on October 18, 2024, in the aggregate amount of approximately $1.4 million to holders of Common Stock of record as of October 7, 2024.</w:t>
      </w:r>
    </w:p>
    <w:p>
      <w:pPr>
        <w:spacing w:after="0" w:line="109" w:lineRule="exact"/>
        <w:rPr>
          <w:sz w:val="20"/>
          <w:szCs w:val="20"/>
          <w:color w:val="auto"/>
        </w:rPr>
      </w:pPr>
    </w:p>
    <w:p>
      <w:pPr>
        <w:ind w:right="500"/>
        <w:spacing w:after="0" w:line="324" w:lineRule="auto"/>
        <w:rPr>
          <w:sz w:val="20"/>
          <w:szCs w:val="20"/>
          <w:color w:val="auto"/>
        </w:rPr>
      </w:pPr>
      <w:r>
        <w:rPr>
          <w:rFonts w:ascii="Arial" w:cs="Arial" w:eastAsia="Arial" w:hAnsi="Arial"/>
          <w:sz w:val="15"/>
          <w:szCs w:val="15"/>
          <w:color w:val="auto"/>
        </w:rPr>
        <w:t>On December 17, 2024, we declared a cash dividend of $0.075 per common share payable on January 15, 2025, in the aggregate amount of approximately $1.4 million to holders of Common Stock of record as of December 30, 2024.</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On February 19, 2025, the Board adopted an Amended and Restated Clawback Policy that provides for the recoupment of erroneously awarded executive compensation, including both performance-based and time-based incentive compensation, in the event an accounting restatement is required. The Clawback Policy is designed to comply with Section 10D of the Securities Exchange Act of 1934, as amended (the “Exchange Act”), Exchange Act Rule 10D-1, and Nasdaq Stock Market Listing Rule 5608. The Clawback Policy is available on our website at https://investor.limoneira.com/corporate-governance/overview.</w:t>
      </w:r>
    </w:p>
    <w:p>
      <w:pPr>
        <w:sectPr>
          <w:pgSz w:w="11900" w:h="16838" w:orient="portrait"/>
          <w:cols w:equalWidth="0" w:num="1">
            <w:col w:w="9340"/>
          </w:cols>
          <w:pgMar w:left="1300" w:top="107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072" w:right="125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Environmental, Social and Governance Initiatives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Our Mission Statement</w:t>
      </w:r>
    </w:p>
    <w:p>
      <w:pPr>
        <w:spacing w:after="0" w:line="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b w:val="1"/>
          <w:bCs w:val="1"/>
          <w:i w:val="1"/>
          <w:iCs w:val="1"/>
          <w:color w:val="auto"/>
        </w:rPr>
        <w:t>“Limoneira is an agricultural and community development company which, based upon its rich heritage and traditions, seeks to not only maximize value for its customers and stockholders, but to enhance its legacy by employing sustainable practices in all aspects of operations including stewardship of both its natural and human resources.”</w:t>
      </w:r>
    </w:p>
    <w:p>
      <w:pPr>
        <w:spacing w:after="0" w:line="8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Since 1893, Limoneira has been dedicated to fostering the wellbeing of our communities, employees, and their families. We are committed to being a force for good within our local neighborhoods, conducting business with unwavering ethics, caring for the land that supports us, and promoting inclusivity. Our success is not just measured in dollars, but it is manifested by the tangible improvements of the lives and communities we support. Our environmental sustainability, social responsibility, and corporate governance (“ESG”) efforts are governed at the highest level and includes Board and committee oversight, executive leadership and subject matter experts who lead initiatives across our business. We listen to feedback from our employees, stakeholders, investors, business partners, and other essential contributors to continually evolve our practices as we strive to exceed their expectations.</w:t>
      </w:r>
    </w:p>
    <w:p>
      <w:pPr>
        <w:spacing w:after="0" w:line="10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Nominating and Corporate Governance Committee (the “Nominating Committee”) of our Board oversees our ESG programs and practices, including climate change, human capital management, diversity, stakeholder relations, and health, safety and the environment. The Nominating Committee considers long- and short-term trends and their potential environmental and social impacts to our business. The Nominating Committee’s role in overseeing our ESG programs has been formally designated and codified in the Nominating Committee’s charter. The Chairperson of this committee, Elizabeth Mora, is a seasoned ESG professional who provides guidance to our Board and management. Our ESG programs are managed by our Vice President of Compliance and Corporate Secretary, Amy Fukutomi. Our Corporate Social Responsibility Committee (“CSR Committee”), which oversees human rights, supply chain and customer social audits, is chaired by our Director of Human Resources, Debra Walker. We also have an ESG Council comprised of members of senior management, company Vice Presidents and department stakeholders.</w:t>
      </w:r>
    </w:p>
    <w:p>
      <w:pPr>
        <w:sectPr>
          <w:pgSz w:w="11900" w:h="16838" w:orient="portrait"/>
          <w:cols w:equalWidth="0" w:num="1">
            <w:col w:w="9340"/>
          </w:cols>
          <w:pgMar w:left="1300" w:top="107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072" w:right="1259" w:bottom="1440" w:gutter="0" w:footer="0" w:header="0"/>
          <w:type w:val="continuous"/>
        </w:sectPr>
      </w:pPr>
    </w:p>
    <w:bookmarkStart w:id="15" w:name="page16"/>
    <w:bookmarkEnd w:id="15"/>
    <w:p>
      <w:pPr>
        <w:ind w:right="20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The ESG Council also functions as the Company’s Environmental Management System (“EMS”), which provides a formal structure for reducing our environmental impact and improving operating efficiency. The roadmap of our EMS, as set forth below, outlines the procedure for continuously identifying problems, planning and implementing the solutions, measuring progress, and reviewing results before returning to the identification phase. Our Board considers any environmental, social, or health and safety matters at each of its regular meetings with reports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Sustainable Development Goals Roadmap</w:t>
      </w:r>
    </w:p>
    <w:p>
      <w:pPr>
        <w:spacing w:after="0" w:line="200"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Limoneira aligns with the United Nation’s Sustainable Development Goals (“SDGs”). While the goals were originally developed for use by governments, the goals prove to be valuable for corporations as well. We use the SDGs to inform the direction of our sustainability program and to align on common goals with other like-minded institutions.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89C6F0"/>
        </w:rPr>
        <w:t>Environmental:</w:t>
      </w:r>
    </w:p>
    <w:p>
      <w:pPr>
        <w:spacing w:after="0" w:line="39" w:lineRule="exact"/>
        <w:rPr>
          <w:sz w:val="20"/>
          <w:szCs w:val="20"/>
          <w:color w:val="auto"/>
        </w:rPr>
      </w:pPr>
    </w:p>
    <w:p>
      <w:pPr>
        <w:ind w:left="120" w:right="2880"/>
        <w:spacing w:after="0" w:line="300" w:lineRule="auto"/>
        <w:rPr>
          <w:sz w:val="20"/>
          <w:szCs w:val="20"/>
          <w:color w:val="auto"/>
        </w:rPr>
      </w:pPr>
      <w:r>
        <w:rPr>
          <w:rFonts w:ascii="Arial" w:cs="Arial" w:eastAsia="Arial" w:hAnsi="Arial"/>
          <w:sz w:val="15"/>
          <w:szCs w:val="15"/>
          <w:color w:val="auto"/>
        </w:rPr>
        <w:t>We are dedicated to continual improvement and the adoption of practices that strengthen our business, minimize negative environmental impact, and ensure the long-term viability of our operations.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89C6F0"/>
        </w:rPr>
        <w:t>Social:</w:t>
      </w:r>
    </w:p>
    <w:p>
      <w:pPr>
        <w:spacing w:after="0" w:line="47" w:lineRule="exact"/>
        <w:rPr>
          <w:sz w:val="20"/>
          <w:szCs w:val="20"/>
          <w:color w:val="auto"/>
        </w:rPr>
      </w:pPr>
    </w:p>
    <w:p>
      <w:pPr>
        <w:ind w:left="120" w:right="2500"/>
        <w:spacing w:after="0" w:line="324" w:lineRule="auto"/>
        <w:rPr>
          <w:sz w:val="20"/>
          <w:szCs w:val="20"/>
          <w:color w:val="auto"/>
        </w:rPr>
      </w:pPr>
      <w:r>
        <w:rPr>
          <w:rFonts w:ascii="Arial" w:cs="Arial" w:eastAsia="Arial" w:hAnsi="Arial"/>
          <w:sz w:val="15"/>
          <w:szCs w:val="15"/>
          <w:color w:val="auto"/>
        </w:rPr>
        <w:t>We are committed to improving the lives of all our stakeholders by helping to provide access to our products, increasing the diversity within our Company, and safeguarding human rights.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89C6F0"/>
        </w:rPr>
        <w:t>Governance:</w:t>
      </w:r>
    </w:p>
    <w:p>
      <w:pPr>
        <w:spacing w:after="0" w:line="47" w:lineRule="exact"/>
        <w:rPr>
          <w:sz w:val="20"/>
          <w:szCs w:val="20"/>
          <w:color w:val="auto"/>
        </w:rPr>
      </w:pPr>
    </w:p>
    <w:p>
      <w:pPr>
        <w:ind w:left="120" w:right="2760"/>
        <w:spacing w:after="0" w:line="324" w:lineRule="auto"/>
        <w:rPr>
          <w:sz w:val="20"/>
          <w:szCs w:val="20"/>
          <w:color w:val="auto"/>
        </w:rPr>
      </w:pPr>
      <w:r>
        <w:rPr>
          <w:rFonts w:ascii="Arial" w:cs="Arial" w:eastAsia="Arial" w:hAnsi="Arial"/>
          <w:sz w:val="15"/>
          <w:szCs w:val="15"/>
          <w:color w:val="auto"/>
        </w:rPr>
        <w:t>We are resolute in upholding strong governance practices to protect the interests of and create long-term value for our investors, supply chain, customers, employees and communities.</w:t>
      </w:r>
    </w:p>
    <w:p>
      <w:pPr>
        <w:sectPr>
          <w:pgSz w:w="11900" w:h="16838" w:orient="portrait"/>
          <w:cols w:equalWidth="0" w:num="1">
            <w:col w:w="9300"/>
          </w:cols>
          <w:pgMar w:left="1300" w:top="121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215" w:right="1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Governance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Corporate Accountability</w:t>
      </w:r>
    </w:p>
    <w:p>
      <w:pPr>
        <w:spacing w:after="0" w:line="47"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Operating ethically and with integrity while abiding by local, regional, and national regulatory and legal standards governing our industry is an integral part of how we do business — and we expect the same from our partners and supply chain. We disclose policies on our website that govern how we operate and help ensure enterprise-wide compliance to further increase the trust and support of our stakeholders.</w:t>
      </w:r>
    </w:p>
    <w:p>
      <w:pPr>
        <w:spacing w:after="0" w:line="289" w:lineRule="exact"/>
        <w:rPr>
          <w:sz w:val="20"/>
          <w:szCs w:val="20"/>
          <w:color w:val="auto"/>
        </w:rPr>
      </w:pPr>
    </w:p>
    <w:p>
      <w:pPr>
        <w:ind w:right="340"/>
        <w:spacing w:after="0" w:line="297" w:lineRule="auto"/>
        <w:rPr>
          <w:sz w:val="20"/>
          <w:szCs w:val="20"/>
          <w:color w:val="auto"/>
        </w:rPr>
      </w:pPr>
      <w:r>
        <w:rPr>
          <w:rFonts w:ascii="Arial" w:cs="Arial" w:eastAsia="Arial" w:hAnsi="Arial"/>
          <w:sz w:val="15"/>
          <w:szCs w:val="15"/>
          <w:color w:val="auto"/>
        </w:rPr>
        <w:t>Every Company employee is guided by our Code of Ethics (“Ethics Code”). The Ethics Code applies to our Board, all employees and others conducting business on our behalf, including consultants, contract workers and temporary workers (as applicable by law). We require annual certification of our Ethics Code by employees and our Board. See additional details under the heading “Corporate Governance and Related Matters.”</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Risk Management</w:t>
      </w:r>
    </w:p>
    <w:p>
      <w:pPr>
        <w:spacing w:after="0" w:line="47"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Risk management is an essential and dynamic process involving the identification, evaluation, and response to potential threats and uncertainties that could potentially impact the business. Risks may arise from a variety of sources including regulatory changes, environmental factors, natural disasters, economic pressures, technological disruptions, health and safety, and human rights risks across the supply chain. Ultimate oversight of the Company’s risks lies with the Board and its Risk Management Committee (“Risk Committee”).</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Cybersecurity</w:t>
      </w:r>
    </w:p>
    <w:p>
      <w:pPr>
        <w:spacing w:after="0" w:line="47"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Limoneira recognizes that cybersecurity is an important aspect of risk management. Our Board and its Risk Committee oversee our cybersecurity program and receive regular reports from our management team to ensure that directors are fully versed on this topic and evaluate the program on a continual basis for its scope and efficacy. Our Vice President of Packing and Technology and Director of Information Technology directly manage information security and lead the development of enterprise-wide policies, standards, strategies, architectures, and processes. We also work with our independent registered public accounting firm and internal auditors to continually develop and evaluate our programs.</w:t>
      </w:r>
    </w:p>
    <w:p>
      <w:pPr>
        <w:spacing w:after="0" w:line="110"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We are committed to continued investment and strengthening of our computer systems, software, networks, and other technological assets. Our information security program is designed to preserve the integrity, confidentiality, and continued availability of data owned by, or in the care of, the Company and to protect against cybersecurity attacks by unauthorized parties or individuals attempting to gain access to confidential information, destroy data, degrade or disrupt service, sabotage systems, or otherwise cause damage. Our information security practices are governed by the following policies and practices:</w:t>
      </w:r>
    </w:p>
    <w:p>
      <w:pPr>
        <w:spacing w:after="0" w:line="95" w:lineRule="exact"/>
        <w:rPr>
          <w:sz w:val="20"/>
          <w:szCs w:val="20"/>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Cybersecurity Risk Management Policy</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Governance and Capability Model</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Incident Response Plan</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Acceptable Use of Information Technology Resources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Information Security Policy</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Data Classification Standard</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Third-Party Security Standard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Social</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Community Involvement, Philanthropy and Education</w:t>
      </w:r>
    </w:p>
    <w:p>
      <w:pPr>
        <w:spacing w:after="0" w:line="4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Limoneira adopts a comprehensive approach to social responsibility, serving as a steadfast ally to its surrounding communities. From fostering educational avenues, making donations, to championing volunteerism, we take pride in our endeavors to uplift communities and support those in need. Our dedication transcends mere gestures; it’s woven into partnerships like the one with Food Share of Ventura County, ensuring that vital, nourishing sustenance reaches those facing hardships. We actively participate in initiatives like Crime Stoppers, contributing to the safety of our neighborhoods.</w:t>
      </w:r>
    </w:p>
    <w:p>
      <w:pPr>
        <w:sectPr>
          <w:pgSz w:w="11900" w:h="16838" w:orient="portrait"/>
          <w:cols w:equalWidth="0" w:num="1">
            <w:col w:w="9340"/>
          </w:cols>
          <w:pgMar w:left="1300" w:top="119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6" w:right="1259" w:bottom="1440" w:gutter="0" w:footer="0" w:header="0"/>
          <w:type w:val="continuous"/>
        </w:sectPr>
      </w:pPr>
    </w:p>
    <w:bookmarkStart w:id="17" w:name="page18"/>
    <w:bookmarkEnd w:id="17"/>
    <w:p>
      <w:pPr>
        <w:ind w:right="28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Additionally, we collaborate with affordable housing organizations such as House Farmworkers Community Group, underscoring our commitment to accessible housing solutions. Many of our team members hold active roles in various community groups, including the Boys and Girls Club, Rotary, Chamber of Commerce, Ag Leadership, industry-specific organizations and educational boards. As a company, we endeavor to play our part in shaping a brighter future for all.</w:t>
      </w:r>
    </w:p>
    <w:p>
      <w:pPr>
        <w:spacing w:after="0" w:line="93"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Recognizing the value of education, we sponsor a Limoneira Employee Scholarship Fund open to all employees and their dependents. By providing the opportunity to access higher education, we are able to enrich the lives of our employees by investing in their futures and promoting opportunities for upward social mobility.</w:t>
      </w:r>
    </w:p>
    <w:p>
      <w:pPr>
        <w:spacing w:after="0" w:line="99"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Education is among a community’s most valuable assets. As such, we work to share our knowledge and encourage the next generation in sustainable agriculture. We often host educational tour groups of various ages to provide insights into the fascinating world of agriculture, help people to connect with the origins of their food, and learn what it takes to put a piece of fruit on the table. We also participate in career seminars and STEM Day activities both at the ranch and offsite.</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Employee Wellbeing and Safety</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Employee wellbeing and safety stand as non-negotiable priorities at Limoneira. We recognize that our team members are the life force of our organization, and we make every effort to promote a culture of health and safety. We firmly believe that a healthy, safe, and valued workforce not only drives our success but also embodies the core values that define Limoneira’s culture and identity. We are steadfast in our commitment to workplace safety through rigorous training and protocols, ensuring the mental and physical wellbeing of our employees through support systems and on-site health resources and providing competitive compensation and benefits packages that recognize their contributions. We firmly believe that a healthy, safe, and valued workforce not only drives our success but also embodies the core values that define Limoneira’s culture and identity.</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Employee Compensation and Benefits</w:t>
      </w:r>
    </w:p>
    <w:p>
      <w:pPr>
        <w:spacing w:after="0" w:line="47" w:lineRule="exact"/>
        <w:rPr>
          <w:sz w:val="20"/>
          <w:szCs w:val="20"/>
          <w:color w:val="auto"/>
        </w:rPr>
      </w:pPr>
    </w:p>
    <w:p>
      <w:pPr>
        <w:jc w:val="both"/>
        <w:ind w:right="220"/>
        <w:spacing w:after="0" w:line="297" w:lineRule="auto"/>
        <w:rPr>
          <w:sz w:val="20"/>
          <w:szCs w:val="20"/>
          <w:color w:val="auto"/>
        </w:rPr>
      </w:pPr>
      <w:r>
        <w:rPr>
          <w:rFonts w:ascii="Arial" w:cs="Arial" w:eastAsia="Arial" w:hAnsi="Arial"/>
          <w:sz w:val="15"/>
          <w:szCs w:val="15"/>
          <w:color w:val="auto"/>
        </w:rPr>
        <w:t>Limoneira is deeply committed to the wellbeing, satisfaction, and professional growth of all its employees. We are an equal opportunity employer offering equitable pay and opportunities, paired with a best-in-class benefits package including affordable top-tier healthcare, vision and dental insurance, and an optional flexible spending account. To better help our employees secure their financial futures, we also provide a generous 401(k) contribution and matching program.</w:t>
      </w:r>
    </w:p>
    <w:p>
      <w:pPr>
        <w:spacing w:after="0" w:line="93"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We recognize the difficulty in finding affordable housing. We own and maintain 240 housing units located primarily near our headquarters in Ventura County, California. Leasing priority is offered to Limoneira employees, labor contractors, and other farmworkers. This unique employment benefit provides safe and affordable housing while allowing us to maintain a dependable, long-term employee base. We contract with a local transportation company to provide our residents’ children with safe and convenient transportation to and from school. The proximity of our housing units to our facilities allows workers to easily commute to and from work, while reducing the carbon footprint associated with commuting.</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Human Rights and Responsible Labor Practices</w:t>
      </w:r>
    </w:p>
    <w:p>
      <w:pPr>
        <w:spacing w:after="0" w:line="47"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Human rights are the foundation of a just and equitable society, and Limoneira is dedicated to safeguarding them with unwavering commitment. We recognize that every individual, regardless of race, ethnicity, nationality, gender, religion, sexual orientation, sexual identity, or disability status possesses inherent entitlement to fundamental respect and dignity—as aligned with the United Nations Universal Declaration of Human Rights. At Limoneira, we are committed to promoting these rights and providing a discrimination-free workplace where every voice is not just heard but valued. Limoneira requires that any members of its supply chain adhere to internationally recognized human rights standards including provisions on working time and safe working environments, while prohibiting behaviors such as discrimination and forced child labor.</w:t>
      </w:r>
    </w:p>
    <w:p>
      <w:pPr>
        <w:spacing w:after="0" w:line="9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Limoneira has its own Ethical Charter on Responsible Labor Practices (the “Charter”). The Charter sets forth best practices and is complimented by our comprehensive Policy on Human Rights and Labor, which sets forth additional protections against discrimination towards any minority group, gender, or other demographic subsets. The Charter also serves as our Supplier Code of Conduct (“Supplier Code”) applicable to all business partners, contractors, consultants and our supply chain. Suppliers and vendors (collectively, “Vendors”) are evaluated on labor practices and human rights performance according to the Supplier Code, while also subject to the environmental standards set forth by our Environmental Policy. All Vendors are asked about sustainability, social audits, safety, quality, licensing and other specifics depending on the type of Vendor. Documentation, certificates, sustainability statement and other reference documents, are kept on file for annual review.</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Environmental</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Natural Resources</w:t>
      </w:r>
    </w:p>
    <w:p>
      <w:pPr>
        <w:spacing w:after="0" w:line="47"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color w:val="auto"/>
        </w:rPr>
        <w:t>Limoneira recognizes that agriculture would be impossible without natural resources, and we created an array of initiatives to promote and protect them. Our team is constantly experimenting with regenerative practices to utilize land and water resources as efficiently as possible, while we continue to expand our application of cover crops and pollinator habitats to support above and belowground biodiversity.</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Carbon</w:t>
      </w:r>
    </w:p>
    <w:p>
      <w:pPr>
        <w:spacing w:after="0" w:line="47"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Much of the conversation surrounding climate change revolves around greenhouse gas emissions, specifically carbon dioxide. While we avoid significant emissions through our solar installations and the purchase of renewable electricity from the grid, our sustainability and farming teams work hand-in-hand to create innovative solutions for minimizing soil-based emissions from fertilizers. We conduct a number of exciting experiments as we strive to lead the way in sustainable agriculture.</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Climate Smart Agriculture</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Climate smart agriculture is a farming methodology that promotes sustainability while addressing challenges posed by climate change. It is intended to improve resilience to climate variability and enhance food security, while mitigating the effects of climate change on agricultural systems and reducing the environmental burden of agricultural activities. The approach involves the integration of technology, such as our soil moisture monitoring systems, and the adaptation of sustainable land management practices, such as cover cropping or the conversion to no-till. At Limoneira, climate smart agriculture is exemplified by our application of integrated pest management, low-impact farming practices, and our leverage of natural ecosystem services.</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Waste</w:t>
      </w:r>
    </w:p>
    <w:p>
      <w:pPr>
        <w:spacing w:after="0" w:line="4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We appreciate that resources are finite, and we manage our waste stream to prioritize environmental responsibility, resource conservation, and community wellbeing. We strive to minimize waste generation at the source and divert as much waste from landfills as possible. The majority of waste produced by Limoneira is organic material from the production process, which accounts for 88% of our total waste stream by mass. We recycle 100% of our organic waste through our strategic partnership with Agromin. This, along with other green waste collected across Ventura County, is transformed into nutrient-rich mulch, which is then reapplied to our orchards. In doing so, we are able to divert this material from landfills, where it would otherwise produce methane.</w:t>
      </w:r>
    </w:p>
    <w:p>
      <w:pPr>
        <w:sectPr>
          <w:pgSz w:w="11900" w:h="16838" w:orient="portrait"/>
          <w:cols w:equalWidth="0" w:num="1">
            <w:col w:w="9320"/>
          </w:cols>
          <w:pgMar w:left="1300" w:top="1196"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196" w:right="127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Corporate Governance and Related Matters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Corporate Governance Policies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We have the following corporate governance policies:</w:t>
      </w:r>
    </w:p>
    <w:p>
      <w:pPr>
        <w:spacing w:after="0" w:line="160" w:lineRule="exact"/>
        <w:rPr>
          <w:sz w:val="20"/>
          <w:szCs w:val="20"/>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Anti-Corruption Policy;</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Ethics Code;</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Corporate Governance Guidelines;</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Regulation FD Disclosure Policy;</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Stock Ownership Guidelines (“Ownership Guidelines”);</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Amended and Restated Clawback Policy (“Clawback Policy”);</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Code of Business Conduct and Ethics for Directors (“Directors Code”); and</w:t>
      </w:r>
    </w:p>
    <w:p>
      <w:pPr>
        <w:spacing w:after="0" w:line="160" w:lineRule="exact"/>
        <w:rPr>
          <w:rFonts w:ascii="Arial" w:cs="Arial" w:eastAsia="Arial" w:hAnsi="Arial"/>
          <w:sz w:val="15"/>
          <w:szCs w:val="15"/>
          <w:color w:val="auto"/>
        </w:rPr>
      </w:pPr>
    </w:p>
    <w:p>
      <w:pPr>
        <w:ind w:left="120" w:right="380" w:hanging="115"/>
        <w:spacing w:after="0" w:line="324" w:lineRule="auto"/>
        <w:tabs>
          <w:tab w:leader="none" w:pos="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Policy Regarding Insider Trading, Tipping and Other Wrongful Disclosures and Guidelines with Respect to Certain Transactions in Securities of Limoneira Company and Other Companies in which Limoneira Maintains a Relationship (“Insider Trading Policy”).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Board of Directors Highlights</w:t>
      </w:r>
    </w:p>
    <w:p>
      <w:pPr>
        <w:spacing w:after="0" w:line="200" w:lineRule="exact"/>
        <w:rPr>
          <w:sz w:val="20"/>
          <w:szCs w:val="20"/>
          <w:color w:val="auto"/>
        </w:rPr>
      </w:pPr>
    </w:p>
    <w:p>
      <w:pPr>
        <w:ind w:left="120" w:hanging="115"/>
        <w:spacing w:after="0"/>
        <w:tabs>
          <w:tab w:leader="none" w:pos="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Seven (7) current directors; six (6) are independent and two (2), or 29%, are women;</w:t>
      </w:r>
    </w:p>
    <w:p>
      <w:pPr>
        <w:spacing w:after="0" w:line="160" w:lineRule="exact"/>
        <w:rPr>
          <w:rFonts w:ascii="Arial" w:cs="Arial" w:eastAsia="Arial" w:hAnsi="Arial"/>
          <w:sz w:val="15"/>
          <w:szCs w:val="15"/>
          <w:color w:val="auto"/>
        </w:rPr>
      </w:pPr>
    </w:p>
    <w:p>
      <w:pPr>
        <w:ind w:left="120" w:right="180" w:hanging="115"/>
        <w:spacing w:after="0" w:line="304" w:lineRule="auto"/>
        <w:tabs>
          <w:tab w:leader="none" w:pos="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Standing committee chairs are independent, consisting of independent chairs of the Audit &amp; Finance Committee (“Audit Committee”), Compensation Committee, Nominating &amp; Corporate Governance Committee (“Nominating Committee”), and Risk Management Committee (“Risk Committee”);</w:t>
      </w:r>
    </w:p>
    <w:p>
      <w:pPr>
        <w:spacing w:after="0" w:line="86" w:lineRule="exact"/>
        <w:rPr>
          <w:rFonts w:ascii="Arial" w:cs="Arial" w:eastAsia="Arial" w:hAnsi="Arial"/>
          <w:sz w:val="15"/>
          <w:szCs w:val="15"/>
          <w:color w:val="auto"/>
        </w:rPr>
      </w:pPr>
    </w:p>
    <w:p>
      <w:pPr>
        <w:ind w:left="120" w:hanging="115"/>
        <w:spacing w:after="0"/>
        <w:tabs>
          <w:tab w:leader="none" w:pos="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Executive sessions of non-management directors are held at each regular Board and committee meetings;</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75% of committee leadership roles are held by women;</w:t>
      </w:r>
    </w:p>
    <w:p>
      <w:pPr>
        <w:spacing w:after="0" w:line="160" w:lineRule="exact"/>
        <w:rPr>
          <w:rFonts w:ascii="Arial" w:cs="Arial" w:eastAsia="Arial" w:hAnsi="Arial"/>
          <w:sz w:val="15"/>
          <w:szCs w:val="15"/>
          <w:color w:val="auto"/>
        </w:rPr>
      </w:pPr>
    </w:p>
    <w:p>
      <w:pPr>
        <w:ind w:left="120" w:right="20" w:hanging="115"/>
        <w:spacing w:after="0" w:line="324" w:lineRule="auto"/>
        <w:tabs>
          <w:tab w:leader="none" w:pos="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Six (6) of our seven (7) Board members have experience on other public company boards and two (2) of our seven (7) Board members are current or former public company chief executive officers; and</w:t>
      </w:r>
    </w:p>
    <w:p>
      <w:pPr>
        <w:spacing w:after="0" w:line="71" w:lineRule="exact"/>
        <w:rPr>
          <w:rFonts w:ascii="Arial" w:cs="Arial" w:eastAsia="Arial" w:hAnsi="Arial"/>
          <w:sz w:val="15"/>
          <w:szCs w:val="15"/>
          <w:color w:val="auto"/>
        </w:rPr>
      </w:pPr>
    </w:p>
    <w:p>
      <w:pPr>
        <w:ind w:left="120" w:hanging="115"/>
        <w:spacing w:after="0"/>
        <w:tabs>
          <w:tab w:leader="none" w:pos="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Annual Board, committee, and individual performance evaluations assess the skills and performance of our directors.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Board of Directors Structure</w:t>
      </w:r>
    </w:p>
    <w:p>
      <w:pPr>
        <w:spacing w:after="0" w:line="20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Bylaws provide that the exact number of directors shall consist of not less than six (6) and not more than twelve (12) directors as fixed from time to time by resolution of a majority of the total number of directors that the Company would have if there were no vacancies. Our Board is currently fixed at seven (7) directors. Our Bylaws divide the Board into three (3) classes, each class serving for a term ending on the date of the third Annual Meeting of Stockholders following the Annual Meeting of Stockholders at which such director was elected.</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Effective January 1, 2024, our seven (7) directors are divided among the three (3) classes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00" w:type="dxa"/>
            <w:vAlign w:val="bottom"/>
            <w:tcBorders>
              <w:right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Class I Directors</w:t>
            </w:r>
          </w:p>
        </w:tc>
        <w:tc>
          <w:tcPr>
            <w:tcW w:w="3080" w:type="dxa"/>
            <w:vAlign w:val="bottom"/>
            <w:tcBorders>
              <w:right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Class II Directors</w:t>
            </w:r>
          </w:p>
        </w:tc>
        <w:tc>
          <w:tcPr>
            <w:tcW w:w="304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Class III Directors</w:t>
            </w:r>
          </w:p>
        </w:tc>
        <w:tc>
          <w:tcPr>
            <w:tcW w:w="0" w:type="dxa"/>
            <w:vAlign w:val="bottom"/>
          </w:tcPr>
          <w:p>
            <w:pPr>
              <w:spacing w:after="0"/>
              <w:rPr>
                <w:sz w:val="1"/>
                <w:szCs w:val="1"/>
                <w:color w:val="auto"/>
              </w:rPr>
            </w:pPr>
          </w:p>
        </w:tc>
      </w:tr>
      <w:tr>
        <w:trPr>
          <w:trHeight w:val="59"/>
        </w:trPr>
        <w:tc>
          <w:tcPr>
            <w:tcW w:w="3100" w:type="dxa"/>
            <w:vAlign w:val="bottom"/>
            <w:tcBorders>
              <w:right w:val="single" w:sz="8" w:color="EBF7FC"/>
            </w:tcBorders>
            <w:shd w:val="clear" w:color="auto" w:fill="E5E9ED"/>
          </w:tcPr>
          <w:p>
            <w:pPr>
              <w:spacing w:after="0"/>
              <w:rPr>
                <w:sz w:val="5"/>
                <w:szCs w:val="5"/>
                <w:color w:val="auto"/>
              </w:rPr>
            </w:pPr>
          </w:p>
        </w:tc>
        <w:tc>
          <w:tcPr>
            <w:tcW w:w="3080" w:type="dxa"/>
            <w:vAlign w:val="bottom"/>
            <w:tcBorders>
              <w:right w:val="single" w:sz="8" w:color="EBF7FC"/>
            </w:tcBorders>
            <w:shd w:val="clear" w:color="auto" w:fill="E5E9ED"/>
          </w:tcPr>
          <w:p>
            <w:pPr>
              <w:spacing w:after="0"/>
              <w:rPr>
                <w:sz w:val="5"/>
                <w:szCs w:val="5"/>
                <w:color w:val="auto"/>
              </w:rPr>
            </w:pPr>
          </w:p>
        </w:tc>
        <w:tc>
          <w:tcPr>
            <w:tcW w:w="3040" w:type="dxa"/>
            <w:vAlign w:val="bottom"/>
            <w:shd w:val="clear" w:color="auto" w:fill="E5E9ED"/>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100" w:type="dxa"/>
            <w:vAlign w:val="bottom"/>
            <w:tcBorders>
              <w:right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Term expires</w:t>
            </w:r>
          </w:p>
        </w:tc>
        <w:tc>
          <w:tcPr>
            <w:tcW w:w="3080" w:type="dxa"/>
            <w:vAlign w:val="bottom"/>
            <w:tcBorders>
              <w:right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Term expires</w:t>
            </w:r>
          </w:p>
        </w:tc>
        <w:tc>
          <w:tcPr>
            <w:tcW w:w="304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Term expires</w:t>
            </w:r>
          </w:p>
        </w:tc>
        <w:tc>
          <w:tcPr>
            <w:tcW w:w="0" w:type="dxa"/>
            <w:vAlign w:val="bottom"/>
          </w:tcPr>
          <w:p>
            <w:pPr>
              <w:spacing w:after="0"/>
              <w:rPr>
                <w:sz w:val="1"/>
                <w:szCs w:val="1"/>
                <w:color w:val="auto"/>
              </w:rPr>
            </w:pPr>
          </w:p>
        </w:tc>
      </w:tr>
      <w:tr>
        <w:trPr>
          <w:trHeight w:val="224"/>
        </w:trPr>
        <w:tc>
          <w:tcPr>
            <w:tcW w:w="3100" w:type="dxa"/>
            <w:vAlign w:val="bottom"/>
            <w:tcBorders>
              <w:bottom w:val="single" w:sz="8" w:color="E5E9ED"/>
              <w:right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2027 Annual Meeting</w:t>
            </w:r>
          </w:p>
        </w:tc>
        <w:tc>
          <w:tcPr>
            <w:tcW w:w="3080" w:type="dxa"/>
            <w:vAlign w:val="bottom"/>
            <w:tcBorders>
              <w:bottom w:val="single" w:sz="8" w:color="E5E9ED"/>
              <w:right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2025 Annual Meeting</w:t>
            </w:r>
          </w:p>
        </w:tc>
        <w:tc>
          <w:tcPr>
            <w:tcW w:w="304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2026 Annual Meeting</w:t>
            </w:r>
          </w:p>
        </w:tc>
        <w:tc>
          <w:tcPr>
            <w:tcW w:w="0" w:type="dxa"/>
            <w:vAlign w:val="bottom"/>
          </w:tcPr>
          <w:p>
            <w:pPr>
              <w:spacing w:after="0"/>
              <w:rPr>
                <w:sz w:val="1"/>
                <w:szCs w:val="1"/>
                <w:color w:val="auto"/>
              </w:rPr>
            </w:pPr>
          </w:p>
        </w:tc>
      </w:tr>
      <w:tr>
        <w:trPr>
          <w:trHeight w:val="253"/>
        </w:trPr>
        <w:tc>
          <w:tcPr>
            <w:tcW w:w="3100" w:type="dxa"/>
            <w:vAlign w:val="bottom"/>
            <w:tcBorders>
              <w:right w:val="single" w:sz="8" w:color="EBF7FC"/>
            </w:tcBorders>
            <w:vMerge w:val="restart"/>
          </w:tcPr>
          <w:p>
            <w:pPr>
              <w:jc w:val="center"/>
              <w:spacing w:after="0"/>
              <w:rPr>
                <w:sz w:val="20"/>
                <w:szCs w:val="20"/>
                <w:color w:val="auto"/>
              </w:rPr>
            </w:pPr>
            <w:r>
              <w:rPr>
                <w:rFonts w:ascii="Arial" w:cs="Arial" w:eastAsia="Arial" w:hAnsi="Arial"/>
                <w:sz w:val="15"/>
                <w:szCs w:val="15"/>
                <w:color w:val="auto"/>
              </w:rPr>
              <w:t>Harold S. Edwards</w:t>
            </w:r>
          </w:p>
        </w:tc>
        <w:tc>
          <w:tcPr>
            <w:tcW w:w="3080" w:type="dxa"/>
            <w:vAlign w:val="bottom"/>
            <w:tcBorders>
              <w:right w:val="single" w:sz="8" w:color="EBF7FC"/>
            </w:tcBorders>
          </w:tcPr>
          <w:p>
            <w:pPr>
              <w:jc w:val="center"/>
              <w:spacing w:after="0"/>
              <w:rPr>
                <w:sz w:val="20"/>
                <w:szCs w:val="20"/>
                <w:color w:val="auto"/>
              </w:rPr>
            </w:pPr>
            <w:r>
              <w:rPr>
                <w:rFonts w:ascii="Arial" w:cs="Arial" w:eastAsia="Arial" w:hAnsi="Arial"/>
                <w:sz w:val="15"/>
                <w:szCs w:val="15"/>
                <w:color w:val="auto"/>
              </w:rPr>
              <w:t>Barbara Carbone</w:t>
            </w:r>
          </w:p>
        </w:tc>
        <w:tc>
          <w:tcPr>
            <w:tcW w:w="3040" w:type="dxa"/>
            <w:vAlign w:val="bottom"/>
            <w:vMerge w:val="restart"/>
          </w:tcPr>
          <w:p>
            <w:pPr>
              <w:jc w:val="center"/>
              <w:spacing w:after="0"/>
              <w:rPr>
                <w:sz w:val="20"/>
                <w:szCs w:val="20"/>
                <w:color w:val="auto"/>
              </w:rPr>
            </w:pPr>
            <w:r>
              <w:rPr>
                <w:rFonts w:ascii="Arial" w:cs="Arial" w:eastAsia="Arial" w:hAnsi="Arial"/>
                <w:sz w:val="15"/>
                <w:szCs w:val="15"/>
                <w:color w:val="auto"/>
              </w:rPr>
              <w:t>Elizabeth Mora</w:t>
            </w:r>
          </w:p>
        </w:tc>
        <w:tc>
          <w:tcPr>
            <w:tcW w:w="0" w:type="dxa"/>
            <w:vAlign w:val="bottom"/>
          </w:tcPr>
          <w:p>
            <w:pPr>
              <w:spacing w:after="0"/>
              <w:rPr>
                <w:sz w:val="1"/>
                <w:szCs w:val="1"/>
                <w:color w:val="auto"/>
              </w:rPr>
            </w:pPr>
          </w:p>
        </w:tc>
      </w:tr>
      <w:tr>
        <w:trPr>
          <w:trHeight w:val="102"/>
        </w:trPr>
        <w:tc>
          <w:tcPr>
            <w:tcW w:w="3100" w:type="dxa"/>
            <w:vAlign w:val="bottom"/>
            <w:tcBorders>
              <w:right w:val="single" w:sz="8" w:color="EBF7FC"/>
            </w:tcBorders>
            <w:vMerge w:val="continue"/>
          </w:tcPr>
          <w:p>
            <w:pPr>
              <w:spacing w:after="0"/>
              <w:rPr>
                <w:sz w:val="8"/>
                <w:szCs w:val="8"/>
                <w:color w:val="auto"/>
              </w:rPr>
            </w:pPr>
          </w:p>
        </w:tc>
        <w:tc>
          <w:tcPr>
            <w:tcW w:w="3080" w:type="dxa"/>
            <w:vAlign w:val="bottom"/>
            <w:tcBorders>
              <w:right w:val="single" w:sz="8" w:color="EBF7FC"/>
            </w:tcBorders>
            <w:vMerge w:val="restart"/>
          </w:tcPr>
          <w:p>
            <w:pPr>
              <w:jc w:val="center"/>
              <w:spacing w:after="0"/>
              <w:rPr>
                <w:sz w:val="20"/>
                <w:szCs w:val="20"/>
                <w:color w:val="auto"/>
              </w:rPr>
            </w:pPr>
            <w:r>
              <w:rPr>
                <w:rFonts w:ascii="Arial" w:cs="Arial" w:eastAsia="Arial" w:hAnsi="Arial"/>
                <w:sz w:val="15"/>
                <w:szCs w:val="15"/>
                <w:color w:val="auto"/>
              </w:rPr>
              <w:t>Gordon E Kimball</w:t>
            </w: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00" w:type="dxa"/>
            <w:vAlign w:val="bottom"/>
            <w:tcBorders>
              <w:right w:val="single" w:sz="8" w:color="EBF7FC"/>
            </w:tcBorders>
            <w:vMerge w:val="restart"/>
          </w:tcPr>
          <w:p>
            <w:pPr>
              <w:jc w:val="center"/>
              <w:spacing w:after="0"/>
              <w:rPr>
                <w:sz w:val="20"/>
                <w:szCs w:val="20"/>
                <w:color w:val="auto"/>
              </w:rPr>
            </w:pPr>
            <w:r>
              <w:rPr>
                <w:rFonts w:ascii="Arial" w:cs="Arial" w:eastAsia="Arial" w:hAnsi="Arial"/>
                <w:sz w:val="15"/>
                <w:szCs w:val="15"/>
                <w:color w:val="auto"/>
              </w:rPr>
              <w:t>Edgar A. Terry</w:t>
            </w:r>
          </w:p>
        </w:tc>
        <w:tc>
          <w:tcPr>
            <w:tcW w:w="3080" w:type="dxa"/>
            <w:vAlign w:val="bottom"/>
            <w:tcBorders>
              <w:right w:val="single" w:sz="8" w:color="EBF7FC"/>
            </w:tcBorders>
            <w:vMerge w:val="continue"/>
          </w:tcPr>
          <w:p>
            <w:pPr>
              <w:spacing w:after="0"/>
              <w:rPr>
                <w:sz w:val="8"/>
                <w:szCs w:val="8"/>
                <w:color w:val="auto"/>
              </w:rPr>
            </w:pPr>
          </w:p>
        </w:tc>
        <w:tc>
          <w:tcPr>
            <w:tcW w:w="3040" w:type="dxa"/>
            <w:vAlign w:val="bottom"/>
            <w:vMerge w:val="restart"/>
          </w:tcPr>
          <w:p>
            <w:pPr>
              <w:jc w:val="center"/>
              <w:spacing w:after="0"/>
              <w:rPr>
                <w:sz w:val="20"/>
                <w:szCs w:val="20"/>
                <w:color w:val="auto"/>
              </w:rPr>
            </w:pPr>
            <w:r>
              <w:rPr>
                <w:rFonts w:ascii="Arial" w:cs="Arial" w:eastAsia="Arial" w:hAnsi="Arial"/>
                <w:sz w:val="15"/>
                <w:szCs w:val="15"/>
                <w:color w:val="auto"/>
              </w:rPr>
              <w:t>Peter J. Nolan</w:t>
            </w:r>
          </w:p>
        </w:tc>
        <w:tc>
          <w:tcPr>
            <w:tcW w:w="0" w:type="dxa"/>
            <w:vAlign w:val="bottom"/>
          </w:tcPr>
          <w:p>
            <w:pPr>
              <w:spacing w:after="0"/>
              <w:rPr>
                <w:sz w:val="1"/>
                <w:szCs w:val="1"/>
                <w:color w:val="auto"/>
              </w:rPr>
            </w:pPr>
          </w:p>
        </w:tc>
      </w:tr>
      <w:tr>
        <w:trPr>
          <w:trHeight w:val="102"/>
        </w:trPr>
        <w:tc>
          <w:tcPr>
            <w:tcW w:w="3100" w:type="dxa"/>
            <w:vAlign w:val="bottom"/>
            <w:tcBorders>
              <w:right w:val="single" w:sz="8" w:color="EBF7FC"/>
            </w:tcBorders>
            <w:vMerge w:val="continue"/>
          </w:tcPr>
          <w:p>
            <w:pPr>
              <w:spacing w:after="0"/>
              <w:rPr>
                <w:sz w:val="8"/>
                <w:szCs w:val="8"/>
                <w:color w:val="auto"/>
              </w:rPr>
            </w:pPr>
          </w:p>
        </w:tc>
        <w:tc>
          <w:tcPr>
            <w:tcW w:w="3080" w:type="dxa"/>
            <w:vAlign w:val="bottom"/>
            <w:tcBorders>
              <w:right w:val="single" w:sz="8" w:color="EBF7FC"/>
            </w:tcBorders>
            <w:vMerge w:val="restart"/>
          </w:tcPr>
          <w:p>
            <w:pPr>
              <w:jc w:val="center"/>
              <w:spacing w:after="0"/>
              <w:rPr>
                <w:sz w:val="20"/>
                <w:szCs w:val="20"/>
                <w:color w:val="auto"/>
              </w:rPr>
            </w:pPr>
            <w:r>
              <w:rPr>
                <w:rFonts w:ascii="Arial" w:cs="Arial" w:eastAsia="Arial" w:hAnsi="Arial"/>
                <w:sz w:val="15"/>
                <w:szCs w:val="15"/>
                <w:color w:val="auto"/>
              </w:rPr>
              <w:t>Scott S. Slater</w:t>
            </w: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00" w:type="dxa"/>
            <w:vAlign w:val="bottom"/>
            <w:tcBorders>
              <w:right w:val="single" w:sz="8" w:color="EBF7FC"/>
            </w:tcBorders>
          </w:tcPr>
          <w:p>
            <w:pPr>
              <w:spacing w:after="0"/>
              <w:rPr>
                <w:sz w:val="8"/>
                <w:szCs w:val="8"/>
                <w:color w:val="auto"/>
              </w:rPr>
            </w:pPr>
          </w:p>
        </w:tc>
        <w:tc>
          <w:tcPr>
            <w:tcW w:w="3080" w:type="dxa"/>
            <w:vAlign w:val="bottom"/>
            <w:tcBorders>
              <w:right w:val="single" w:sz="8" w:color="EBF7FC"/>
            </w:tcBorders>
            <w:vMerge w:val="continue"/>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100" w:type="dxa"/>
            <w:vAlign w:val="bottom"/>
            <w:tcBorders>
              <w:bottom w:val="single" w:sz="8" w:color="EBF7FC"/>
              <w:right w:val="single" w:sz="8" w:color="EBF7FC"/>
            </w:tcBorders>
          </w:tcPr>
          <w:p>
            <w:pPr>
              <w:spacing w:after="0"/>
              <w:rPr>
                <w:sz w:val="4"/>
                <w:szCs w:val="4"/>
                <w:color w:val="auto"/>
              </w:rPr>
            </w:pPr>
          </w:p>
        </w:tc>
        <w:tc>
          <w:tcPr>
            <w:tcW w:w="3080" w:type="dxa"/>
            <w:vAlign w:val="bottom"/>
            <w:tcBorders>
              <w:bottom w:val="single" w:sz="8" w:color="EBF7FC"/>
              <w:right w:val="single" w:sz="8" w:color="EBF7FC"/>
            </w:tcBorders>
          </w:tcPr>
          <w:p>
            <w:pPr>
              <w:spacing w:after="0"/>
              <w:rPr>
                <w:sz w:val="4"/>
                <w:szCs w:val="4"/>
                <w:color w:val="auto"/>
              </w:rPr>
            </w:pPr>
          </w:p>
        </w:tc>
        <w:tc>
          <w:tcPr>
            <w:tcW w:w="3040" w:type="dxa"/>
            <w:vAlign w:val="bottom"/>
            <w:tcBorders>
              <w:bottom w:val="single" w:sz="8" w:color="EBF7F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00"/>
          </w:cols>
          <w:pgMar w:left="1300" w:top="1072"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072" w:right="12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Board of Directors Oversight Responsibilities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Leadership Structure</w:t>
      </w:r>
    </w:p>
    <w:p>
      <w:pPr>
        <w:spacing w:after="0" w:line="47"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leadership structure of the Board is centered on the concept of an appropriate balance between management and the Board. The Board believes that it is in the Company’s best interests that the Chairperson and Chief Executive Officer roles are separate. The separation allows the Chief Executive Officer to focus primarily on leading the day-to-day operations of the Company while the Chairperson can focus on leading the Board in its consideration of strategic issues, critical discussions, and monitoring corporate governance and stockholder issues. To encourage open discussion and communication among the directors, executive sessions of non-management directors are held during each Board and committee meeting. Mr. Scott S. Slater was appointed Chairperson of the Board in July 2022. Mr. Harold S. Edwards serves as the Company’s President and Chief Executive Officer. Mr. Edwards is also a member of the Board.</w:t>
      </w:r>
    </w:p>
    <w:p>
      <w:pPr>
        <w:spacing w:after="0" w:line="301"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Our Board established an Audit Committee, Compensation Committee, Nominating Committee, and a Risk Committee. Each committee plays an important role in the governance and leadership of the Board, and each is chaired by an independent director. For additional information regarding these committees, please see “Committees of the Board of Directors” and for biographies of the Chairperson and members of each of the committees, please see “Proposal 1: Election of Directors”.</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Risk Oversight</w:t>
      </w:r>
    </w:p>
    <w:p>
      <w:pPr>
        <w:spacing w:after="0" w:line="47"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Although management is responsible for the day-to-day management of the risks of our Company, the Board and its committees have active roles in overseeing the management of our risks and bear the ultimate responsibility for risk management. The Board regularly reviews information regarding our operational, financial, legal, environmental, industry, human capital and strategic risks. Specifically, senior management attends meetings of the Risk Committee, provides presentations on operations including our risk matrix, and is available to address any questions or concerns raised by the Board. Our Board believes that a fundamental part of risk management is understanding the risks that we face, monitoring these risks, and adopting appropriate controls and mitigation activities for such risk. Our committees assist the Board in fulfilling its oversight responsibilities in certain areas of risk aligned with its area of focus. In addition, the Board receives reports from our independent registered public accounting firm, internal auditors and other consultants and meets in executive sessions with these outside consultants.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Code of Ethics</w:t>
      </w:r>
    </w:p>
    <w:p>
      <w:pPr>
        <w:spacing w:after="0" w:line="47"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Our Ethics Code sets forth our commitment to ethical business practices. Our Ethics Code applies to our directors, officers and staff. Copies of our Ethics Code are provided without charge upon written request to: Investor Relations at Limoneira Company, 1141 Cummings Road, Santa Paula, California 93060. The Ethics Code is also available on our website at https://investor.limoneira.com/corporate-governance/overview. Any amendments to or waivers from the Ethics Code granted to Directors or any NEO are disclosed on our website promptly following the amendment of wavier. There were no waivers granted or requested in fiscal year 2024.</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Code of Business Conduct and Ethics for Directors</w:t>
      </w:r>
    </w:p>
    <w:p>
      <w:pPr>
        <w:spacing w:after="0" w:line="39"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Our Board believes it is in the best interest of the Company to have a Directors Code to align with corporate governance best practices, promote ethical behavior and protect confidential information provided to directors. The Directors Code is available on our website at https://investor.limoneira.com/corporate-governance/overview.</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Corporate Governance Guidelines</w:t>
      </w:r>
    </w:p>
    <w:p>
      <w:pPr>
        <w:spacing w:after="0" w:line="4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Our Corporate Governance Guidelines serve as a flexible framework within which our Board and its committees operate. The Corporate Governance Guidelines cover several areas, including Board composition, role of the Chairperson, Board meetings, director selection and qualifications, Board operations and performance, performance evaluations, and succession planning. Our Corporate Governance Guidelines document is available on our website at https://investor.limoneira.com/corporate-governance/overview.</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Stock Ownership Guidelines</w:t>
      </w:r>
    </w:p>
    <w:p>
      <w:pPr>
        <w:spacing w:after="0" w:line="4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Our Board believes that certain officers and non-employee directors of the Board should own significant amounts of the Company’s Common Stock to promote a long-term perspective in managing the Company and to ensure alignment with stockholders, capital markets and public interests. To meet this objective, the Board has Ownership Guidelines for certain officers and non-employee directors of the Board, consistent with best practices and stockholder advisor expectations for public companies. In addition to the non-employee directors of the Board, the individuals who are subject to the Ownership</w:t>
      </w:r>
    </w:p>
    <w:p>
      <w:pPr>
        <w:sectPr>
          <w:pgSz w:w="11900" w:h="16838" w:orient="portrait"/>
          <w:cols w:equalWidth="0" w:num="1">
            <w:col w:w="9340"/>
          </w:cols>
          <w:pgMar w:left="1300" w:top="119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6" w:right="1259" w:bottom="1440" w:gutter="0" w:footer="0" w:header="0"/>
          <w:type w:val="continuous"/>
        </w:sectPr>
      </w:pPr>
    </w:p>
    <w:bookmarkStart w:id="21" w:name="page22"/>
    <w:bookmarkEnd w:id="21"/>
    <w:p>
      <w:pPr>
        <w:ind w:right="360"/>
        <w:spacing w:after="0" w:line="32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Guidelines are the President and Chief Executive Officer and Chief Financial Officer. The Ownership Guidelines are available on our website at https://investor.limoneira.com/corporate-governance/overview.</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Policy Regarding Recoupment of Incentive Compensation (Clawback Policy)</w:t>
      </w:r>
    </w:p>
    <w:p>
      <w:pPr>
        <w:spacing w:after="0" w:line="47"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The Board believes that it is in the best interests of the Company and its stockholders to maintain a culture that emphasizes integrity and accountability and that reinforces the Company’s pay-for-performance compensation philosophy. Therefore, the Board adopted a Clawback Policy that provides for the recoupment of erroneously awarded executive compensation, including both performance-based and time-based incentive compensation, in the event an accounting restatement is required. The Clawback Policy is designed to comply with Section 10D of the Securities Exchange Act of 1934, as amended (the “Exchange Act”), Exchange Act Rule 10D-1, and Nasdaq Stock Market Listing Rule 5608. The Clawback Policy is available on our website at https://investor.limoneira.com/corporate-governance/overview.</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Hedging and Pledging Policies</w:t>
      </w:r>
    </w:p>
    <w:p>
      <w:pPr>
        <w:spacing w:after="0" w:line="39" w:lineRule="exact"/>
        <w:rPr>
          <w:sz w:val="20"/>
          <w:szCs w:val="20"/>
          <w:color w:val="auto"/>
        </w:rPr>
      </w:pPr>
    </w:p>
    <w:p>
      <w:pPr>
        <w:ind w:right="480"/>
        <w:spacing w:after="0" w:line="300" w:lineRule="auto"/>
        <w:rPr>
          <w:sz w:val="20"/>
          <w:szCs w:val="20"/>
          <w:color w:val="auto"/>
        </w:rPr>
      </w:pPr>
      <w:r>
        <w:rPr>
          <w:rFonts w:ascii="Arial" w:cs="Arial" w:eastAsia="Arial" w:hAnsi="Arial"/>
          <w:sz w:val="15"/>
          <w:szCs w:val="15"/>
          <w:color w:val="auto"/>
        </w:rPr>
        <w:t>Among other things, the Insider Trading Policy prohibits all members of the Board, all executive officers of the Company, and other specifically designated employees of the Company (collectively, “Pre-Clearance Persons”) from engaging in certain short-term or speculative transactions in securities issued by the Company (the “Covered Securities”).</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Specifically, Pre-Clearance Persons are generally prohibited from engaging in hedging transactions with respect to Covered Securities; short sales of Covered Securities; short-term trading of Covered Securities (subject to certain exceptions); and transactions in put options or call options (or any derivative security that has similar characteristics to those options) on an exchange or in any other organized market. Unless advance approval is obtained from the compliance officer, these restrictions regarding short-term or speculative transactions also apply to each Pre-Clearance Person’s immediate family members (including his or her spouse), other persons living in such Pre-Clearance Person’s household, and entities over which such Pre-Clearance Person exercises control. While employees who are not Pre-Clearance Persons are not generally prohibited from engaging in the above transactions, the Company strongly discourages all the Company’s employees (including part-time and temporary employees), officers, directors, consultants, and contractors from engaging in such transactions. In addition, Pre-Clearance Persons are required to obtain prior written approval from the compliance officer before holding Covered Securities in a margin account or pledging Covered Securities as collateral for a loan. The Insider Trading Policy is also available on our website at https://investor.limoneira.com/corporate-governance/overview.</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Board of Directors Meetings and Attendance</w:t>
      </w:r>
    </w:p>
    <w:p>
      <w:pPr>
        <w:spacing w:after="0" w:line="200" w:lineRule="exact"/>
        <w:rPr>
          <w:sz w:val="20"/>
          <w:szCs w:val="20"/>
          <w:color w:val="auto"/>
        </w:rPr>
      </w:pPr>
    </w:p>
    <w:p>
      <w:pPr>
        <w:jc w:val="both"/>
        <w:ind w:right="80"/>
        <w:spacing w:after="0" w:line="304" w:lineRule="auto"/>
        <w:rPr>
          <w:sz w:val="20"/>
          <w:szCs w:val="20"/>
          <w:color w:val="auto"/>
        </w:rPr>
      </w:pPr>
      <w:r>
        <w:rPr>
          <w:rFonts w:ascii="Arial" w:cs="Arial" w:eastAsia="Arial" w:hAnsi="Arial"/>
          <w:sz w:val="15"/>
          <w:szCs w:val="15"/>
          <w:color w:val="auto"/>
        </w:rPr>
        <w:t>Directors are expected to attend Board, strategic planning, and applicable Board committee meetings and to review meeting materials in advance of such meetings. Directors also are expected to attend the Company’s Annual Meeting of Stockholders as well as listen to the quarterly earnings conference calls in real time or a recording soon thereafter.</w:t>
      </w:r>
    </w:p>
    <w:p>
      <w:pPr>
        <w:spacing w:after="0" w:line="99" w:lineRule="exact"/>
        <w:rPr>
          <w:sz w:val="20"/>
          <w:szCs w:val="20"/>
          <w:color w:val="auto"/>
        </w:rPr>
      </w:pPr>
    </w:p>
    <w:p>
      <w:pPr>
        <w:ind w:right="200"/>
        <w:spacing w:after="0" w:line="324" w:lineRule="auto"/>
        <w:rPr>
          <w:sz w:val="20"/>
          <w:szCs w:val="20"/>
          <w:color w:val="auto"/>
        </w:rPr>
      </w:pPr>
      <w:r>
        <w:rPr>
          <w:rFonts w:ascii="Arial" w:cs="Arial" w:eastAsia="Arial" w:hAnsi="Arial"/>
          <w:sz w:val="15"/>
          <w:szCs w:val="15"/>
          <w:color w:val="auto"/>
        </w:rPr>
        <w:t>The Board met nine (9) times during fiscal year 2024 including four (4) special meetings. Six (6) of our seven (7) directors attended the 2024 Annual Meeting of Stockholders held in person.</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Director Independence</w:t>
      </w:r>
    </w:p>
    <w:p>
      <w:pPr>
        <w:spacing w:after="0" w:line="213"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The NASDAQ Rules require that a majority of the Board be independent. The Board consists of seven (7) directors, of which six (6) are non-management directors. Each year, the Board reviews the materiality of any relationship that any of our directors may have with the Company, either directly or indirectly. No member of the Board has any relationship or arrangement that would require disclosure under Item 404 of Regulation S-K. For additional information see “Certain Relationships and Related-Party Transactions” in this proxy statement. Based on this review, the Board determined that the following current directors are “independent directors” as defined by the NASDAQ Rules: Messrs. Gordon E. Kimball, Peter J. Nolan, Scott S. Slater, Edgar A. Terry and Mses. Barbara Carbone, and Elizabeth Mora.</w:t>
      </w:r>
    </w:p>
    <w:p>
      <w:pPr>
        <w:spacing w:after="0" w:line="301" w:lineRule="exact"/>
        <w:rPr>
          <w:sz w:val="20"/>
          <w:szCs w:val="20"/>
          <w:color w:val="auto"/>
        </w:rPr>
      </w:pPr>
    </w:p>
    <w:p>
      <w:pPr>
        <w:ind w:right="300"/>
        <w:spacing w:after="0" w:line="324" w:lineRule="auto"/>
        <w:rPr>
          <w:sz w:val="20"/>
          <w:szCs w:val="20"/>
          <w:color w:val="auto"/>
        </w:rPr>
      </w:pPr>
      <w:r>
        <w:rPr>
          <w:rFonts w:ascii="Arial" w:cs="Arial" w:eastAsia="Arial" w:hAnsi="Arial"/>
          <w:sz w:val="15"/>
          <w:szCs w:val="15"/>
          <w:color w:val="auto"/>
        </w:rPr>
        <w:t>Each director who is a member of the Audit Committee, Compensation Committee, Nominating Committee and Risk Committee is an independent director.</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Committees of the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Committee Overview</w:t>
      </w:r>
    </w:p>
    <w:p>
      <w:pPr>
        <w:spacing w:after="0" w:line="47" w:lineRule="exact"/>
        <w:rPr>
          <w:sz w:val="20"/>
          <w:szCs w:val="20"/>
          <w:color w:val="auto"/>
        </w:rPr>
      </w:pPr>
    </w:p>
    <w:p>
      <w:pPr>
        <w:ind w:right="640"/>
        <w:spacing w:after="0" w:line="304" w:lineRule="auto"/>
        <w:rPr>
          <w:sz w:val="20"/>
          <w:szCs w:val="20"/>
          <w:color w:val="auto"/>
        </w:rPr>
      </w:pPr>
      <w:r>
        <w:rPr>
          <w:rFonts w:ascii="Arial" w:cs="Arial" w:eastAsia="Arial" w:hAnsi="Arial"/>
          <w:sz w:val="15"/>
          <w:szCs w:val="15"/>
          <w:color w:val="auto"/>
        </w:rPr>
        <w:t>The standing committees of the Board include the Audit Committee, Compensation Committee, Nominating Committee and Risk Committee. A copy of the charters for each of the standing committees is available on the Company’s website at https://investor.limoneira.com/corporate-governance/overview.</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The composition of our committees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40" w:type="dxa"/>
            <w:vAlign w:val="bottom"/>
            <w:shd w:val="clear" w:color="auto" w:fill="E5E9ED"/>
          </w:tcPr>
          <w:p>
            <w:pPr>
              <w:ind w:left="80"/>
              <w:spacing w:after="0"/>
              <w:rPr>
                <w:sz w:val="20"/>
                <w:szCs w:val="20"/>
                <w:color w:val="auto"/>
              </w:rPr>
            </w:pPr>
            <w:r>
              <w:rPr>
                <w:rFonts w:ascii="Arial" w:cs="Arial" w:eastAsia="Arial" w:hAnsi="Arial"/>
                <w:sz w:val="12"/>
                <w:szCs w:val="12"/>
                <w:b w:val="1"/>
                <w:bCs w:val="1"/>
                <w:color w:val="auto"/>
              </w:rPr>
              <w:t>Fiscal Year 2025</w:t>
            </w:r>
          </w:p>
        </w:tc>
        <w:tc>
          <w:tcPr>
            <w:tcW w:w="1560" w:type="dxa"/>
            <w:vAlign w:val="bottom"/>
            <w:vMerge w:val="restart"/>
            <w:shd w:val="clear" w:color="auto" w:fill="E5E9ED"/>
          </w:tcPr>
          <w:p>
            <w:pPr>
              <w:ind w:left="1020"/>
              <w:spacing w:after="0"/>
              <w:rPr>
                <w:sz w:val="20"/>
                <w:szCs w:val="20"/>
                <w:color w:val="auto"/>
              </w:rPr>
            </w:pPr>
            <w:r>
              <w:rPr>
                <w:rFonts w:ascii="Arial" w:cs="Arial" w:eastAsia="Arial" w:hAnsi="Arial"/>
                <w:sz w:val="10"/>
                <w:szCs w:val="10"/>
                <w:b w:val="1"/>
                <w:bCs w:val="1"/>
                <w:color w:val="auto"/>
              </w:rPr>
              <w:t>Barbara</w:t>
            </w:r>
          </w:p>
        </w:tc>
        <w:tc>
          <w:tcPr>
            <w:tcW w:w="720" w:type="dxa"/>
            <w:vAlign w:val="bottom"/>
            <w:vMerge w:val="restart"/>
            <w:shd w:val="clear" w:color="auto" w:fill="E5E9ED"/>
          </w:tcPr>
          <w:p>
            <w:pPr>
              <w:jc w:val="right"/>
              <w:ind w:right="89"/>
              <w:spacing w:after="0"/>
              <w:rPr>
                <w:sz w:val="20"/>
                <w:szCs w:val="20"/>
                <w:color w:val="auto"/>
              </w:rPr>
            </w:pPr>
            <w:r>
              <w:rPr>
                <w:rFonts w:ascii="Arial" w:cs="Arial" w:eastAsia="Arial" w:hAnsi="Arial"/>
                <w:sz w:val="10"/>
                <w:szCs w:val="10"/>
                <w:b w:val="1"/>
                <w:bCs w:val="1"/>
                <w:color w:val="auto"/>
              </w:rPr>
              <w:t>Harold S.</w:t>
            </w:r>
          </w:p>
        </w:tc>
        <w:tc>
          <w:tcPr>
            <w:tcW w:w="740" w:type="dxa"/>
            <w:vAlign w:val="bottom"/>
            <w:vMerge w:val="restart"/>
            <w:shd w:val="clear" w:color="auto" w:fill="E5E9ED"/>
          </w:tcPr>
          <w:p>
            <w:pPr>
              <w:jc w:val="center"/>
              <w:spacing w:after="0"/>
              <w:rPr>
                <w:sz w:val="20"/>
                <w:szCs w:val="20"/>
                <w:color w:val="auto"/>
              </w:rPr>
            </w:pPr>
            <w:r>
              <w:rPr>
                <w:rFonts w:ascii="Arial" w:cs="Arial" w:eastAsia="Arial" w:hAnsi="Arial"/>
                <w:sz w:val="10"/>
                <w:szCs w:val="10"/>
                <w:b w:val="1"/>
                <w:bCs w:val="1"/>
                <w:color w:val="auto"/>
              </w:rPr>
              <w:t>Gordon E.</w:t>
            </w:r>
          </w:p>
        </w:tc>
        <w:tc>
          <w:tcPr>
            <w:tcW w:w="700" w:type="dxa"/>
            <w:vAlign w:val="bottom"/>
            <w:vMerge w:val="restart"/>
            <w:shd w:val="clear" w:color="auto" w:fill="E5E9ED"/>
          </w:tcPr>
          <w:p>
            <w:pPr>
              <w:jc w:val="center"/>
              <w:spacing w:after="0"/>
              <w:rPr>
                <w:sz w:val="20"/>
                <w:szCs w:val="20"/>
                <w:color w:val="auto"/>
              </w:rPr>
            </w:pPr>
            <w:r>
              <w:rPr>
                <w:rFonts w:ascii="Arial" w:cs="Arial" w:eastAsia="Arial" w:hAnsi="Arial"/>
                <w:sz w:val="10"/>
                <w:szCs w:val="10"/>
                <w:b w:val="1"/>
                <w:bCs w:val="1"/>
                <w:color w:val="auto"/>
              </w:rPr>
              <w:t>Elizabeth</w:t>
            </w:r>
          </w:p>
        </w:tc>
        <w:tc>
          <w:tcPr>
            <w:tcW w:w="680" w:type="dxa"/>
            <w:vAlign w:val="bottom"/>
            <w:vMerge w:val="restart"/>
            <w:shd w:val="clear" w:color="auto" w:fill="E5E9ED"/>
          </w:tcPr>
          <w:p>
            <w:pPr>
              <w:jc w:val="center"/>
              <w:spacing w:after="0"/>
              <w:rPr>
                <w:sz w:val="20"/>
                <w:szCs w:val="20"/>
                <w:color w:val="auto"/>
              </w:rPr>
            </w:pPr>
            <w:r>
              <w:rPr>
                <w:rFonts w:ascii="Arial" w:cs="Arial" w:eastAsia="Arial" w:hAnsi="Arial"/>
                <w:sz w:val="10"/>
                <w:szCs w:val="10"/>
                <w:b w:val="1"/>
                <w:bCs w:val="1"/>
                <w:color w:val="auto"/>
              </w:rPr>
              <w:t>Peter J.</w:t>
            </w:r>
          </w:p>
        </w:tc>
        <w:tc>
          <w:tcPr>
            <w:tcW w:w="720" w:type="dxa"/>
            <w:vAlign w:val="bottom"/>
            <w:vMerge w:val="restart"/>
            <w:shd w:val="clear" w:color="auto" w:fill="E5E9ED"/>
          </w:tcPr>
          <w:p>
            <w:pPr>
              <w:jc w:val="center"/>
              <w:spacing w:after="0"/>
              <w:rPr>
                <w:sz w:val="20"/>
                <w:szCs w:val="20"/>
                <w:color w:val="auto"/>
              </w:rPr>
            </w:pPr>
            <w:r>
              <w:rPr>
                <w:rFonts w:ascii="Arial" w:cs="Arial" w:eastAsia="Arial" w:hAnsi="Arial"/>
                <w:sz w:val="10"/>
                <w:szCs w:val="10"/>
                <w:b w:val="1"/>
                <w:bCs w:val="1"/>
                <w:color w:val="auto"/>
              </w:rPr>
              <w:t>Scott S.</w:t>
            </w:r>
          </w:p>
        </w:tc>
        <w:tc>
          <w:tcPr>
            <w:tcW w:w="700" w:type="dxa"/>
            <w:vAlign w:val="bottom"/>
            <w:vMerge w:val="restart"/>
            <w:shd w:val="clear" w:color="auto" w:fill="E5E9ED"/>
          </w:tcPr>
          <w:p>
            <w:pPr>
              <w:jc w:val="center"/>
              <w:spacing w:after="0"/>
              <w:rPr>
                <w:sz w:val="20"/>
                <w:szCs w:val="20"/>
                <w:color w:val="auto"/>
              </w:rPr>
            </w:pPr>
            <w:r>
              <w:rPr>
                <w:rFonts w:ascii="Arial" w:cs="Arial" w:eastAsia="Arial" w:hAnsi="Arial"/>
                <w:sz w:val="10"/>
                <w:szCs w:val="10"/>
                <w:b w:val="1"/>
                <w:bCs w:val="1"/>
                <w:color w:val="auto"/>
              </w:rPr>
              <w:t>Edgar A.</w:t>
            </w:r>
          </w:p>
        </w:tc>
        <w:tc>
          <w:tcPr>
            <w:tcW w:w="0" w:type="dxa"/>
            <w:vAlign w:val="bottom"/>
          </w:tcPr>
          <w:p>
            <w:pPr>
              <w:spacing w:after="0"/>
              <w:rPr>
                <w:sz w:val="1"/>
                <w:szCs w:val="1"/>
                <w:color w:val="auto"/>
              </w:rPr>
            </w:pPr>
          </w:p>
        </w:tc>
      </w:tr>
      <w:tr>
        <w:trPr>
          <w:trHeight w:val="45"/>
        </w:trPr>
        <w:tc>
          <w:tcPr>
            <w:tcW w:w="2040" w:type="dxa"/>
            <w:vAlign w:val="bottom"/>
            <w:vMerge w:val="restart"/>
            <w:shd w:val="clear" w:color="auto" w:fill="E5E9ED"/>
          </w:tcPr>
          <w:p>
            <w:pPr>
              <w:ind w:left="80"/>
              <w:spacing w:after="0"/>
              <w:rPr>
                <w:sz w:val="20"/>
                <w:szCs w:val="20"/>
                <w:color w:val="auto"/>
              </w:rPr>
            </w:pPr>
            <w:r>
              <w:rPr>
                <w:rFonts w:ascii="Arial" w:cs="Arial" w:eastAsia="Arial" w:hAnsi="Arial"/>
                <w:sz w:val="14"/>
                <w:szCs w:val="14"/>
                <w:b w:val="1"/>
                <w:bCs w:val="1"/>
                <w:color w:val="auto"/>
              </w:rPr>
              <w:t>Committees</w:t>
            </w:r>
          </w:p>
        </w:tc>
        <w:tc>
          <w:tcPr>
            <w:tcW w:w="1560" w:type="dxa"/>
            <w:vAlign w:val="bottom"/>
            <w:vMerge w:val="continue"/>
            <w:shd w:val="clear" w:color="auto" w:fill="E5E9ED"/>
          </w:tcPr>
          <w:p>
            <w:pPr>
              <w:spacing w:after="0"/>
              <w:rPr>
                <w:sz w:val="3"/>
                <w:szCs w:val="3"/>
                <w:color w:val="auto"/>
              </w:rPr>
            </w:pPr>
          </w:p>
        </w:tc>
        <w:tc>
          <w:tcPr>
            <w:tcW w:w="720" w:type="dxa"/>
            <w:vAlign w:val="bottom"/>
            <w:vMerge w:val="continue"/>
            <w:shd w:val="clear" w:color="auto" w:fill="E5E9ED"/>
          </w:tcPr>
          <w:p>
            <w:pPr>
              <w:spacing w:after="0"/>
              <w:rPr>
                <w:sz w:val="3"/>
                <w:szCs w:val="3"/>
                <w:color w:val="auto"/>
              </w:rPr>
            </w:pPr>
          </w:p>
        </w:tc>
        <w:tc>
          <w:tcPr>
            <w:tcW w:w="740" w:type="dxa"/>
            <w:vAlign w:val="bottom"/>
            <w:vMerge w:val="continue"/>
            <w:shd w:val="clear" w:color="auto" w:fill="E5E9ED"/>
          </w:tcPr>
          <w:p>
            <w:pPr>
              <w:spacing w:after="0"/>
              <w:rPr>
                <w:sz w:val="3"/>
                <w:szCs w:val="3"/>
                <w:color w:val="auto"/>
              </w:rPr>
            </w:pPr>
          </w:p>
        </w:tc>
        <w:tc>
          <w:tcPr>
            <w:tcW w:w="700" w:type="dxa"/>
            <w:vAlign w:val="bottom"/>
            <w:vMerge w:val="continue"/>
            <w:shd w:val="clear" w:color="auto" w:fill="E5E9ED"/>
          </w:tcPr>
          <w:p>
            <w:pPr>
              <w:spacing w:after="0"/>
              <w:rPr>
                <w:sz w:val="3"/>
                <w:szCs w:val="3"/>
                <w:color w:val="auto"/>
              </w:rPr>
            </w:pPr>
          </w:p>
        </w:tc>
        <w:tc>
          <w:tcPr>
            <w:tcW w:w="680" w:type="dxa"/>
            <w:vAlign w:val="bottom"/>
            <w:vMerge w:val="continue"/>
            <w:shd w:val="clear" w:color="auto" w:fill="E5E9ED"/>
          </w:tcPr>
          <w:p>
            <w:pPr>
              <w:spacing w:after="0"/>
              <w:rPr>
                <w:sz w:val="3"/>
                <w:szCs w:val="3"/>
                <w:color w:val="auto"/>
              </w:rPr>
            </w:pPr>
          </w:p>
        </w:tc>
        <w:tc>
          <w:tcPr>
            <w:tcW w:w="720" w:type="dxa"/>
            <w:vAlign w:val="bottom"/>
            <w:vMerge w:val="continue"/>
            <w:shd w:val="clear" w:color="auto" w:fill="E5E9ED"/>
          </w:tcPr>
          <w:p>
            <w:pPr>
              <w:spacing w:after="0"/>
              <w:rPr>
                <w:sz w:val="3"/>
                <w:szCs w:val="3"/>
                <w:color w:val="auto"/>
              </w:rPr>
            </w:pPr>
          </w:p>
        </w:tc>
        <w:tc>
          <w:tcPr>
            <w:tcW w:w="700" w:type="dxa"/>
            <w:vAlign w:val="bottom"/>
            <w:vMerge w:val="continue"/>
            <w:shd w:val="clear" w:color="auto" w:fill="E5E9ED"/>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shd w:val="clear" w:color="auto" w:fill="E5E9ED"/>
          </w:tcPr>
          <w:p>
            <w:pPr>
              <w:spacing w:after="0"/>
              <w:rPr>
                <w:sz w:val="12"/>
                <w:szCs w:val="12"/>
                <w:color w:val="auto"/>
              </w:rPr>
            </w:pPr>
          </w:p>
        </w:tc>
        <w:tc>
          <w:tcPr>
            <w:tcW w:w="1560" w:type="dxa"/>
            <w:vAlign w:val="bottom"/>
            <w:shd w:val="clear" w:color="auto" w:fill="E5E9ED"/>
          </w:tcPr>
          <w:p>
            <w:pPr>
              <w:ind w:left="1020"/>
              <w:spacing w:after="0"/>
              <w:rPr>
                <w:sz w:val="20"/>
                <w:szCs w:val="20"/>
                <w:color w:val="auto"/>
              </w:rPr>
            </w:pPr>
            <w:r>
              <w:rPr>
                <w:rFonts w:ascii="Arial" w:cs="Arial" w:eastAsia="Arial" w:hAnsi="Arial"/>
                <w:sz w:val="10"/>
                <w:szCs w:val="10"/>
                <w:b w:val="1"/>
                <w:bCs w:val="1"/>
                <w:color w:val="auto"/>
              </w:rPr>
              <w:t>Carbone</w:t>
            </w:r>
          </w:p>
        </w:tc>
        <w:tc>
          <w:tcPr>
            <w:tcW w:w="720" w:type="dxa"/>
            <w:vAlign w:val="bottom"/>
            <w:shd w:val="clear" w:color="auto" w:fill="E5E9ED"/>
          </w:tcPr>
          <w:p>
            <w:pPr>
              <w:jc w:val="right"/>
              <w:ind w:right="89"/>
              <w:spacing w:after="0"/>
              <w:rPr>
                <w:sz w:val="20"/>
                <w:szCs w:val="20"/>
                <w:color w:val="auto"/>
              </w:rPr>
            </w:pPr>
            <w:r>
              <w:rPr>
                <w:rFonts w:ascii="Arial" w:cs="Arial" w:eastAsia="Arial" w:hAnsi="Arial"/>
                <w:sz w:val="10"/>
                <w:szCs w:val="10"/>
                <w:b w:val="1"/>
                <w:bCs w:val="1"/>
                <w:color w:val="auto"/>
              </w:rPr>
              <w:t>Edwards</w:t>
            </w:r>
          </w:p>
        </w:tc>
        <w:tc>
          <w:tcPr>
            <w:tcW w:w="740" w:type="dxa"/>
            <w:vAlign w:val="bottom"/>
            <w:shd w:val="clear" w:color="auto" w:fill="E5E9ED"/>
          </w:tcPr>
          <w:p>
            <w:pPr>
              <w:jc w:val="center"/>
              <w:spacing w:after="0"/>
              <w:rPr>
                <w:sz w:val="20"/>
                <w:szCs w:val="20"/>
                <w:color w:val="auto"/>
              </w:rPr>
            </w:pPr>
            <w:r>
              <w:rPr>
                <w:rFonts w:ascii="Arial" w:cs="Arial" w:eastAsia="Arial" w:hAnsi="Arial"/>
                <w:sz w:val="10"/>
                <w:szCs w:val="10"/>
                <w:b w:val="1"/>
                <w:bCs w:val="1"/>
                <w:color w:val="auto"/>
              </w:rPr>
              <w:t>Kimball</w:t>
            </w:r>
          </w:p>
        </w:tc>
        <w:tc>
          <w:tcPr>
            <w:tcW w:w="700" w:type="dxa"/>
            <w:vAlign w:val="bottom"/>
            <w:shd w:val="clear" w:color="auto" w:fill="E5E9ED"/>
          </w:tcPr>
          <w:p>
            <w:pPr>
              <w:jc w:val="center"/>
              <w:spacing w:after="0"/>
              <w:rPr>
                <w:sz w:val="20"/>
                <w:szCs w:val="20"/>
                <w:color w:val="auto"/>
              </w:rPr>
            </w:pPr>
            <w:r>
              <w:rPr>
                <w:rFonts w:ascii="Arial" w:cs="Arial" w:eastAsia="Arial" w:hAnsi="Arial"/>
                <w:sz w:val="10"/>
                <w:szCs w:val="10"/>
                <w:b w:val="1"/>
                <w:bCs w:val="1"/>
                <w:color w:val="auto"/>
              </w:rPr>
              <w:t>Mora</w:t>
            </w:r>
          </w:p>
        </w:tc>
        <w:tc>
          <w:tcPr>
            <w:tcW w:w="680" w:type="dxa"/>
            <w:vAlign w:val="bottom"/>
            <w:shd w:val="clear" w:color="auto" w:fill="E5E9ED"/>
          </w:tcPr>
          <w:p>
            <w:pPr>
              <w:jc w:val="center"/>
              <w:spacing w:after="0"/>
              <w:rPr>
                <w:sz w:val="20"/>
                <w:szCs w:val="20"/>
                <w:color w:val="auto"/>
              </w:rPr>
            </w:pPr>
            <w:r>
              <w:rPr>
                <w:rFonts w:ascii="Arial" w:cs="Arial" w:eastAsia="Arial" w:hAnsi="Arial"/>
                <w:sz w:val="10"/>
                <w:szCs w:val="10"/>
                <w:b w:val="1"/>
                <w:bCs w:val="1"/>
                <w:color w:val="auto"/>
              </w:rPr>
              <w:t>Nolan</w:t>
            </w:r>
          </w:p>
        </w:tc>
        <w:tc>
          <w:tcPr>
            <w:tcW w:w="720" w:type="dxa"/>
            <w:vAlign w:val="bottom"/>
            <w:shd w:val="clear" w:color="auto" w:fill="E5E9ED"/>
          </w:tcPr>
          <w:p>
            <w:pPr>
              <w:jc w:val="center"/>
              <w:spacing w:after="0"/>
              <w:rPr>
                <w:sz w:val="20"/>
                <w:szCs w:val="20"/>
                <w:color w:val="auto"/>
              </w:rPr>
            </w:pPr>
            <w:r>
              <w:rPr>
                <w:rFonts w:ascii="Arial" w:cs="Arial" w:eastAsia="Arial" w:hAnsi="Arial"/>
                <w:sz w:val="10"/>
                <w:szCs w:val="10"/>
                <w:b w:val="1"/>
                <w:bCs w:val="1"/>
                <w:color w:val="auto"/>
              </w:rPr>
              <w:t>Slater</w:t>
            </w:r>
          </w:p>
        </w:tc>
        <w:tc>
          <w:tcPr>
            <w:tcW w:w="700" w:type="dxa"/>
            <w:vAlign w:val="bottom"/>
            <w:shd w:val="clear" w:color="auto" w:fill="E5E9ED"/>
          </w:tcPr>
          <w:p>
            <w:pPr>
              <w:jc w:val="center"/>
              <w:spacing w:after="0"/>
              <w:rPr>
                <w:sz w:val="20"/>
                <w:szCs w:val="20"/>
                <w:color w:val="auto"/>
              </w:rPr>
            </w:pPr>
            <w:r>
              <w:rPr>
                <w:rFonts w:ascii="Arial" w:cs="Arial" w:eastAsia="Arial" w:hAnsi="Arial"/>
                <w:sz w:val="10"/>
                <w:szCs w:val="10"/>
                <w:b w:val="1"/>
                <w:bCs w:val="1"/>
                <w:color w:val="auto"/>
              </w:rPr>
              <w:t>Terry</w:t>
            </w:r>
          </w:p>
        </w:tc>
        <w:tc>
          <w:tcPr>
            <w:tcW w:w="0" w:type="dxa"/>
            <w:vAlign w:val="bottom"/>
          </w:tcPr>
          <w:p>
            <w:pPr>
              <w:spacing w:after="0"/>
              <w:rPr>
                <w:sz w:val="1"/>
                <w:szCs w:val="1"/>
                <w:color w:val="auto"/>
              </w:rPr>
            </w:pPr>
          </w:p>
        </w:tc>
      </w:tr>
      <w:tr>
        <w:trPr>
          <w:trHeight w:val="24"/>
        </w:trPr>
        <w:tc>
          <w:tcPr>
            <w:tcW w:w="2040" w:type="dxa"/>
            <w:vAlign w:val="bottom"/>
            <w:shd w:val="clear" w:color="auto" w:fill="E5E9ED"/>
          </w:tcPr>
          <w:p>
            <w:pPr>
              <w:spacing w:after="0"/>
              <w:rPr>
                <w:sz w:val="2"/>
                <w:szCs w:val="2"/>
                <w:color w:val="auto"/>
              </w:rPr>
            </w:pPr>
          </w:p>
        </w:tc>
        <w:tc>
          <w:tcPr>
            <w:tcW w:w="1560" w:type="dxa"/>
            <w:vAlign w:val="bottom"/>
            <w:shd w:val="clear" w:color="auto" w:fill="E5E9ED"/>
          </w:tcPr>
          <w:p>
            <w:pPr>
              <w:spacing w:after="0"/>
              <w:rPr>
                <w:sz w:val="2"/>
                <w:szCs w:val="2"/>
                <w:color w:val="auto"/>
              </w:rPr>
            </w:pPr>
          </w:p>
        </w:tc>
        <w:tc>
          <w:tcPr>
            <w:tcW w:w="720" w:type="dxa"/>
            <w:vAlign w:val="bottom"/>
            <w:shd w:val="clear" w:color="auto" w:fill="E5E9ED"/>
          </w:tcPr>
          <w:p>
            <w:pPr>
              <w:spacing w:after="0"/>
              <w:rPr>
                <w:sz w:val="2"/>
                <w:szCs w:val="2"/>
                <w:color w:val="auto"/>
              </w:rPr>
            </w:pPr>
          </w:p>
        </w:tc>
        <w:tc>
          <w:tcPr>
            <w:tcW w:w="740" w:type="dxa"/>
            <w:vAlign w:val="bottom"/>
            <w:shd w:val="clear" w:color="auto" w:fill="E5E9ED"/>
          </w:tcPr>
          <w:p>
            <w:pPr>
              <w:spacing w:after="0"/>
              <w:rPr>
                <w:sz w:val="2"/>
                <w:szCs w:val="2"/>
                <w:color w:val="auto"/>
              </w:rPr>
            </w:pPr>
          </w:p>
        </w:tc>
        <w:tc>
          <w:tcPr>
            <w:tcW w:w="700" w:type="dxa"/>
            <w:vAlign w:val="bottom"/>
            <w:shd w:val="clear" w:color="auto" w:fill="E5E9ED"/>
          </w:tcPr>
          <w:p>
            <w:pPr>
              <w:spacing w:after="0"/>
              <w:rPr>
                <w:sz w:val="2"/>
                <w:szCs w:val="2"/>
                <w:color w:val="auto"/>
              </w:rPr>
            </w:pPr>
          </w:p>
        </w:tc>
        <w:tc>
          <w:tcPr>
            <w:tcW w:w="680" w:type="dxa"/>
            <w:vAlign w:val="bottom"/>
            <w:shd w:val="clear" w:color="auto" w:fill="E5E9ED"/>
          </w:tcPr>
          <w:p>
            <w:pPr>
              <w:spacing w:after="0"/>
              <w:rPr>
                <w:sz w:val="2"/>
                <w:szCs w:val="2"/>
                <w:color w:val="auto"/>
              </w:rPr>
            </w:pPr>
          </w:p>
        </w:tc>
        <w:tc>
          <w:tcPr>
            <w:tcW w:w="720" w:type="dxa"/>
            <w:vAlign w:val="bottom"/>
            <w:shd w:val="clear" w:color="auto" w:fill="E5E9ED"/>
          </w:tcPr>
          <w:p>
            <w:pPr>
              <w:spacing w:after="0"/>
              <w:rPr>
                <w:sz w:val="2"/>
                <w:szCs w:val="2"/>
                <w:color w:val="auto"/>
              </w:rPr>
            </w:pPr>
          </w:p>
        </w:tc>
        <w:tc>
          <w:tcPr>
            <w:tcW w:w="700" w:type="dxa"/>
            <w:vAlign w:val="bottom"/>
            <w:shd w:val="clear" w:color="auto" w:fill="E5E9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2"/>
          <w:szCs w:val="12"/>
          <w:color w:val="auto"/>
        </w:rPr>
        <w:t>Audit &amp; Finance</w:t>
      </w:r>
    </w:p>
    <w:p>
      <w:pPr>
        <w:spacing w:after="0" w:line="297" w:lineRule="exact"/>
        <w:rPr>
          <w:sz w:val="20"/>
          <w:szCs w:val="20"/>
          <w:color w:val="auto"/>
        </w:rPr>
      </w:pPr>
    </w:p>
    <w:p>
      <w:pPr>
        <w:ind w:left="80"/>
        <w:spacing w:after="0"/>
        <w:rPr>
          <w:sz w:val="20"/>
          <w:szCs w:val="20"/>
          <w:color w:val="auto"/>
        </w:rPr>
      </w:pPr>
      <w:r>
        <w:rPr>
          <w:rFonts w:ascii="Arial" w:cs="Arial" w:eastAsia="Arial" w:hAnsi="Arial"/>
          <w:sz w:val="12"/>
          <w:szCs w:val="12"/>
          <w:color w:val="auto"/>
        </w:rPr>
        <w:t>Compensation</w:t>
      </w:r>
    </w:p>
    <w:p>
      <w:pPr>
        <w:spacing w:after="0" w:line="297" w:lineRule="exact"/>
        <w:rPr>
          <w:sz w:val="20"/>
          <w:szCs w:val="20"/>
          <w:color w:val="auto"/>
        </w:rPr>
      </w:pPr>
    </w:p>
    <w:p>
      <w:pPr>
        <w:ind w:left="80"/>
        <w:spacing w:after="0"/>
        <w:rPr>
          <w:sz w:val="20"/>
          <w:szCs w:val="20"/>
          <w:color w:val="auto"/>
        </w:rPr>
      </w:pPr>
      <w:r>
        <w:rPr>
          <w:rFonts w:ascii="Arial" w:cs="Arial" w:eastAsia="Arial" w:hAnsi="Arial"/>
          <w:sz w:val="12"/>
          <w:szCs w:val="12"/>
          <w:color w:val="auto"/>
        </w:rPr>
        <w:t>Nominating &amp; Corporate Governance</w:t>
      </w:r>
    </w:p>
    <w:p>
      <w:pPr>
        <w:spacing w:after="0" w:line="297" w:lineRule="exact"/>
        <w:rPr>
          <w:sz w:val="20"/>
          <w:szCs w:val="20"/>
          <w:color w:val="auto"/>
        </w:rPr>
      </w:pPr>
    </w:p>
    <w:p>
      <w:pPr>
        <w:ind w:left="80"/>
        <w:spacing w:after="0"/>
        <w:rPr>
          <w:sz w:val="20"/>
          <w:szCs w:val="20"/>
          <w:color w:val="auto"/>
        </w:rPr>
      </w:pPr>
      <w:r>
        <w:rPr>
          <w:rFonts w:ascii="Arial" w:cs="Arial" w:eastAsia="Arial" w:hAnsi="Arial"/>
          <w:sz w:val="12"/>
          <w:szCs w:val="12"/>
          <w:color w:val="auto"/>
        </w:rPr>
        <w:t>Risk Management</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Member</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Chair</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Audit and Finance Committee</w:t>
      </w:r>
    </w:p>
    <w:p>
      <w:pPr>
        <w:spacing w:after="0" w:line="47"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Ms. Carbone and Mr. Kimball served on our Audit Committee in fiscal year 2024 with Ms. Carbone serving as Chairperson. Mr. Terry also served on our Audit Committee until January 2024, when Mr. Terry resigned from, and Mr. Nolan was appointed to the Audit Committee. The Audit Committee met four (4) times during fiscal year 2024 with 100% attendance. Ms. Carbone and Messrs. Kimball and Nolan comprise the Audit Committee for fiscal year 2025 with Ms. Carbone serving as Chairperson.</w:t>
      </w:r>
    </w:p>
    <w:p>
      <w:pPr>
        <w:spacing w:after="0" w:line="93"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Audit Committee is comprised entirely of independent directors who meet the independence requirements of the NASDAQ Rules and Rule 10A-3 of the Exchange Act, and includes at least one “audit committee financial expert,” as required by applicable SEC regulations. The Board determined that Ms. Carbone and Mr. Nolan each qualify as an “audit committee financial expert,” as defined by the SEC. The Audit Committee is also established in accordance with section 3(a)(58)(A) of the Exchange Act (15 U.S.C. 78c(a)(58)(A)). The Audit Committee operates under a written charter, which reflects the requirements regarding audit committees under the NASDAQ Rules and the Sarbanes-Oxley Act of 2002, as amended. A copy of the Audit Committee charter can be found on our website.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is responsible for, among other things:</w:t>
      </w:r>
    </w:p>
    <w:p>
      <w:pPr>
        <w:spacing w:after="0" w:line="173" w:lineRule="exact"/>
        <w:rPr>
          <w:sz w:val="20"/>
          <w:szCs w:val="20"/>
          <w:color w:val="auto"/>
        </w:rPr>
      </w:pPr>
    </w:p>
    <w:p>
      <w:pPr>
        <w:ind w:left="120" w:hanging="115"/>
        <w:spacing w:after="0"/>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retaining and overseeing our independent registered public accounting firm;</w:t>
      </w:r>
    </w:p>
    <w:p>
      <w:pPr>
        <w:spacing w:after="0" w:line="160" w:lineRule="exact"/>
        <w:rPr>
          <w:rFonts w:ascii="Arial" w:cs="Arial" w:eastAsia="Arial" w:hAnsi="Arial"/>
          <w:sz w:val="15"/>
          <w:szCs w:val="15"/>
          <w:color w:val="auto"/>
        </w:rPr>
      </w:pPr>
    </w:p>
    <w:p>
      <w:pPr>
        <w:ind w:left="120" w:right="140" w:hanging="115"/>
        <w:spacing w:after="0" w:line="324"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assisting the Board in its oversight of the integrity of our financial statements, the qualifications, independence and performance of our independent registered public accounting firm and our compliance with legal and regulatory requirements;</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reviewing and approving the plan and scope of the internal and external audit;</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pre-approving any audit and non-audit services provided by our independent registered public accounting firm; and</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approving fees to be paid to our internal audit service providers.</w:t>
      </w:r>
    </w:p>
    <w:p>
      <w:pPr>
        <w:spacing w:after="0" w:line="173"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Additionally, the Audit Committee is responsible for reviewing with the Chief Executive Officer, Chief Financial Officer and independent registered public accounting firm the adequacy and effectiveness of our internal controls, preparing the Audit Committee report to be filed with the SEC and conducting an annual review and assessment the Audit Committee’s performance and the adequacy of its charter.</w:t>
      </w:r>
    </w:p>
    <w:p>
      <w:pPr>
        <w:sectPr>
          <w:pgSz w:w="11900" w:h="16838" w:orient="portrait"/>
          <w:cols w:equalWidth="0" w:num="1">
            <w:col w:w="9340"/>
          </w:cols>
          <w:pgMar w:left="1300" w:top="119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19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6" w:right="12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color w:val="89C6F0"/>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Compensation Committee</w:t>
      </w:r>
    </w:p>
    <w:p>
      <w:pPr>
        <w:spacing w:after="0" w:line="39"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Mses. Mora and Carbone and Mr. Slater served on our Compensation Committee for fiscal year 2024 with Ms. Mora serving as Chairperson. Ms. Elizabeth Chess also served on the Compensation Committee until her retirement from the board, effective January 1, 2024, and Ms. Carbone was then appointed to the Compensation Committee. The Compensation Committee met seven (7) times during fiscal year 2024 with 95% attendance. Mses. Mora and Carbone and Mr. Slater comprise the Compensation Committee for fiscal year 2025 with Ms. Mora serving as the Chairperson.</w:t>
      </w:r>
    </w:p>
    <w:p>
      <w:pPr>
        <w:spacing w:after="0" w:line="109" w:lineRule="exact"/>
        <w:rPr>
          <w:sz w:val="20"/>
          <w:szCs w:val="20"/>
          <w:color w:val="auto"/>
        </w:rPr>
      </w:pPr>
    </w:p>
    <w:p>
      <w:pPr>
        <w:ind w:right="340"/>
        <w:spacing w:after="0" w:line="297" w:lineRule="auto"/>
        <w:rPr>
          <w:sz w:val="20"/>
          <w:szCs w:val="20"/>
          <w:color w:val="auto"/>
        </w:rPr>
      </w:pPr>
      <w:r>
        <w:rPr>
          <w:rFonts w:ascii="Arial" w:cs="Arial" w:eastAsia="Arial" w:hAnsi="Arial"/>
          <w:sz w:val="15"/>
          <w:szCs w:val="15"/>
          <w:color w:val="auto"/>
        </w:rPr>
        <w:t>The Compensation Committee is comprised entirely of independent directors who meet the compensation committee independence requirements of the NASDAQ Listing Rules. In accordance with the Compensation Committee charter, the members are “outside directors” as defined in Section 162(m) of the Internal Revenue Code of 1986, as amended (the “Internal Revenue Code”), and “non-employee directors” within the meaning of Rule 16b-3 of the Exchange Act.</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is responsible for, among other things:</w:t>
      </w:r>
    </w:p>
    <w:p>
      <w:pPr>
        <w:spacing w:after="0" w:line="160" w:lineRule="exact"/>
        <w:rPr>
          <w:sz w:val="20"/>
          <w:szCs w:val="20"/>
          <w:color w:val="auto"/>
        </w:rPr>
      </w:pPr>
    </w:p>
    <w:p>
      <w:pPr>
        <w:ind w:left="120" w:hanging="115"/>
        <w:spacing w:after="0"/>
        <w:tabs>
          <w:tab w:leader="none" w:pos="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determining compensation policies for executive officers and independent directors;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overseeing the Company’s cash and equity-based compensation plans;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determining all aspects of compensation packages for executive officers, and for reviewing such compensation for our directors; and</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recommending terms and awards of stock compensation to the Board.</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The Compensation Committee is responsible for reviewing organizational and staffing matters of the Company, reviewing and discussing the Compensation Discussion and Analysis disclosure with management and recommending its approval in the proxy statement, and granting the right for directors, officers and employees to receive indemnification, as applicable. The Compensation Committee is also responsible for reviewing the adequacy of its charter, a copy of which can be found on our website.</w:t>
      </w:r>
    </w:p>
    <w:p>
      <w:pPr>
        <w:spacing w:after="0" w:line="106"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Compensation Committee is also responsible for determining all aspects of compensation packages for executive officers, and for reviewing such compensation for our directors. Our NEOs annually review their current and future goals and compensation structure with the Compensation Committee. During this review, the Compensation Committee considers any changes within the NEO role(s), the nature and responsibility of the position and, to the extent available, salary norms for comparable positions, the information and advice provided by the Company’s independent compensation consultant, the expertise of the individual executive, the competitiveness of the market and any recommendations of our President and Chief Executive Officer. The Compensation Committee then makes recommendations to the Board for approval and/or changes to NEO compensation.</w:t>
      </w:r>
    </w:p>
    <w:p>
      <w:pPr>
        <w:spacing w:after="0" w:line="9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From time to time, the Compensation Committee retains, without the recommendation of management, an independent compensation consultant to provide advice and recommendations on competitive market practices and pay levels of directors, as well as market specific practices regarding incentive-based plans. In this role, the compensation consultant works with the Compensation Committee (and not on behalf of management) to assist the Compensation Committee in satisfying its responsibilities and will undertake no projects</w:t>
      </w:r>
    </w:p>
    <w:p>
      <w:pPr>
        <w:spacing w:after="0" w:line="2" w:lineRule="exact"/>
        <w:rPr>
          <w:sz w:val="20"/>
          <w:szCs w:val="20"/>
          <w:color w:val="auto"/>
        </w:rPr>
      </w:pPr>
    </w:p>
    <w:p>
      <w:pPr>
        <w:ind w:right="440"/>
        <w:spacing w:after="0" w:line="324" w:lineRule="auto"/>
        <w:rPr>
          <w:sz w:val="20"/>
          <w:szCs w:val="20"/>
          <w:color w:val="auto"/>
        </w:rPr>
      </w:pPr>
      <w:r>
        <w:rPr>
          <w:rFonts w:ascii="Arial" w:cs="Arial" w:eastAsia="Arial" w:hAnsi="Arial"/>
          <w:sz w:val="15"/>
          <w:szCs w:val="15"/>
          <w:color w:val="auto"/>
        </w:rPr>
        <w:t>for management except at the request of the Compensation Committee chair and in the capacity of the Compensation Committee’s agent.</w:t>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It is Company policy to retain an independent compensation consultant every two (2) years to assist with reviewing, and if necessary, redesigning, the compensation structure for executive officers and non-management directors. During fiscal year 2023, the Compensation Committee engaged Pearl Meyer and Partners LLC (“Pearl Meyer”), an independent, leading advisor to boards and senior management on compensation, as an independent compensation consultant to advise the Compensation Committee and to assist with redesigning the compensation structure for executive officers, non-management directors, NEOs and management. For fiscal year 2024, the Compensation Committee engaged Pearl Meyer to assist with the development of a change in control program and a transaction bonus program related to our Strategic Alternative Process.</w:t>
      </w:r>
    </w:p>
    <w:p>
      <w:pPr>
        <w:spacing w:after="0" w:line="109" w:lineRule="exact"/>
        <w:rPr>
          <w:sz w:val="20"/>
          <w:szCs w:val="20"/>
          <w:color w:val="auto"/>
        </w:rPr>
      </w:pPr>
    </w:p>
    <w:p>
      <w:pPr>
        <w:ind w:right="900"/>
        <w:spacing w:after="0" w:line="324" w:lineRule="auto"/>
        <w:rPr>
          <w:sz w:val="20"/>
          <w:szCs w:val="20"/>
          <w:color w:val="auto"/>
        </w:rPr>
      </w:pPr>
      <w:r>
        <w:rPr>
          <w:rFonts w:ascii="Arial" w:cs="Arial" w:eastAsia="Arial" w:hAnsi="Arial"/>
          <w:sz w:val="15"/>
          <w:szCs w:val="15"/>
          <w:color w:val="auto"/>
        </w:rPr>
        <w:t>For additional information on Pearl Meyer - please see “Director Compensation”, Key Compensation Program Decisions and Developments for Fiscal Year 2024” and “Elements of Compensation” below.</w:t>
      </w:r>
    </w:p>
    <w:p>
      <w:pPr>
        <w:sectPr>
          <w:pgSz w:w="11900" w:h="16838" w:orient="portrait"/>
          <w:cols w:equalWidth="0" w:num="1">
            <w:col w:w="9340"/>
          </w:cols>
          <w:pgMar w:left="1300" w:top="119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3" w:right="1259" w:bottom="1440" w:gutter="0" w:footer="0" w:header="0"/>
          <w:type w:val="continuous"/>
        </w:sectPr>
      </w:pPr>
    </w:p>
    <w:bookmarkStart w:id="24" w:name="page25"/>
    <w:bookmarkEnd w:id="24"/>
    <w:p>
      <w:pPr>
        <w:ind w:right="8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The Compensation Committee evaluated Pearl Meyer’s independence pursuant to the SEC rules and the NASDAQ Rules. The Compensation Committee determined that Pearl Meyer is independent, and there is no conflict of interest as a result of the work performed by Pearl Meyer during fiscal year 2024. For additional information concerning the Compensation Committee’s processes and procedures for consideration and determination of executive officer compensation, see the “Compensation Discussion and Analysis” and “Key Compensation Decisions” sections of this proxy statement.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Compensation Committee Interlocks and Insider Participation</w:t>
      </w:r>
    </w:p>
    <w:p>
      <w:pPr>
        <w:spacing w:after="0" w:line="103" w:lineRule="exact"/>
        <w:rPr>
          <w:sz w:val="20"/>
          <w:szCs w:val="20"/>
          <w:color w:val="auto"/>
        </w:rPr>
      </w:pPr>
    </w:p>
    <w:p>
      <w:pPr>
        <w:ind w:right="1180"/>
        <w:spacing w:after="0" w:line="324" w:lineRule="auto"/>
        <w:rPr>
          <w:sz w:val="20"/>
          <w:szCs w:val="20"/>
          <w:color w:val="auto"/>
        </w:rPr>
      </w:pPr>
      <w:r>
        <w:rPr>
          <w:rFonts w:ascii="Arial" w:cs="Arial" w:eastAsia="Arial" w:hAnsi="Arial"/>
          <w:sz w:val="15"/>
          <w:szCs w:val="15"/>
          <w:color w:val="auto"/>
        </w:rPr>
        <w:t>There are no interlocking relationships between any member of our Compensation Committee and any of our NEOs that require disclosure under the applicable rules promulgated under the federal securities laws.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89C6F0"/>
        </w:rPr>
        <w:t>Nominating and Corporate Governance Committee</w:t>
      </w:r>
    </w:p>
    <w:p>
      <w:pPr>
        <w:spacing w:after="0" w:line="104"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color w:val="auto"/>
        </w:rPr>
        <w:t>Ms. Mora and Messrs. Slater and Terry served on the Nominating Committee for fiscal year 2024 with Ms. Mora serving as the Chairperson. The Nominating Committee met five (5) times during fiscal year 2024 with 87% attendance. Ms. Mora and Messrs. Slater and Terry comprise the Nominating Committee for fiscal year 2025 with Ms. Mora serving as the Chairperson.</w:t>
      </w:r>
    </w:p>
    <w:p>
      <w:pPr>
        <w:spacing w:after="0" w:line="86" w:lineRule="exact"/>
        <w:rPr>
          <w:sz w:val="20"/>
          <w:szCs w:val="20"/>
          <w:color w:val="auto"/>
        </w:rPr>
      </w:pPr>
    </w:p>
    <w:p>
      <w:pPr>
        <w:ind w:right="300"/>
        <w:spacing w:after="0" w:line="324" w:lineRule="auto"/>
        <w:rPr>
          <w:sz w:val="20"/>
          <w:szCs w:val="20"/>
          <w:color w:val="auto"/>
        </w:rPr>
      </w:pPr>
      <w:r>
        <w:rPr>
          <w:rFonts w:ascii="Arial" w:cs="Arial" w:eastAsia="Arial" w:hAnsi="Arial"/>
          <w:sz w:val="15"/>
          <w:szCs w:val="15"/>
          <w:color w:val="auto"/>
        </w:rPr>
        <w:t>The Nominating Committee is comprised entirely of independent directors who meet the independence requirements of the NASDAQ Rules. The Nominating Committee is responsible for, among other things:</w:t>
      </w:r>
    </w:p>
    <w:p>
      <w:pPr>
        <w:spacing w:after="0" w:line="84" w:lineRule="exact"/>
        <w:rPr>
          <w:sz w:val="20"/>
          <w:szCs w:val="20"/>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recommending the number of directors to comprise the Board;</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identifying and evaluating individuals, or incumbent directors, qualified to become or remain members of the Board;</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recommending to the Board nominees for each Annual Meeting of Stockholders;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recommending to the Board the candidates for filling vacancies that may occur;</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reviewing the Board’s independent director compensation process, self-evaluations and policies;</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overseeing compliance with the Ethics Code;</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monitoring developments in the law and in corporate governance; and</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overseeing the Company’s ESG programs and practices.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Committee is also responsible for reviewing the adequacy of its charter, a copy of which can be found on our website.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Risk Management Committee</w:t>
      </w:r>
    </w:p>
    <w:p>
      <w:pPr>
        <w:spacing w:after="0" w:line="47"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Messrs. Kimball and Terry served on the Risk Management Committee for fiscal year 2024 with Mr. Terry serving as the Chairperson. Ms. Carbone also served on the Risk Management Committee until January 2024 when she resigned, and Mr. Nolan was appointed to the Risk Management Committee. The Risk Management Committee met four (4) times during fiscal year 2024 with 100% attendance. Messrs. Kimball, Nolan, and Terry comprise the Risk Committee for fiscal year 2025 with Mr. Terry serving as the Chairperson.</w:t>
      </w:r>
    </w:p>
    <w:p>
      <w:pPr>
        <w:spacing w:after="0" w:line="93"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The Risk Committee is comprised entirely of independent directors who meet the independence requirements of the NASDAQ Rules. The Risk Committee is responsible for, among other things:</w:t>
      </w:r>
    </w:p>
    <w:p>
      <w:pPr>
        <w:spacing w:after="0" w:line="84" w:lineRule="exact"/>
        <w:rPr>
          <w:sz w:val="20"/>
          <w:szCs w:val="20"/>
          <w:color w:val="auto"/>
        </w:rPr>
      </w:pPr>
    </w:p>
    <w:p>
      <w:pPr>
        <w:ind w:left="120" w:hanging="115"/>
        <w:spacing w:after="0"/>
        <w:tabs>
          <w:tab w:leader="none" w:pos="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reviewing and approving risk management policies and associated framework, processes and practices;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evaluating significant risk exposures of the Company and assessing management’s actions to mitigate the exposures; and</w:t>
      </w:r>
    </w:p>
    <w:p>
      <w:pPr>
        <w:spacing w:after="0" w:line="160" w:lineRule="exact"/>
        <w:rPr>
          <w:rFonts w:ascii="Arial" w:cs="Arial" w:eastAsia="Arial" w:hAnsi="Arial"/>
          <w:sz w:val="15"/>
          <w:szCs w:val="15"/>
          <w:color w:val="auto"/>
        </w:rPr>
      </w:pPr>
    </w:p>
    <w:p>
      <w:pPr>
        <w:ind w:left="120" w:right="620" w:hanging="115"/>
        <w:spacing w:after="0" w:line="324" w:lineRule="auto"/>
        <w:tabs>
          <w:tab w:leader="none" w:pos="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overseeing management’s measures to achieve a prudent balance between risk and reward in both ongoing and new business activities.</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Director Compensation</w:t>
      </w:r>
    </w:p>
    <w:p>
      <w:pPr>
        <w:spacing w:after="0" w:line="200" w:lineRule="exact"/>
        <w:rPr>
          <w:sz w:val="20"/>
          <w:szCs w:val="20"/>
          <w:color w:val="auto"/>
        </w:rPr>
      </w:pPr>
    </w:p>
    <w:p>
      <w:pPr>
        <w:ind w:right="300"/>
        <w:spacing w:after="0" w:line="297" w:lineRule="auto"/>
        <w:rPr>
          <w:sz w:val="20"/>
          <w:szCs w:val="20"/>
          <w:color w:val="auto"/>
        </w:rPr>
      </w:pPr>
      <w:r>
        <w:rPr>
          <w:rFonts w:ascii="Arial" w:cs="Arial" w:eastAsia="Arial" w:hAnsi="Arial"/>
          <w:sz w:val="15"/>
          <w:szCs w:val="15"/>
          <w:color w:val="auto"/>
        </w:rPr>
        <w:t>The compensation program for our non-employee directors is intended to be competitive and fair so that we can attract and retain the best talent to our Board, and recognize the time and effort required of a director given the size and complexity of our operations. In addition to the cash compensation, we provide equity grants and have Ownership Guidelines to align directors’ interests with our stockholders’ interests and to focus on our long-term growth, our road map and success.</w:t>
      </w:r>
    </w:p>
    <w:p>
      <w:pPr>
        <w:spacing w:after="0" w:line="10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following table sets forth the director total annual compensation fee schedule for service on the Board and committees for fiscal year 2024. Our management director, Mr. Edwards, does not receive any compensation for his service on the Board or for attending any Board or Committee meetings.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40" w:type="dxa"/>
            <w:vAlign w:val="bottom"/>
            <w:tcBorders>
              <w:bottom w:val="single" w:sz="8" w:color="E5E9ED"/>
              <w:right w:val="single" w:sz="8" w:color="E5E9ED"/>
            </w:tcBorders>
            <w:shd w:val="clear" w:color="auto" w:fill="E5E9ED"/>
          </w:tcPr>
          <w:p>
            <w:pPr>
              <w:spacing w:after="0"/>
              <w:rPr>
                <w:sz w:val="22"/>
                <w:szCs w:val="22"/>
                <w:color w:val="auto"/>
              </w:rPr>
            </w:pPr>
          </w:p>
        </w:tc>
        <w:tc>
          <w:tcPr>
            <w:tcW w:w="1120" w:type="dxa"/>
            <w:vAlign w:val="bottom"/>
            <w:tcBorders>
              <w:bottom w:val="single" w:sz="8" w:color="E5E9ED"/>
              <w:right w:val="single" w:sz="8" w:color="E5E9ED"/>
            </w:tcBorders>
            <w:shd w:val="clear" w:color="auto" w:fill="E5E9ED"/>
          </w:tcPr>
          <w:p>
            <w:pPr>
              <w:jc w:val="right"/>
              <w:ind w:right="252"/>
              <w:spacing w:after="0"/>
              <w:rPr>
                <w:sz w:val="20"/>
                <w:szCs w:val="20"/>
                <w:color w:val="auto"/>
              </w:rPr>
            </w:pPr>
            <w:r>
              <w:rPr>
                <w:rFonts w:ascii="Arial" w:cs="Arial" w:eastAsia="Arial" w:hAnsi="Arial"/>
                <w:sz w:val="14"/>
                <w:szCs w:val="14"/>
                <w:b w:val="1"/>
                <w:bCs w:val="1"/>
                <w:color w:val="auto"/>
              </w:rPr>
              <w:t>Member</w:t>
            </w:r>
          </w:p>
        </w:tc>
        <w:tc>
          <w:tcPr>
            <w:tcW w:w="1100" w:type="dxa"/>
            <w:vAlign w:val="bottom"/>
            <w:tcBorders>
              <w:bottom w:val="single" w:sz="8" w:color="E5E9ED"/>
            </w:tcBorders>
            <w:shd w:val="clear" w:color="auto" w:fill="E5E9ED"/>
          </w:tcPr>
          <w:p>
            <w:pPr>
              <w:jc w:val="right"/>
              <w:ind w:right="312"/>
              <w:spacing w:after="0"/>
              <w:rPr>
                <w:sz w:val="20"/>
                <w:szCs w:val="20"/>
                <w:color w:val="auto"/>
              </w:rPr>
            </w:pPr>
            <w:r>
              <w:rPr>
                <w:rFonts w:ascii="Arial" w:cs="Arial" w:eastAsia="Arial" w:hAnsi="Arial"/>
                <w:sz w:val="14"/>
                <w:szCs w:val="14"/>
                <w:b w:val="1"/>
                <w:bCs w:val="1"/>
                <w:color w:val="auto"/>
              </w:rPr>
              <w:t>Chair</w:t>
            </w:r>
          </w:p>
        </w:tc>
        <w:tc>
          <w:tcPr>
            <w:tcW w:w="20" w:type="dxa"/>
            <w:vAlign w:val="bottom"/>
          </w:tcPr>
          <w:p>
            <w:pPr>
              <w:spacing w:after="0"/>
              <w:rPr>
                <w:sz w:val="22"/>
                <w:szCs w:val="22"/>
                <w:color w:val="auto"/>
              </w:rPr>
            </w:pPr>
          </w:p>
        </w:tc>
      </w:tr>
      <w:tr>
        <w:trPr>
          <w:trHeight w:val="241"/>
        </w:trPr>
        <w:tc>
          <w:tcPr>
            <w:tcW w:w="70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Director Fees (1)</w:t>
            </w:r>
          </w:p>
        </w:tc>
        <w:tc>
          <w:tcPr>
            <w:tcW w:w="112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$145,000</w:t>
            </w:r>
          </w:p>
        </w:tc>
        <w:tc>
          <w:tcPr>
            <w:tcW w:w="110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$205,000</w:t>
            </w:r>
          </w:p>
        </w:tc>
        <w:tc>
          <w:tcPr>
            <w:tcW w:w="20" w:type="dxa"/>
            <w:vAlign w:val="bottom"/>
            <w:tcBorders>
              <w:top w:val="single" w:sz="8" w:color="EBF7FC"/>
            </w:tcBorders>
          </w:tcPr>
          <w:p>
            <w:pPr>
              <w:spacing w:after="0"/>
              <w:rPr>
                <w:sz w:val="20"/>
                <w:szCs w:val="20"/>
                <w:color w:val="auto"/>
              </w:rPr>
            </w:pPr>
          </w:p>
        </w:tc>
      </w:tr>
      <w:tr>
        <w:trPr>
          <w:trHeight w:val="58"/>
        </w:trPr>
        <w:tc>
          <w:tcPr>
            <w:tcW w:w="704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10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704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Audit &amp; Finance Committee</w:t>
            </w:r>
          </w:p>
        </w:tc>
        <w:tc>
          <w:tcPr>
            <w:tcW w:w="112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$10,000</w:t>
            </w:r>
          </w:p>
        </w:tc>
        <w:tc>
          <w:tcPr>
            <w:tcW w:w="1100" w:type="dxa"/>
            <w:vAlign w:val="bottom"/>
            <w:tcBorders>
              <w:bottom w:val="single" w:sz="8" w:color="F3F9FD"/>
            </w:tcBorders>
            <w:shd w:val="clear" w:color="auto" w:fill="F3F9FD"/>
          </w:tcPr>
          <w:p>
            <w:pPr>
              <w:jc w:val="right"/>
              <w:ind w:right="32"/>
              <w:spacing w:after="0"/>
              <w:rPr>
                <w:sz w:val="20"/>
                <w:szCs w:val="20"/>
                <w:color w:val="auto"/>
              </w:rPr>
            </w:pPr>
            <w:r>
              <w:rPr>
                <w:rFonts w:ascii="Arial" w:cs="Arial" w:eastAsia="Arial" w:hAnsi="Arial"/>
                <w:sz w:val="14"/>
                <w:szCs w:val="14"/>
                <w:color w:val="auto"/>
              </w:rPr>
              <w:t>$20,000</w:t>
            </w:r>
          </w:p>
        </w:tc>
        <w:tc>
          <w:tcPr>
            <w:tcW w:w="20" w:type="dxa"/>
            <w:vAlign w:val="bottom"/>
          </w:tcPr>
          <w:p>
            <w:pPr>
              <w:spacing w:after="0"/>
              <w:rPr>
                <w:sz w:val="24"/>
                <w:szCs w:val="24"/>
                <w:color w:val="auto"/>
              </w:rPr>
            </w:pPr>
          </w:p>
        </w:tc>
      </w:tr>
      <w:tr>
        <w:trPr>
          <w:trHeight w:val="241"/>
        </w:trPr>
        <w:tc>
          <w:tcPr>
            <w:tcW w:w="70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Compensation Committee</w:t>
            </w:r>
          </w:p>
        </w:tc>
        <w:tc>
          <w:tcPr>
            <w:tcW w:w="112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$7,500</w:t>
            </w:r>
          </w:p>
        </w:tc>
        <w:tc>
          <w:tcPr>
            <w:tcW w:w="110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$15,000</w:t>
            </w:r>
          </w:p>
        </w:tc>
        <w:tc>
          <w:tcPr>
            <w:tcW w:w="20" w:type="dxa"/>
            <w:vAlign w:val="bottom"/>
          </w:tcPr>
          <w:p>
            <w:pPr>
              <w:spacing w:after="0"/>
              <w:rPr>
                <w:sz w:val="20"/>
                <w:szCs w:val="20"/>
                <w:color w:val="auto"/>
              </w:rPr>
            </w:pPr>
          </w:p>
        </w:tc>
      </w:tr>
      <w:tr>
        <w:trPr>
          <w:trHeight w:val="58"/>
        </w:trPr>
        <w:tc>
          <w:tcPr>
            <w:tcW w:w="704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10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704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Nominating &amp; Corporate Governance Committee</w:t>
            </w:r>
          </w:p>
        </w:tc>
        <w:tc>
          <w:tcPr>
            <w:tcW w:w="112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$7,500</w:t>
            </w:r>
          </w:p>
        </w:tc>
        <w:tc>
          <w:tcPr>
            <w:tcW w:w="1100" w:type="dxa"/>
            <w:vAlign w:val="bottom"/>
            <w:tcBorders>
              <w:bottom w:val="single" w:sz="8" w:color="F3F9FD"/>
            </w:tcBorders>
            <w:shd w:val="clear" w:color="auto" w:fill="F3F9FD"/>
          </w:tcPr>
          <w:p>
            <w:pPr>
              <w:jc w:val="right"/>
              <w:ind w:right="32"/>
              <w:spacing w:after="0"/>
              <w:rPr>
                <w:sz w:val="20"/>
                <w:szCs w:val="20"/>
                <w:color w:val="auto"/>
              </w:rPr>
            </w:pPr>
            <w:r>
              <w:rPr>
                <w:rFonts w:ascii="Arial" w:cs="Arial" w:eastAsia="Arial" w:hAnsi="Arial"/>
                <w:sz w:val="14"/>
                <w:szCs w:val="14"/>
                <w:color w:val="auto"/>
              </w:rPr>
              <w:t>$15,000</w:t>
            </w:r>
          </w:p>
        </w:tc>
        <w:tc>
          <w:tcPr>
            <w:tcW w:w="20" w:type="dxa"/>
            <w:vAlign w:val="bottom"/>
          </w:tcPr>
          <w:p>
            <w:pPr>
              <w:spacing w:after="0"/>
              <w:rPr>
                <w:sz w:val="24"/>
                <w:szCs w:val="24"/>
                <w:color w:val="auto"/>
              </w:rPr>
            </w:pPr>
          </w:p>
        </w:tc>
      </w:tr>
      <w:tr>
        <w:trPr>
          <w:trHeight w:val="241"/>
        </w:trPr>
        <w:tc>
          <w:tcPr>
            <w:tcW w:w="70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Risk Management Committee</w:t>
            </w:r>
          </w:p>
        </w:tc>
        <w:tc>
          <w:tcPr>
            <w:tcW w:w="112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$6,000</w:t>
            </w:r>
          </w:p>
        </w:tc>
        <w:tc>
          <w:tcPr>
            <w:tcW w:w="110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$12,000</w:t>
            </w:r>
          </w:p>
        </w:tc>
        <w:tc>
          <w:tcPr>
            <w:tcW w:w="20" w:type="dxa"/>
            <w:vAlign w:val="bottom"/>
          </w:tcPr>
          <w:p>
            <w:pPr>
              <w:spacing w:after="0"/>
              <w:rPr>
                <w:sz w:val="20"/>
                <w:szCs w:val="20"/>
                <w:color w:val="auto"/>
              </w:rPr>
            </w:pPr>
          </w:p>
        </w:tc>
      </w:tr>
      <w:tr>
        <w:trPr>
          <w:trHeight w:val="58"/>
        </w:trPr>
        <w:tc>
          <w:tcPr>
            <w:tcW w:w="704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10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36" w:lineRule="exact"/>
        <w:rPr>
          <w:sz w:val="20"/>
          <w:szCs w:val="20"/>
          <w:color w:val="auto"/>
        </w:rPr>
      </w:pPr>
    </w:p>
    <w:p>
      <w:pPr>
        <w:ind w:left="220" w:right="20" w:hanging="215"/>
        <w:spacing w:after="0" w:line="301" w:lineRule="auto"/>
        <w:tabs>
          <w:tab w:leader="none" w:pos="2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Director Fees are paid $60,000 cash and $85,000 equity based on closing market price on the day of our Annual Meeting held March 26, 2024. The Board Chair receives an additional $60,000 cash premium.</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Director Compensation Structure Changes for Fiscal Year 2024</w:t>
      </w:r>
    </w:p>
    <w:p>
      <w:pPr>
        <w:spacing w:after="0" w:line="39" w:lineRule="exact"/>
        <w:rPr>
          <w:sz w:val="20"/>
          <w:szCs w:val="20"/>
          <w:color w:val="auto"/>
        </w:rPr>
      </w:pPr>
    </w:p>
    <w:p>
      <w:pPr>
        <w:ind w:left="120" w:right="60" w:hanging="115"/>
        <w:spacing w:after="0" w:line="292" w:lineRule="auto"/>
        <w:tabs>
          <w:tab w:leader="none" w:pos="12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Equity Compensation. </w:t>
      </w:r>
      <w:r>
        <w:rPr>
          <w:rFonts w:ascii="Arial" w:cs="Arial" w:eastAsia="Arial" w:hAnsi="Arial"/>
          <w:sz w:val="15"/>
          <w:szCs w:val="15"/>
          <w:color w:val="auto"/>
        </w:rPr>
        <w:t>Each non-employee director receives an annual grant of restricted stock on the date of the Annual Meeting of</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with a grant date fair market value of $85,000, based on the closing price of our Common Stock on the grant date. Equity based compensation increased to 50% of our peers, or $85,000 of the total annual compensation, for fiscal year 2024. The restricted stock vests in one-year, on March 26, 2025, consistent with the Limoneira Company 2022 Omnibus Incentive Plan, as amended (the “2022 Plan”), which requires a minimum one-year vesting period for all awards granted under the plan.</w:t>
      </w:r>
    </w:p>
    <w:p>
      <w:pPr>
        <w:spacing w:after="0" w:line="106"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Cash Compensation. </w:t>
      </w:r>
      <w:r>
        <w:rPr>
          <w:rFonts w:ascii="Arial" w:cs="Arial" w:eastAsia="Arial" w:hAnsi="Arial"/>
          <w:sz w:val="15"/>
          <w:szCs w:val="15"/>
          <w:color w:val="auto"/>
        </w:rPr>
        <w:t>The balance of the total annual compensation is paid in cash quarterly in arrears.</w:t>
      </w:r>
    </w:p>
    <w:p>
      <w:pPr>
        <w:spacing w:after="0" w:line="172" w:lineRule="exact"/>
        <w:rPr>
          <w:rFonts w:ascii="Times New Roman" w:cs="Times New Roman" w:eastAsia="Times New Roman" w:hAnsi="Times New Roman"/>
          <w:sz w:val="15"/>
          <w:szCs w:val="15"/>
          <w:color w:val="auto"/>
        </w:rPr>
      </w:pPr>
    </w:p>
    <w:p>
      <w:pPr>
        <w:ind w:left="120" w:right="300" w:hanging="115"/>
        <w:spacing w:after="0" w:line="305" w:lineRule="auto"/>
        <w:tabs>
          <w:tab w:leader="none" w:pos="12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Expenses. </w:t>
      </w:r>
      <w:r>
        <w:rPr>
          <w:rFonts w:ascii="Arial" w:cs="Arial" w:eastAsia="Arial" w:hAnsi="Arial"/>
          <w:sz w:val="15"/>
          <w:szCs w:val="15"/>
          <w:color w:val="auto"/>
        </w:rPr>
        <w:t>Directors (including the Chairperson of the Board) are reimbursed for reasonable out-of-pocket expenses incurred in</w:t>
      </w:r>
      <w:r>
        <w:rPr>
          <w:rFonts w:ascii="Arial" w:cs="Arial" w:eastAsia="Arial" w:hAnsi="Arial"/>
          <w:sz w:val="15"/>
          <w:szCs w:val="15"/>
          <w:b w:val="1"/>
          <w:bCs w:val="1"/>
          <w:color w:val="auto"/>
        </w:rPr>
        <w:t xml:space="preserve"> </w:t>
      </w:r>
      <w:r>
        <w:rPr>
          <w:rFonts w:ascii="Arial" w:cs="Arial" w:eastAsia="Arial" w:hAnsi="Arial"/>
          <w:sz w:val="15"/>
          <w:szCs w:val="15"/>
          <w:color w:val="auto"/>
        </w:rPr>
        <w:t>attending meetings of the Board or committees. The Company also reimburses directors for all reasonable and authorized business expenses related to service to the Company in accordance with the policies of the Company as in effect from time to time.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89C6F0"/>
        </w:rPr>
        <w:t>Pearl Meyer Engagement</w:t>
      </w:r>
    </w:p>
    <w:p>
      <w:pPr>
        <w:spacing w:after="0" w:line="47"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 Company’s Non-Employee Director Compensation Guidelines set forth the process for which the Compensation Committee reviews director compensation to ensure it is designed to achieve the Company’s compensation objectives. During fiscal year 2023, as part of its oversight and review, the Compensation Committee engaged Pearl Meyer to provide detailed director pay comparisons against the same peer group companies, identified below, that are used in assessing compensation for our NEOs. Pearl Meyer determined that director compensation practices migrated since the last formal review and the Board’s last approval of changes during fiscal year 2022. Based on this review and recommendation by Pearl Meyer, the Compensation Committee recommended changes to the Board, and the Board approved, changes to the compensation of our non-employee directors, effective November 1, 2024, to align our director compensation program to market compensation levels. Specifically, the Board modified the structure of the non-employee director compensation to: (i) increase the amount of the annual retainer and the value of the annual restricted stock awards; and to (ii) increase the lead independent director retainer. Our Board believes these changes were appropriate given the compensation levels that were indicated by the market data identifying our director compensation program was approximately $40,000 below median and Pearl Meyer’s recommendations.</w:t>
      </w:r>
    </w:p>
    <w:p>
      <w:pPr>
        <w:sectPr>
          <w:pgSz w:w="11900" w:h="16838" w:orient="portrait"/>
          <w:cols w:equalWidth="0" w:num="1">
            <w:col w:w="9340"/>
          </w:cols>
          <w:pgMar w:left="1300" w:top="119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6" w:right="1259" w:bottom="1440" w:gutter="0" w:footer="0" w:header="0"/>
          <w:type w:val="continuous"/>
        </w:sectPr>
      </w:pPr>
    </w:p>
    <w:bookmarkStart w:id="26" w:name="page27"/>
    <w:bookmarkEnd w:id="26"/>
    <w:p>
      <w:pPr>
        <w:jc w:val="both"/>
        <w:ind w:right="4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Pearl Meyer’s analysis indicated that an increase in non-employee director compensation adheres to the principles and leading practices from Pearl Meyer’s 2023 Director Compensation Analysis published by the National Association of Corporate Directors (“NACD”), which include that director compensation should be:</w:t>
      </w:r>
    </w:p>
    <w:p>
      <w:pPr>
        <w:spacing w:after="0" w:line="86" w:lineRule="exact"/>
        <w:rPr>
          <w:sz w:val="20"/>
          <w:szCs w:val="20"/>
          <w:color w:val="auto"/>
        </w:rPr>
      </w:pPr>
    </w:p>
    <w:p>
      <w:pPr>
        <w:ind w:left="120" w:hanging="115"/>
        <w:spacing w:after="0"/>
        <w:tabs>
          <w:tab w:leader="none" w:pos="1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Determined by the board and disclosed completely to stockholders;</w:t>
      </w:r>
    </w:p>
    <w:p>
      <w:pPr>
        <w:spacing w:after="0" w:line="172"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Aligned with long-term interests of stockholders;</w:t>
      </w:r>
    </w:p>
    <w:p>
      <w:pPr>
        <w:spacing w:after="0" w:line="172"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Used to motivate director behavior;</w:t>
      </w:r>
    </w:p>
    <w:p>
      <w:pPr>
        <w:spacing w:after="0" w:line="159"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Used to adequately compensate directors for their time and effort; and</w:t>
      </w:r>
    </w:p>
    <w:p>
      <w:pPr>
        <w:spacing w:after="0" w:line="172"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Approached on an overall basis rather than as an array of separate elements.</w:t>
      </w:r>
    </w:p>
    <w:p>
      <w:pPr>
        <w:spacing w:after="0" w:line="172"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color w:val="auto"/>
        </w:rPr>
        <w:t>Based on these principles, the NACD Blue Ribbon Commission recommends the leading practices listed below, to which we apply to our non-employee director compensation program.</w:t>
      </w:r>
    </w:p>
    <w:p>
      <w:pPr>
        <w:spacing w:after="0" w:line="148" w:lineRule="exact"/>
        <w:rPr>
          <w:sz w:val="20"/>
          <w:szCs w:val="20"/>
          <w:color w:val="auto"/>
        </w:rPr>
      </w:pPr>
    </w:p>
    <w:p>
      <w:pPr>
        <w:ind w:left="560" w:right="500"/>
        <w:spacing w:after="0" w:line="324" w:lineRule="auto"/>
        <w:rPr>
          <w:sz w:val="20"/>
          <w:szCs w:val="20"/>
          <w:color w:val="auto"/>
        </w:rPr>
      </w:pPr>
      <w:r>
        <w:rPr>
          <w:rFonts w:ascii="Arial" w:cs="Arial" w:eastAsia="Arial" w:hAnsi="Arial"/>
          <w:sz w:val="15"/>
          <w:szCs w:val="15"/>
          <w:color w:val="auto"/>
        </w:rPr>
        <w:t>Establish a transparent process by which directors can determine the compensation program in a deliberate and objective manner.</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Set a substantial target for stock ownership by each director and a time period during which this target is to be met.</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Define a desirable total value of all forms of director compensation.</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Pay directors solely in the form of equity and cash – with equity representing at least 50% of the total value.</w:t>
      </w:r>
    </w:p>
    <w:p>
      <w:pPr>
        <w:spacing w:after="0" w:line="288" w:lineRule="exact"/>
        <w:rPr>
          <w:sz w:val="20"/>
          <w:szCs w:val="20"/>
          <w:color w:val="auto"/>
        </w:rPr>
      </w:pPr>
    </w:p>
    <w:p>
      <w:pPr>
        <w:ind w:left="560" w:right="120"/>
        <w:spacing w:after="0" w:line="324" w:lineRule="auto"/>
        <w:rPr>
          <w:sz w:val="20"/>
          <w:szCs w:val="20"/>
          <w:color w:val="auto"/>
        </w:rPr>
      </w:pPr>
      <w:r>
        <w:rPr>
          <w:rFonts w:ascii="Arial" w:cs="Arial" w:eastAsia="Arial" w:hAnsi="Arial"/>
          <w:sz w:val="15"/>
          <w:szCs w:val="15"/>
          <w:color w:val="auto"/>
        </w:rPr>
        <w:t>Disclose fully in the proxy statement the philosophy and process used in determining director compensation and the value of all elements of the compensation program.</w:t>
      </w:r>
    </w:p>
    <w:p>
      <w:pPr>
        <w:spacing w:after="0" w:line="161" w:lineRule="exact"/>
        <w:rPr>
          <w:sz w:val="20"/>
          <w:szCs w:val="20"/>
          <w:color w:val="auto"/>
        </w:rPr>
      </w:pPr>
    </w:p>
    <w:p>
      <w:pPr>
        <w:ind w:right="240"/>
        <w:spacing w:after="0" w:line="304" w:lineRule="auto"/>
        <w:rPr>
          <w:sz w:val="20"/>
          <w:szCs w:val="20"/>
          <w:color w:val="auto"/>
        </w:rPr>
      </w:pPr>
      <w:r>
        <w:rPr>
          <w:rFonts w:ascii="Arial" w:cs="Arial" w:eastAsia="Arial" w:hAnsi="Arial"/>
          <w:sz w:val="15"/>
          <w:szCs w:val="15"/>
          <w:color w:val="auto"/>
        </w:rPr>
        <w:t>The following table provides compensation paid to our non-management directors in fiscal year 2024. Limoneira does not issue option awards, and no non-management directors have any option awards outstanding. Due to board and committee restructure with the retirement of Ms. Chess and appointment of Mr. Nolan, fees paid to Directors were on a pro-rata basis.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40" w:type="dxa"/>
            <w:vAlign w:val="bottom"/>
            <w:tcBorders>
              <w:right w:val="single" w:sz="8" w:color="E5E9ED"/>
            </w:tcBorders>
            <w:shd w:val="clear" w:color="auto" w:fill="E5E9ED"/>
          </w:tcPr>
          <w:p>
            <w:pPr>
              <w:spacing w:after="0"/>
              <w:rPr>
                <w:sz w:val="19"/>
                <w:szCs w:val="19"/>
                <w:color w:val="auto"/>
              </w:rPr>
            </w:pPr>
          </w:p>
        </w:tc>
        <w:tc>
          <w:tcPr>
            <w:tcW w:w="13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Total</w:t>
            </w:r>
          </w:p>
        </w:tc>
        <w:tc>
          <w:tcPr>
            <w:tcW w:w="1340" w:type="dxa"/>
            <w:vAlign w:val="bottom"/>
            <w:tcBorders>
              <w:right w:val="single" w:sz="8" w:color="E5E9ED"/>
            </w:tcBorders>
            <w:shd w:val="clear" w:color="auto" w:fill="E5E9ED"/>
          </w:tcPr>
          <w:p>
            <w:pPr>
              <w:spacing w:after="0"/>
              <w:rPr>
                <w:sz w:val="19"/>
                <w:szCs w:val="19"/>
                <w:color w:val="auto"/>
              </w:rPr>
            </w:pPr>
          </w:p>
        </w:tc>
        <w:tc>
          <w:tcPr>
            <w:tcW w:w="1340" w:type="dxa"/>
            <w:vAlign w:val="bottom"/>
            <w:tcBorders>
              <w:right w:val="single" w:sz="8" w:color="E5E9ED"/>
            </w:tcBorders>
            <w:shd w:val="clear" w:color="auto" w:fill="E5E9ED"/>
          </w:tcPr>
          <w:p>
            <w:pPr>
              <w:spacing w:after="0"/>
              <w:rPr>
                <w:sz w:val="19"/>
                <w:szCs w:val="19"/>
                <w:color w:val="auto"/>
              </w:rPr>
            </w:pPr>
          </w:p>
        </w:tc>
        <w:tc>
          <w:tcPr>
            <w:tcW w:w="1320" w:type="dxa"/>
            <w:vAlign w:val="bottom"/>
            <w:shd w:val="clear" w:color="auto" w:fill="E5E9ED"/>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3940" w:type="dxa"/>
            <w:vAlign w:val="bottom"/>
            <w:tcBorders>
              <w:right w:val="single" w:sz="8" w:color="E5E9ED"/>
            </w:tcBorders>
            <w:shd w:val="clear" w:color="auto" w:fill="E5E9ED"/>
          </w:tcPr>
          <w:p>
            <w:pPr>
              <w:spacing w:after="0"/>
              <w:rPr>
                <w:sz w:val="15"/>
                <w:szCs w:val="15"/>
                <w:color w:val="auto"/>
              </w:rPr>
            </w:pPr>
          </w:p>
        </w:tc>
        <w:tc>
          <w:tcPr>
            <w:tcW w:w="13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FY 2024</w:t>
            </w:r>
          </w:p>
        </w:tc>
        <w:tc>
          <w:tcPr>
            <w:tcW w:w="13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Fees Earned</w:t>
            </w:r>
          </w:p>
        </w:tc>
        <w:tc>
          <w:tcPr>
            <w:tcW w:w="13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Equity Stock</w:t>
            </w:r>
          </w:p>
        </w:tc>
        <w:tc>
          <w:tcPr>
            <w:tcW w:w="13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Equivalent</w:t>
            </w:r>
          </w:p>
        </w:tc>
        <w:tc>
          <w:tcPr>
            <w:tcW w:w="20" w:type="dxa"/>
            <w:vAlign w:val="bottom"/>
          </w:tcPr>
          <w:p>
            <w:pPr>
              <w:spacing w:after="0"/>
              <w:rPr>
                <w:sz w:val="15"/>
                <w:szCs w:val="15"/>
                <w:color w:val="auto"/>
              </w:rPr>
            </w:pPr>
          </w:p>
        </w:tc>
      </w:tr>
      <w:tr>
        <w:trPr>
          <w:trHeight w:val="208"/>
        </w:trPr>
        <w:tc>
          <w:tcPr>
            <w:tcW w:w="3940" w:type="dxa"/>
            <w:vAlign w:val="bottom"/>
            <w:tcBorders>
              <w:right w:val="single" w:sz="8" w:color="E5E9ED"/>
            </w:tcBorders>
            <w:shd w:val="clear" w:color="auto" w:fill="E5E9ED"/>
          </w:tcPr>
          <w:p>
            <w:pPr>
              <w:spacing w:after="0"/>
              <w:rPr>
                <w:sz w:val="18"/>
                <w:szCs w:val="18"/>
                <w:color w:val="auto"/>
              </w:rPr>
            </w:pPr>
          </w:p>
        </w:tc>
        <w:tc>
          <w:tcPr>
            <w:tcW w:w="13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13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Paid in Cash</w:t>
            </w:r>
          </w:p>
        </w:tc>
        <w:tc>
          <w:tcPr>
            <w:tcW w:w="134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1"/>
              </w:rPr>
              <w:t>Award</w:t>
            </w:r>
            <w:r>
              <w:rPr>
                <w:rFonts w:ascii="Arial" w:cs="Arial" w:eastAsia="Arial" w:hAnsi="Arial"/>
                <w:sz w:val="20"/>
                <w:szCs w:val="20"/>
                <w:b w:val="1"/>
                <w:bCs w:val="1"/>
                <w:color w:val="auto"/>
                <w:w w:val="91"/>
                <w:vertAlign w:val="superscript"/>
              </w:rPr>
              <w:t>(1)</w:t>
            </w:r>
          </w:p>
        </w:tc>
        <w:tc>
          <w:tcPr>
            <w:tcW w:w="13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8"/>
                <w:szCs w:val="18"/>
                <w:color w:val="auto"/>
              </w:rPr>
            </w:pPr>
          </w:p>
        </w:tc>
      </w:tr>
      <w:tr>
        <w:trPr>
          <w:trHeight w:val="214"/>
        </w:trPr>
        <w:tc>
          <w:tcPr>
            <w:tcW w:w="394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Director Name</w:t>
            </w:r>
          </w:p>
        </w:tc>
        <w:tc>
          <w:tcPr>
            <w:tcW w:w="136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8"/>
                <w:szCs w:val="18"/>
                <w:color w:val="auto"/>
              </w:rPr>
            </w:pPr>
          </w:p>
        </w:tc>
      </w:tr>
      <w:tr>
        <w:trPr>
          <w:trHeight w:val="241"/>
        </w:trPr>
        <w:tc>
          <w:tcPr>
            <w:tcW w:w="39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Barbara Carbone</w:t>
            </w:r>
          </w:p>
        </w:tc>
        <w:tc>
          <w:tcPr>
            <w:tcW w:w="136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172,250</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87,250</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85,000</w:t>
            </w:r>
          </w:p>
        </w:tc>
        <w:tc>
          <w:tcPr>
            <w:tcW w:w="1320" w:type="dxa"/>
            <w:vAlign w:val="bottom"/>
            <w:tcBorders>
              <w:top w:val="single" w:sz="8" w:color="EBF7FC"/>
            </w:tcBorders>
          </w:tcPr>
          <w:p>
            <w:pPr>
              <w:jc w:val="right"/>
              <w:ind w:right="252"/>
              <w:spacing w:after="0"/>
              <w:rPr>
                <w:sz w:val="20"/>
                <w:szCs w:val="20"/>
                <w:color w:val="auto"/>
              </w:rPr>
            </w:pPr>
            <w:r>
              <w:rPr>
                <w:rFonts w:ascii="Arial" w:cs="Arial" w:eastAsia="Arial" w:hAnsi="Arial"/>
                <w:sz w:val="14"/>
                <w:szCs w:val="14"/>
                <w:color w:val="auto"/>
              </w:rPr>
              <w:t>4,413</w:t>
            </w:r>
          </w:p>
        </w:tc>
        <w:tc>
          <w:tcPr>
            <w:tcW w:w="20" w:type="dxa"/>
            <w:vAlign w:val="bottom"/>
            <w:tcBorders>
              <w:top w:val="single" w:sz="8" w:color="EBF7FC"/>
            </w:tcBorders>
          </w:tcPr>
          <w:p>
            <w:pPr>
              <w:spacing w:after="0"/>
              <w:rPr>
                <w:sz w:val="20"/>
                <w:szCs w:val="20"/>
                <w:color w:val="auto"/>
              </w:rPr>
            </w:pPr>
          </w:p>
        </w:tc>
      </w:tr>
      <w:tr>
        <w:trPr>
          <w:trHeight w:val="58"/>
        </w:trPr>
        <w:tc>
          <w:tcPr>
            <w:tcW w:w="39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394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Elizabeth Blanchard Chess (3)</w:t>
            </w:r>
          </w:p>
        </w:tc>
        <w:tc>
          <w:tcPr>
            <w:tcW w:w="136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11,250</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11,250</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F3F9FD"/>
            </w:tcBorders>
            <w:shd w:val="clear" w:color="auto" w:fill="F3F9FD"/>
          </w:tcPr>
          <w:p>
            <w:pPr>
              <w:jc w:val="right"/>
              <w:ind w:right="2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241"/>
        </w:trPr>
        <w:tc>
          <w:tcPr>
            <w:tcW w:w="39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Harold S. Edwards (2)</w:t>
            </w:r>
          </w:p>
        </w:tc>
        <w:tc>
          <w:tcPr>
            <w:tcW w:w="136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EBF7FC"/>
            </w:tcBorders>
          </w:tcPr>
          <w:p>
            <w:pPr>
              <w:jc w:val="right"/>
              <w:ind w:right="25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r>
      <w:tr>
        <w:trPr>
          <w:trHeight w:val="58"/>
        </w:trPr>
        <w:tc>
          <w:tcPr>
            <w:tcW w:w="39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394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Gordon E. Kimball</w:t>
            </w:r>
          </w:p>
        </w:tc>
        <w:tc>
          <w:tcPr>
            <w:tcW w:w="136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161,000</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76,000</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85,000</w:t>
            </w:r>
          </w:p>
        </w:tc>
        <w:tc>
          <w:tcPr>
            <w:tcW w:w="1320" w:type="dxa"/>
            <w:vAlign w:val="bottom"/>
            <w:tcBorders>
              <w:bottom w:val="single" w:sz="8" w:color="F3F9FD"/>
            </w:tcBorders>
            <w:shd w:val="clear" w:color="auto" w:fill="F3F9FD"/>
          </w:tcPr>
          <w:p>
            <w:pPr>
              <w:jc w:val="right"/>
              <w:ind w:right="252"/>
              <w:spacing w:after="0"/>
              <w:rPr>
                <w:sz w:val="20"/>
                <w:szCs w:val="20"/>
                <w:color w:val="auto"/>
              </w:rPr>
            </w:pPr>
            <w:r>
              <w:rPr>
                <w:rFonts w:ascii="Arial" w:cs="Arial" w:eastAsia="Arial" w:hAnsi="Arial"/>
                <w:sz w:val="14"/>
                <w:szCs w:val="14"/>
                <w:color w:val="auto"/>
              </w:rPr>
              <w:t>4,413</w:t>
            </w:r>
          </w:p>
        </w:tc>
        <w:tc>
          <w:tcPr>
            <w:tcW w:w="20" w:type="dxa"/>
            <w:vAlign w:val="bottom"/>
          </w:tcPr>
          <w:p>
            <w:pPr>
              <w:spacing w:after="0"/>
              <w:rPr>
                <w:sz w:val="24"/>
                <w:szCs w:val="24"/>
                <w:color w:val="auto"/>
              </w:rPr>
            </w:pPr>
          </w:p>
        </w:tc>
      </w:tr>
      <w:tr>
        <w:trPr>
          <w:trHeight w:val="241"/>
        </w:trPr>
        <w:tc>
          <w:tcPr>
            <w:tcW w:w="39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Elizabeth Mora</w:t>
            </w:r>
          </w:p>
        </w:tc>
        <w:tc>
          <w:tcPr>
            <w:tcW w:w="136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175,000</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90,000</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85,000</w:t>
            </w:r>
          </w:p>
        </w:tc>
        <w:tc>
          <w:tcPr>
            <w:tcW w:w="1320" w:type="dxa"/>
            <w:vAlign w:val="bottom"/>
            <w:tcBorders>
              <w:top w:val="single" w:sz="8" w:color="EBF7FC"/>
            </w:tcBorders>
          </w:tcPr>
          <w:p>
            <w:pPr>
              <w:jc w:val="right"/>
              <w:ind w:right="252"/>
              <w:spacing w:after="0"/>
              <w:rPr>
                <w:sz w:val="20"/>
                <w:szCs w:val="20"/>
                <w:color w:val="auto"/>
              </w:rPr>
            </w:pPr>
            <w:r>
              <w:rPr>
                <w:rFonts w:ascii="Arial" w:cs="Arial" w:eastAsia="Arial" w:hAnsi="Arial"/>
                <w:sz w:val="14"/>
                <w:szCs w:val="14"/>
                <w:color w:val="auto"/>
              </w:rPr>
              <w:t>4,413</w:t>
            </w:r>
          </w:p>
        </w:tc>
        <w:tc>
          <w:tcPr>
            <w:tcW w:w="20" w:type="dxa"/>
            <w:vAlign w:val="bottom"/>
          </w:tcPr>
          <w:p>
            <w:pPr>
              <w:spacing w:after="0"/>
              <w:rPr>
                <w:sz w:val="20"/>
                <w:szCs w:val="20"/>
                <w:color w:val="auto"/>
              </w:rPr>
            </w:pPr>
          </w:p>
        </w:tc>
      </w:tr>
      <w:tr>
        <w:trPr>
          <w:trHeight w:val="58"/>
        </w:trPr>
        <w:tc>
          <w:tcPr>
            <w:tcW w:w="39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394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Peter J. Nolan (4)</w:t>
            </w:r>
          </w:p>
        </w:tc>
        <w:tc>
          <w:tcPr>
            <w:tcW w:w="136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146,565</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49,167</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97,398</w:t>
            </w:r>
          </w:p>
        </w:tc>
        <w:tc>
          <w:tcPr>
            <w:tcW w:w="1320" w:type="dxa"/>
            <w:vAlign w:val="bottom"/>
            <w:tcBorders>
              <w:bottom w:val="single" w:sz="8" w:color="F3F9FD"/>
            </w:tcBorders>
            <w:shd w:val="clear" w:color="auto" w:fill="F3F9FD"/>
          </w:tcPr>
          <w:p>
            <w:pPr>
              <w:jc w:val="right"/>
              <w:ind w:right="252"/>
              <w:spacing w:after="0"/>
              <w:rPr>
                <w:sz w:val="20"/>
                <w:szCs w:val="20"/>
                <w:color w:val="auto"/>
              </w:rPr>
            </w:pPr>
            <w:r>
              <w:rPr>
                <w:rFonts w:ascii="Arial" w:cs="Arial" w:eastAsia="Arial" w:hAnsi="Arial"/>
                <w:sz w:val="14"/>
                <w:szCs w:val="14"/>
                <w:color w:val="auto"/>
              </w:rPr>
              <w:t>5,033</w:t>
            </w:r>
          </w:p>
        </w:tc>
        <w:tc>
          <w:tcPr>
            <w:tcW w:w="20" w:type="dxa"/>
            <w:vAlign w:val="bottom"/>
          </w:tcPr>
          <w:p>
            <w:pPr>
              <w:spacing w:after="0"/>
              <w:rPr>
                <w:sz w:val="24"/>
                <w:szCs w:val="24"/>
                <w:color w:val="auto"/>
              </w:rPr>
            </w:pPr>
          </w:p>
        </w:tc>
      </w:tr>
      <w:tr>
        <w:trPr>
          <w:trHeight w:val="241"/>
        </w:trPr>
        <w:tc>
          <w:tcPr>
            <w:tcW w:w="39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Scott S. Slater</w:t>
            </w:r>
          </w:p>
        </w:tc>
        <w:tc>
          <w:tcPr>
            <w:tcW w:w="136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220,000</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135,000</w:t>
            </w:r>
          </w:p>
        </w:tc>
        <w:tc>
          <w:tcPr>
            <w:tcW w:w="1340" w:type="dxa"/>
            <w:vAlign w:val="bottom"/>
            <w:tcBorders>
              <w:top w:val="single" w:sz="8" w:color="EBF7FC"/>
              <w:right w:val="single" w:sz="8" w:color="EBF7FC"/>
            </w:tcBorders>
          </w:tcPr>
          <w:p>
            <w:pPr>
              <w:jc w:val="right"/>
              <w:ind w:right="292"/>
              <w:spacing w:after="0"/>
              <w:rPr>
                <w:sz w:val="20"/>
                <w:szCs w:val="20"/>
                <w:color w:val="auto"/>
              </w:rPr>
            </w:pPr>
            <w:r>
              <w:rPr>
                <w:rFonts w:ascii="Arial" w:cs="Arial" w:eastAsia="Arial" w:hAnsi="Arial"/>
                <w:sz w:val="14"/>
                <w:szCs w:val="14"/>
                <w:color w:val="auto"/>
              </w:rPr>
              <w:t>85,000</w:t>
            </w:r>
          </w:p>
        </w:tc>
        <w:tc>
          <w:tcPr>
            <w:tcW w:w="1320" w:type="dxa"/>
            <w:vAlign w:val="bottom"/>
            <w:tcBorders>
              <w:top w:val="single" w:sz="8" w:color="EBF7FC"/>
            </w:tcBorders>
          </w:tcPr>
          <w:p>
            <w:pPr>
              <w:jc w:val="right"/>
              <w:ind w:right="252"/>
              <w:spacing w:after="0"/>
              <w:rPr>
                <w:sz w:val="20"/>
                <w:szCs w:val="20"/>
                <w:color w:val="auto"/>
              </w:rPr>
            </w:pPr>
            <w:r>
              <w:rPr>
                <w:rFonts w:ascii="Arial" w:cs="Arial" w:eastAsia="Arial" w:hAnsi="Arial"/>
                <w:sz w:val="14"/>
                <w:szCs w:val="14"/>
                <w:color w:val="auto"/>
              </w:rPr>
              <w:t>4,413</w:t>
            </w:r>
          </w:p>
        </w:tc>
        <w:tc>
          <w:tcPr>
            <w:tcW w:w="20" w:type="dxa"/>
            <w:vAlign w:val="bottom"/>
          </w:tcPr>
          <w:p>
            <w:pPr>
              <w:spacing w:after="0"/>
              <w:rPr>
                <w:sz w:val="20"/>
                <w:szCs w:val="20"/>
                <w:color w:val="auto"/>
              </w:rPr>
            </w:pPr>
          </w:p>
        </w:tc>
      </w:tr>
      <w:tr>
        <w:trPr>
          <w:trHeight w:val="58"/>
        </w:trPr>
        <w:tc>
          <w:tcPr>
            <w:tcW w:w="39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10"/>
        </w:trPr>
        <w:tc>
          <w:tcPr>
            <w:tcW w:w="394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Edgar A. Terry</w:t>
            </w:r>
          </w:p>
        </w:tc>
        <w:tc>
          <w:tcPr>
            <w:tcW w:w="136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166,167</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81,167</w:t>
            </w:r>
          </w:p>
        </w:tc>
        <w:tc>
          <w:tcPr>
            <w:tcW w:w="1340" w:type="dxa"/>
            <w:vAlign w:val="bottom"/>
            <w:tcBorders>
              <w:bottom w:val="single" w:sz="8" w:color="F3F9FD"/>
              <w:right w:val="single" w:sz="8" w:color="EBF7FC"/>
            </w:tcBorders>
            <w:shd w:val="clear" w:color="auto" w:fill="F3F9FD"/>
          </w:tcPr>
          <w:p>
            <w:pPr>
              <w:jc w:val="right"/>
              <w:ind w:right="292"/>
              <w:spacing w:after="0"/>
              <w:rPr>
                <w:sz w:val="20"/>
                <w:szCs w:val="20"/>
                <w:color w:val="auto"/>
              </w:rPr>
            </w:pPr>
            <w:r>
              <w:rPr>
                <w:rFonts w:ascii="Arial" w:cs="Arial" w:eastAsia="Arial" w:hAnsi="Arial"/>
                <w:sz w:val="14"/>
                <w:szCs w:val="14"/>
                <w:color w:val="auto"/>
              </w:rPr>
              <w:t>85,000</w:t>
            </w:r>
          </w:p>
        </w:tc>
        <w:tc>
          <w:tcPr>
            <w:tcW w:w="1320" w:type="dxa"/>
            <w:vAlign w:val="bottom"/>
            <w:tcBorders>
              <w:bottom w:val="single" w:sz="8" w:color="F3F9FD"/>
            </w:tcBorders>
            <w:shd w:val="clear" w:color="auto" w:fill="F3F9FD"/>
          </w:tcPr>
          <w:p>
            <w:pPr>
              <w:jc w:val="right"/>
              <w:ind w:right="252"/>
              <w:spacing w:after="0"/>
              <w:rPr>
                <w:sz w:val="20"/>
                <w:szCs w:val="20"/>
                <w:color w:val="auto"/>
              </w:rPr>
            </w:pPr>
            <w:r>
              <w:rPr>
                <w:rFonts w:ascii="Arial" w:cs="Arial" w:eastAsia="Arial" w:hAnsi="Arial"/>
                <w:sz w:val="14"/>
                <w:szCs w:val="14"/>
                <w:color w:val="auto"/>
              </w:rPr>
              <w:t>4,413</w:t>
            </w:r>
          </w:p>
        </w:tc>
        <w:tc>
          <w:tcPr>
            <w:tcW w:w="20" w:type="dxa"/>
            <w:vAlign w:val="bottom"/>
          </w:tcPr>
          <w:p>
            <w:pPr>
              <w:spacing w:after="0"/>
              <w:rPr>
                <w:sz w:val="24"/>
                <w:szCs w:val="24"/>
                <w:color w:val="auto"/>
              </w:rPr>
            </w:pPr>
          </w:p>
        </w:tc>
      </w:tr>
      <w:tr>
        <w:trPr>
          <w:trHeight w:val="249"/>
        </w:trPr>
        <w:tc>
          <w:tcPr>
            <w:tcW w:w="3940" w:type="dxa"/>
            <w:vAlign w:val="bottom"/>
            <w:tcBorders>
              <w:top w:val="single" w:sz="8" w:color="ECF0F6"/>
              <w:right w:val="single" w:sz="8" w:color="EBF7FC"/>
            </w:tcBorders>
          </w:tcPr>
          <w:p>
            <w:pPr>
              <w:spacing w:after="0"/>
              <w:rPr>
                <w:sz w:val="21"/>
                <w:szCs w:val="21"/>
                <w:color w:val="auto"/>
              </w:rPr>
            </w:pPr>
          </w:p>
        </w:tc>
        <w:tc>
          <w:tcPr>
            <w:tcW w:w="1360" w:type="dxa"/>
            <w:vAlign w:val="bottom"/>
            <w:tcBorders>
              <w:top w:val="single" w:sz="8" w:color="ECF0F6"/>
              <w:right w:val="single" w:sz="8" w:color="EBF7FC"/>
            </w:tcBorders>
          </w:tcPr>
          <w:p>
            <w:pPr>
              <w:jc w:val="right"/>
              <w:ind w:right="292"/>
              <w:spacing w:after="0"/>
              <w:rPr>
                <w:sz w:val="20"/>
                <w:szCs w:val="20"/>
                <w:color w:val="auto"/>
              </w:rPr>
            </w:pPr>
            <w:r>
              <w:rPr>
                <w:rFonts w:ascii="Arial" w:cs="Arial" w:eastAsia="Arial" w:hAnsi="Arial"/>
                <w:sz w:val="14"/>
                <w:szCs w:val="14"/>
                <w:color w:val="auto"/>
              </w:rPr>
              <w:t>1,052,232</w:t>
            </w:r>
          </w:p>
        </w:tc>
        <w:tc>
          <w:tcPr>
            <w:tcW w:w="1340" w:type="dxa"/>
            <w:vAlign w:val="bottom"/>
            <w:tcBorders>
              <w:top w:val="single" w:sz="8" w:color="ECF0F6"/>
              <w:right w:val="single" w:sz="8" w:color="EBF7FC"/>
            </w:tcBorders>
          </w:tcPr>
          <w:p>
            <w:pPr>
              <w:jc w:val="right"/>
              <w:ind w:right="292"/>
              <w:spacing w:after="0"/>
              <w:rPr>
                <w:sz w:val="20"/>
                <w:szCs w:val="20"/>
                <w:color w:val="auto"/>
              </w:rPr>
            </w:pPr>
            <w:r>
              <w:rPr>
                <w:rFonts w:ascii="Arial" w:cs="Arial" w:eastAsia="Arial" w:hAnsi="Arial"/>
                <w:sz w:val="14"/>
                <w:szCs w:val="14"/>
                <w:color w:val="auto"/>
              </w:rPr>
              <w:t>529,834</w:t>
            </w:r>
          </w:p>
        </w:tc>
        <w:tc>
          <w:tcPr>
            <w:tcW w:w="1340" w:type="dxa"/>
            <w:vAlign w:val="bottom"/>
            <w:tcBorders>
              <w:top w:val="single" w:sz="8" w:color="ECF0F6"/>
              <w:right w:val="single" w:sz="8" w:color="EBF7FC"/>
            </w:tcBorders>
          </w:tcPr>
          <w:p>
            <w:pPr>
              <w:jc w:val="right"/>
              <w:ind w:right="292"/>
              <w:spacing w:after="0"/>
              <w:rPr>
                <w:sz w:val="20"/>
                <w:szCs w:val="20"/>
                <w:color w:val="auto"/>
              </w:rPr>
            </w:pPr>
            <w:r>
              <w:rPr>
                <w:rFonts w:ascii="Arial" w:cs="Arial" w:eastAsia="Arial" w:hAnsi="Arial"/>
                <w:sz w:val="14"/>
                <w:szCs w:val="14"/>
                <w:color w:val="auto"/>
              </w:rPr>
              <w:t>522,398</w:t>
            </w:r>
          </w:p>
        </w:tc>
        <w:tc>
          <w:tcPr>
            <w:tcW w:w="1320" w:type="dxa"/>
            <w:vAlign w:val="bottom"/>
            <w:tcBorders>
              <w:top w:val="single" w:sz="8" w:color="ECF0F6"/>
            </w:tcBorders>
          </w:tcPr>
          <w:p>
            <w:pPr>
              <w:jc w:val="right"/>
              <w:ind w:right="252"/>
              <w:spacing w:after="0"/>
              <w:rPr>
                <w:sz w:val="20"/>
                <w:szCs w:val="20"/>
                <w:color w:val="auto"/>
              </w:rPr>
            </w:pPr>
            <w:r>
              <w:rPr>
                <w:rFonts w:ascii="Arial" w:cs="Arial" w:eastAsia="Arial" w:hAnsi="Arial"/>
                <w:sz w:val="14"/>
                <w:szCs w:val="14"/>
                <w:color w:val="auto"/>
              </w:rPr>
              <w:t>27,098</w:t>
            </w:r>
          </w:p>
        </w:tc>
        <w:tc>
          <w:tcPr>
            <w:tcW w:w="20" w:type="dxa"/>
            <w:vAlign w:val="bottom"/>
          </w:tcPr>
          <w:p>
            <w:pPr>
              <w:spacing w:after="0"/>
              <w:rPr>
                <w:sz w:val="21"/>
                <w:szCs w:val="21"/>
                <w:color w:val="auto"/>
              </w:rPr>
            </w:pPr>
          </w:p>
        </w:tc>
      </w:tr>
      <w:tr>
        <w:trPr>
          <w:trHeight w:val="58"/>
        </w:trPr>
        <w:tc>
          <w:tcPr>
            <w:tcW w:w="39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23" w:lineRule="exact"/>
        <w:rPr>
          <w:sz w:val="20"/>
          <w:szCs w:val="20"/>
          <w:color w:val="auto"/>
        </w:rPr>
      </w:pPr>
    </w:p>
    <w:p>
      <w:pPr>
        <w:ind w:left="220" w:right="120" w:hanging="215"/>
        <w:spacing w:after="0" w:line="301" w:lineRule="auto"/>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value of equity stock awards is the aggregate grant date fair market value computed in accordance with FASB ASC Topic 718 - Compensation - Stock Compensation. Shares were issued on March 26, 2024 at closing market price of $19.26.</w:t>
      </w:r>
    </w:p>
    <w:p>
      <w:pPr>
        <w:spacing w:after="0" w:line="101" w:lineRule="exact"/>
        <w:rPr>
          <w:rFonts w:ascii="Arial" w:cs="Arial" w:eastAsia="Arial" w:hAnsi="Arial"/>
          <w:sz w:val="12"/>
          <w:szCs w:val="12"/>
          <w:color w:val="auto"/>
        </w:rPr>
      </w:pPr>
    </w:p>
    <w:p>
      <w:pPr>
        <w:ind w:left="220" w:hanging="215"/>
        <w:spacing w:after="0"/>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Non compensated Management Director.</w:t>
      </w:r>
    </w:p>
    <w:p>
      <w:pPr>
        <w:spacing w:after="0" w:line="156" w:lineRule="exact"/>
        <w:rPr>
          <w:rFonts w:ascii="Arial" w:cs="Arial" w:eastAsia="Arial" w:hAnsi="Arial"/>
          <w:sz w:val="12"/>
          <w:szCs w:val="12"/>
          <w:color w:val="auto"/>
        </w:rPr>
      </w:pPr>
    </w:p>
    <w:p>
      <w:pPr>
        <w:ind w:left="220" w:hanging="215"/>
        <w:spacing w:after="0"/>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Ms. Chess retired, effective January 1, 2024. Her vacancy on the Board was filled by Peter J. Nolan, effective January 1, 2024.</w:t>
      </w:r>
    </w:p>
    <w:p>
      <w:pPr>
        <w:spacing w:after="0" w:line="143" w:lineRule="exact"/>
        <w:rPr>
          <w:rFonts w:ascii="Arial" w:cs="Arial" w:eastAsia="Arial" w:hAnsi="Arial"/>
          <w:sz w:val="12"/>
          <w:szCs w:val="12"/>
          <w:color w:val="auto"/>
        </w:rPr>
      </w:pPr>
    </w:p>
    <w:p>
      <w:pPr>
        <w:ind w:left="220" w:right="40" w:hanging="215"/>
        <w:spacing w:after="0" w:line="301" w:lineRule="auto"/>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Nolan was appointed to the Board effective January 1, 2024. He received an equity grant of 609 shares at the time of his appointment valued at the closing market price on January 2, 2024, of $20.37, in addition to shares received on March 26, 2024.</w:t>
      </w:r>
    </w:p>
    <w:p>
      <w:pPr>
        <w:sectPr>
          <w:pgSz w:w="11900" w:h="16838" w:orient="portrait"/>
          <w:cols w:equalWidth="0" w:num="1">
            <w:col w:w="9320"/>
          </w:cols>
          <w:pgMar w:left="1300" w:top="1214"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4" w:right="127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Nominations of Directors and Diversity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Board of Directors Refreshment</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Our Nominating Committee values thoughtful Board refreshment and regularly identifies and considers qualities, skills and other director attributes that would enhance the Board’s composition. In the case of any incumbent director with an expiring term, the Nominating Committee reviews the director’s overall service to the Company, including the director’s skills, number of meetings attended, level of participation, quality of performance, the Board’s needs and any relationships and transactions that might impair such director’s independence. The Nominating Committee also considers the results of the Board self-evaluations and Director &amp; Officer Questionnaires which each Board member completes annually.</w:t>
      </w:r>
    </w:p>
    <w:p>
      <w:pPr>
        <w:spacing w:after="0" w:line="110"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color w:val="auto"/>
        </w:rPr>
        <w:t>We significantly refreshed the Board over the past three (3) years from eleven (11) to seven (7) directors. During fiscal year 2024, Ms. Chess retired effective January 1, 2024. The Board appointed Mr. Nolan, effective January 1, 2024, to fill the vacancy created by the retirement of Ms. Chess. The average tenure is 9.6 years.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Nominations of Directors</w:t>
      </w:r>
    </w:p>
    <w:p>
      <w:pPr>
        <w:spacing w:after="0" w:line="91"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The Nominating Committee is responsible for selecting nominees for election to the Board as set forth in the Nominating Committee Charter and Corporate Governance Guidelines. In considering Board candidates, the Nominating Committee evaluates the entirety of each candidate’s attributes, credentials and other factors as described in the Company’s Corporate Governance Guidelines. The Nominating Committee believes the qualifications identified below enhance the effectiveness of the Board and analyzes each candidate with these attributes in mind.</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Board believes the directors should possess:</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requisite combination of diverse skills;</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professional experience;</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ability to make independent decisions and analytical inquiries; and</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diversity of background and perspective to meet the Company’s current and future needs.</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When evaluating director candidates, the Nominating Committee takes into consideration:</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personal and professional integrity, ethics and values;</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experience and expertise in our industry;</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experience as a board member of another public company;</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diversity of background and perspective (inclusive of age, ethnicity, nationality, experience, gender and race);</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current Board size and composition and the extent to which a candidate would fill a present need on our Board; and</w:t>
      </w:r>
    </w:p>
    <w:p>
      <w:pPr>
        <w:spacing w:after="0" w:line="39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other ongoing and future commitments and obligations of the candidate.</w:t>
      </w:r>
    </w:p>
    <w:p>
      <w:pPr>
        <w:sectPr>
          <w:pgSz w:w="11900" w:h="16838" w:orient="portrait"/>
          <w:cols w:equalWidth="0" w:num="1">
            <w:col w:w="9280"/>
          </w:cols>
          <w:pgMar w:left="1300" w:top="107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280"/>
          </w:cols>
          <w:pgMar w:left="1300" w:top="1072" w:right="13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In considering the nomination of existing directors, the Nominating Committee takes into consideration:</w:t>
      </w:r>
    </w:p>
    <w:p>
      <w:pPr>
        <w:spacing w:after="0" w:line="3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director’s contributions to the Board;</w:t>
      </w:r>
    </w:p>
    <w:p>
      <w:pPr>
        <w:spacing w:after="0" w:line="3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director’s ability to attend meetings and fully participate in Board and committee activities;</w:t>
      </w:r>
    </w:p>
    <w:p>
      <w:pPr>
        <w:spacing w:after="0" w:line="288" w:lineRule="exact"/>
        <w:rPr>
          <w:sz w:val="20"/>
          <w:szCs w:val="20"/>
          <w:color w:val="auto"/>
        </w:rPr>
      </w:pPr>
    </w:p>
    <w:p>
      <w:pPr>
        <w:ind w:left="620" w:right="40"/>
        <w:spacing w:after="0" w:line="324" w:lineRule="auto"/>
        <w:rPr>
          <w:sz w:val="20"/>
          <w:szCs w:val="20"/>
          <w:color w:val="auto"/>
        </w:rPr>
      </w:pPr>
      <w:r>
        <w:rPr>
          <w:rFonts w:ascii="Arial" w:cs="Arial" w:eastAsia="Arial" w:hAnsi="Arial"/>
          <w:sz w:val="15"/>
          <w:szCs w:val="15"/>
          <w:color w:val="auto"/>
        </w:rPr>
        <w:t>any new relationships with the Company or other organizations, or other circumstances that may have arisen, that might make it inappropriate for the director to continue serving on the Board;</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director’s age and length of service on the Board; and</w:t>
      </w:r>
    </w:p>
    <w:p>
      <w:pPr>
        <w:spacing w:after="0" w:line="3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most recent Director &amp; Officer Questionnaires, board evaluations and skills assessment.</w:t>
      </w:r>
    </w:p>
    <w:p>
      <w:pPr>
        <w:spacing w:after="0" w:line="352"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Nominating Committee will consider director candidates recommended by Company stockholders, as provided for in the Corporate Governance Guidelines and in the Nominating Committee charter. The Nominating Committee does not intend to alter the manner in which it evaluates a candidate for nomination to the Board based on whether or not the candidate was recommended by a stockholder. Stockholders who wish to recommend individuals for consideration by the Nominating Committee to become nominees for election to the Board at an Annual Meeting of Stockholders, must do so by delivering no later than the close of business on the 90th day nor earlier than the close of business on the 120th day prior to the first anniversary of the preceding year’s Annual Meeting of Stockholders a written recommendation to the Nominating Committee c/o Limoneira Company, 1141 Cummings Road, Santa Paula, CA 93060, Attn: Corporate Secretary, and must meet the deadlines and other requirements set forth in our Bylaws and the rules and regulations of the SEC. If a stockholder, in accordance with the procedural requirements discussed above, recommends a proposed director candidate, the Corporate Secretary will provide the stockholder recommendation to the Nominating Committee. The Nominating Committee will evaluate the proposed director’s candidacy and recommend whether the Board should nominate the proposed director candidate for election by Company’s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Board of Directors and Director Evaluation and Review Process</w:t>
      </w:r>
    </w:p>
    <w:p>
      <w:pPr>
        <w:spacing w:after="0" w:line="91"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Board and committee evaluations play a critical role in supporting the effective functioning of our Board. Through evaluations, our directors review where they believe our Board functions effectively and, importantly, areas where our Board thinks there may be opportunities for improvement, including through Board refreshment. Each director also completes evaluations for each committee on which they serve. The Nominating Committee administers the evaluation process, reviews the results and makes recommendations to the Board.</w:t>
      </w:r>
    </w:p>
    <w:p>
      <w:pPr>
        <w:spacing w:after="0" w:line="307" w:lineRule="exact"/>
        <w:rPr>
          <w:sz w:val="20"/>
          <w:szCs w:val="20"/>
          <w:color w:val="auto"/>
        </w:rPr>
      </w:pPr>
    </w:p>
    <w:p>
      <w:pPr>
        <w:ind w:right="480"/>
        <w:spacing w:after="0" w:line="324" w:lineRule="auto"/>
        <w:rPr>
          <w:sz w:val="20"/>
          <w:szCs w:val="20"/>
          <w:color w:val="auto"/>
        </w:rPr>
      </w:pPr>
      <w:r>
        <w:rPr>
          <w:rFonts w:ascii="Arial" w:cs="Arial" w:eastAsia="Arial" w:hAnsi="Arial"/>
          <w:sz w:val="15"/>
          <w:szCs w:val="15"/>
          <w:color w:val="auto"/>
        </w:rPr>
        <w:t>For fiscal year 2024, we considered the Board and each committee to be operating effectively, with the appropriate balance among oversight, governance, strategic and operational matters.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Board of Directors Diversity</w:t>
      </w:r>
    </w:p>
    <w:p>
      <w:pPr>
        <w:spacing w:after="0" w:line="103"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The Board refreshment in fiscal year 2023 resulted in a decrease in the average tenure, and our Board now has a greater mix of directors with demonstrated breadth and depth of management and leadership experience and financial and business acumen. We believe our Board is well-suited to evaluate strategic opportunities and challenges and to analyse those opportunities and challenges both independently and collaboratively. The Board has broad and diverse knowledge of our Company and other relevant experience, including expertise in finance and accounting, leadership, education, law, agriculture, c-suite and senior management leadership, community relations, water stewardship, risk management, land management, human resources and ESG.</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91"/>
        </w:trPr>
        <w:tc>
          <w:tcPr>
            <w:tcW w:w="3460" w:type="dxa"/>
            <w:vAlign w:val="bottom"/>
            <w:tcBorders>
              <w:right w:val="single" w:sz="8" w:color="E5E9ED"/>
            </w:tcBorders>
            <w:shd w:val="clear" w:color="auto" w:fill="E5E9ED"/>
          </w:tcPr>
          <w:p>
            <w:pPr>
              <w:ind w:left="80"/>
              <w:spacing w:after="0"/>
              <w:rPr>
                <w:sz w:val="20"/>
                <w:szCs w:val="20"/>
                <w:color w:val="auto"/>
              </w:rPr>
            </w:pPr>
            <w:r>
              <w:rPr>
                <w:rFonts w:ascii="Arial" w:cs="Arial" w:eastAsia="Arial" w:hAnsi="Arial"/>
                <w:sz w:val="10"/>
                <w:szCs w:val="10"/>
                <w:b w:val="1"/>
                <w:bCs w:val="1"/>
                <w:color w:val="auto"/>
              </w:rPr>
              <w:t>Fiscal Year 2024 - Director Skills</w:t>
            </w:r>
          </w:p>
        </w:tc>
        <w:tc>
          <w:tcPr>
            <w:tcW w:w="800" w:type="dxa"/>
            <w:vAlign w:val="bottom"/>
            <w:tcBorders>
              <w:right w:val="single" w:sz="8" w:color="E5E9ED"/>
            </w:tcBorders>
            <w:shd w:val="clear" w:color="auto" w:fill="E5E9ED"/>
          </w:tcPr>
          <w:p>
            <w:pPr>
              <w:ind w:left="200"/>
              <w:spacing w:after="0"/>
              <w:rPr>
                <w:sz w:val="20"/>
                <w:szCs w:val="20"/>
                <w:color w:val="auto"/>
              </w:rPr>
            </w:pPr>
            <w:r>
              <w:rPr>
                <w:rFonts w:ascii="Arial" w:cs="Arial" w:eastAsia="Arial" w:hAnsi="Arial"/>
                <w:sz w:val="10"/>
                <w:szCs w:val="10"/>
                <w:b w:val="1"/>
                <w:bCs w:val="1"/>
                <w:color w:val="auto"/>
              </w:rPr>
              <w:t>Barbara</w:t>
            </w:r>
          </w:p>
        </w:tc>
        <w:tc>
          <w:tcPr>
            <w:tcW w:w="800" w:type="dxa"/>
            <w:vAlign w:val="bottom"/>
            <w:tcBorders>
              <w:right w:val="single" w:sz="8" w:color="E5E9ED"/>
            </w:tcBorders>
            <w:shd w:val="clear" w:color="auto" w:fill="E5E9ED"/>
          </w:tcPr>
          <w:p>
            <w:pPr>
              <w:ind w:left="160"/>
              <w:spacing w:after="0"/>
              <w:rPr>
                <w:sz w:val="20"/>
                <w:szCs w:val="20"/>
                <w:color w:val="auto"/>
              </w:rPr>
            </w:pPr>
            <w:r>
              <w:rPr>
                <w:rFonts w:ascii="Arial" w:cs="Arial" w:eastAsia="Arial" w:hAnsi="Arial"/>
                <w:sz w:val="10"/>
                <w:szCs w:val="10"/>
                <w:b w:val="1"/>
                <w:bCs w:val="1"/>
                <w:color w:val="auto"/>
              </w:rPr>
              <w:t>Harold S.</w:t>
            </w:r>
          </w:p>
        </w:tc>
        <w:tc>
          <w:tcPr>
            <w:tcW w:w="780" w:type="dxa"/>
            <w:vAlign w:val="bottom"/>
            <w:tcBorders>
              <w:right w:val="single" w:sz="8" w:color="E5E9ED"/>
            </w:tcBorders>
            <w:shd w:val="clear" w:color="auto" w:fill="E5E9ED"/>
          </w:tcPr>
          <w:p>
            <w:pPr>
              <w:ind w:left="120"/>
              <w:spacing w:after="0"/>
              <w:rPr>
                <w:sz w:val="20"/>
                <w:szCs w:val="20"/>
                <w:color w:val="auto"/>
              </w:rPr>
            </w:pPr>
            <w:r>
              <w:rPr>
                <w:rFonts w:ascii="Arial" w:cs="Arial" w:eastAsia="Arial" w:hAnsi="Arial"/>
                <w:sz w:val="10"/>
                <w:szCs w:val="10"/>
                <w:b w:val="1"/>
                <w:bCs w:val="1"/>
                <w:color w:val="auto"/>
              </w:rPr>
              <w:t>Gordon E.</w:t>
            </w:r>
          </w:p>
        </w:tc>
        <w:tc>
          <w:tcPr>
            <w:tcW w:w="780" w:type="dxa"/>
            <w:vAlign w:val="bottom"/>
            <w:tcBorders>
              <w:right w:val="single" w:sz="8" w:color="E5E9ED"/>
            </w:tcBorders>
            <w:shd w:val="clear" w:color="auto" w:fill="E5E9ED"/>
          </w:tcPr>
          <w:p>
            <w:pPr>
              <w:ind w:left="140"/>
              <w:spacing w:after="0"/>
              <w:rPr>
                <w:sz w:val="20"/>
                <w:szCs w:val="20"/>
                <w:color w:val="auto"/>
              </w:rPr>
            </w:pPr>
            <w:r>
              <w:rPr>
                <w:rFonts w:ascii="Arial" w:cs="Arial" w:eastAsia="Arial" w:hAnsi="Arial"/>
                <w:sz w:val="10"/>
                <w:szCs w:val="10"/>
                <w:b w:val="1"/>
                <w:bCs w:val="1"/>
                <w:color w:val="auto"/>
              </w:rPr>
              <w:t>Elizabeth</w:t>
            </w:r>
          </w:p>
        </w:tc>
        <w:tc>
          <w:tcPr>
            <w:tcW w:w="780" w:type="dxa"/>
            <w:vAlign w:val="bottom"/>
            <w:tcBorders>
              <w:right w:val="single" w:sz="8" w:color="E5E9ED"/>
            </w:tcBorders>
            <w:shd w:val="clear" w:color="auto" w:fill="E5E9ED"/>
          </w:tcPr>
          <w:p>
            <w:pPr>
              <w:ind w:left="180"/>
              <w:spacing w:after="0"/>
              <w:rPr>
                <w:sz w:val="20"/>
                <w:szCs w:val="20"/>
                <w:color w:val="auto"/>
              </w:rPr>
            </w:pPr>
            <w:r>
              <w:rPr>
                <w:rFonts w:ascii="Arial" w:cs="Arial" w:eastAsia="Arial" w:hAnsi="Arial"/>
                <w:sz w:val="10"/>
                <w:szCs w:val="10"/>
                <w:b w:val="1"/>
                <w:bCs w:val="1"/>
                <w:color w:val="auto"/>
              </w:rPr>
              <w:t>Peter J.</w:t>
            </w:r>
          </w:p>
        </w:tc>
        <w:tc>
          <w:tcPr>
            <w:tcW w:w="780" w:type="dxa"/>
            <w:vAlign w:val="bottom"/>
            <w:tcBorders>
              <w:right w:val="single" w:sz="8" w:color="E5E9ED"/>
            </w:tcBorders>
            <w:shd w:val="clear" w:color="auto" w:fill="E5E9ED"/>
          </w:tcPr>
          <w:p>
            <w:pPr>
              <w:ind w:left="180"/>
              <w:spacing w:after="0"/>
              <w:rPr>
                <w:sz w:val="20"/>
                <w:szCs w:val="20"/>
                <w:color w:val="auto"/>
              </w:rPr>
            </w:pPr>
            <w:r>
              <w:rPr>
                <w:rFonts w:ascii="Arial" w:cs="Arial" w:eastAsia="Arial" w:hAnsi="Arial"/>
                <w:sz w:val="10"/>
                <w:szCs w:val="10"/>
                <w:b w:val="1"/>
                <w:bCs w:val="1"/>
                <w:color w:val="auto"/>
              </w:rPr>
              <w:t>Scott S.</w:t>
            </w:r>
          </w:p>
        </w:tc>
        <w:tc>
          <w:tcPr>
            <w:tcW w:w="760" w:type="dxa"/>
            <w:vAlign w:val="bottom"/>
            <w:shd w:val="clear" w:color="auto" w:fill="E5E9ED"/>
          </w:tcPr>
          <w:p>
            <w:pPr>
              <w:ind w:left="160"/>
              <w:spacing w:after="0"/>
              <w:rPr>
                <w:sz w:val="20"/>
                <w:szCs w:val="20"/>
                <w:color w:val="auto"/>
              </w:rPr>
            </w:pPr>
            <w:r>
              <w:rPr>
                <w:rFonts w:ascii="Arial" w:cs="Arial" w:eastAsia="Arial" w:hAnsi="Arial"/>
                <w:sz w:val="10"/>
                <w:szCs w:val="10"/>
                <w:b w:val="1"/>
                <w:bCs w:val="1"/>
                <w:color w:val="auto"/>
              </w:rPr>
              <w:t>Edgar A.</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E5E9ED"/>
              <w:right w:val="single" w:sz="8" w:color="E5E9ED"/>
            </w:tcBorders>
            <w:shd w:val="clear" w:color="auto" w:fill="E5E9ED"/>
          </w:tcPr>
          <w:p>
            <w:pPr>
              <w:spacing w:after="0"/>
              <w:rPr>
                <w:sz w:val="21"/>
                <w:szCs w:val="21"/>
                <w:color w:val="auto"/>
              </w:rPr>
            </w:pPr>
          </w:p>
        </w:tc>
        <w:tc>
          <w:tcPr>
            <w:tcW w:w="800" w:type="dxa"/>
            <w:vAlign w:val="bottom"/>
            <w:tcBorders>
              <w:bottom w:val="single" w:sz="8" w:color="E5E9ED"/>
              <w:right w:val="single" w:sz="8" w:color="E5E9ED"/>
            </w:tcBorders>
            <w:shd w:val="clear" w:color="auto" w:fill="E5E9ED"/>
          </w:tcPr>
          <w:p>
            <w:pPr>
              <w:ind w:left="180"/>
              <w:spacing w:after="0"/>
              <w:rPr>
                <w:sz w:val="20"/>
                <w:szCs w:val="20"/>
                <w:color w:val="auto"/>
              </w:rPr>
            </w:pPr>
            <w:r>
              <w:rPr>
                <w:rFonts w:ascii="Arial" w:cs="Arial" w:eastAsia="Arial" w:hAnsi="Arial"/>
                <w:sz w:val="10"/>
                <w:szCs w:val="10"/>
                <w:b w:val="1"/>
                <w:bCs w:val="1"/>
                <w:color w:val="auto"/>
              </w:rPr>
              <w:t>Carbone</w:t>
            </w:r>
          </w:p>
        </w:tc>
        <w:tc>
          <w:tcPr>
            <w:tcW w:w="800" w:type="dxa"/>
            <w:vAlign w:val="bottom"/>
            <w:tcBorders>
              <w:bottom w:val="single" w:sz="8" w:color="E5E9ED"/>
              <w:right w:val="single" w:sz="8" w:color="E5E9ED"/>
            </w:tcBorders>
            <w:shd w:val="clear" w:color="auto" w:fill="E5E9ED"/>
          </w:tcPr>
          <w:p>
            <w:pPr>
              <w:ind w:left="160"/>
              <w:spacing w:after="0"/>
              <w:rPr>
                <w:sz w:val="20"/>
                <w:szCs w:val="20"/>
                <w:color w:val="auto"/>
              </w:rPr>
            </w:pPr>
            <w:r>
              <w:rPr>
                <w:rFonts w:ascii="Arial" w:cs="Arial" w:eastAsia="Arial" w:hAnsi="Arial"/>
                <w:sz w:val="10"/>
                <w:szCs w:val="10"/>
                <w:b w:val="1"/>
                <w:bCs w:val="1"/>
                <w:color w:val="auto"/>
              </w:rPr>
              <w:t>Edwards</w:t>
            </w:r>
          </w:p>
        </w:tc>
        <w:tc>
          <w:tcPr>
            <w:tcW w:w="780" w:type="dxa"/>
            <w:vAlign w:val="bottom"/>
            <w:tcBorders>
              <w:bottom w:val="single" w:sz="8" w:color="E5E9ED"/>
              <w:right w:val="single" w:sz="8" w:color="E5E9ED"/>
            </w:tcBorders>
            <w:shd w:val="clear" w:color="auto" w:fill="E5E9ED"/>
          </w:tcPr>
          <w:p>
            <w:pPr>
              <w:ind w:left="180"/>
              <w:spacing w:after="0"/>
              <w:rPr>
                <w:sz w:val="20"/>
                <w:szCs w:val="20"/>
                <w:color w:val="auto"/>
              </w:rPr>
            </w:pPr>
            <w:r>
              <w:rPr>
                <w:rFonts w:ascii="Arial" w:cs="Arial" w:eastAsia="Arial" w:hAnsi="Arial"/>
                <w:sz w:val="10"/>
                <w:szCs w:val="10"/>
                <w:b w:val="1"/>
                <w:bCs w:val="1"/>
                <w:color w:val="auto"/>
              </w:rPr>
              <w:t>Kimball</w:t>
            </w:r>
          </w:p>
        </w:tc>
        <w:tc>
          <w:tcPr>
            <w:tcW w:w="780" w:type="dxa"/>
            <w:vAlign w:val="bottom"/>
            <w:tcBorders>
              <w:bottom w:val="single" w:sz="8" w:color="E5E9ED"/>
              <w:right w:val="single" w:sz="8" w:color="E5E9ED"/>
            </w:tcBorders>
            <w:shd w:val="clear" w:color="auto" w:fill="E5E9ED"/>
          </w:tcPr>
          <w:p>
            <w:pPr>
              <w:ind w:left="240"/>
              <w:spacing w:after="0"/>
              <w:rPr>
                <w:sz w:val="20"/>
                <w:szCs w:val="20"/>
                <w:color w:val="auto"/>
              </w:rPr>
            </w:pPr>
            <w:r>
              <w:rPr>
                <w:rFonts w:ascii="Arial" w:cs="Arial" w:eastAsia="Arial" w:hAnsi="Arial"/>
                <w:sz w:val="10"/>
                <w:szCs w:val="10"/>
                <w:b w:val="1"/>
                <w:bCs w:val="1"/>
                <w:color w:val="auto"/>
              </w:rPr>
              <w:t>Mora</w:t>
            </w:r>
          </w:p>
        </w:tc>
        <w:tc>
          <w:tcPr>
            <w:tcW w:w="780" w:type="dxa"/>
            <w:vAlign w:val="bottom"/>
            <w:tcBorders>
              <w:bottom w:val="single" w:sz="8" w:color="E5E9ED"/>
              <w:right w:val="single" w:sz="8" w:color="E5E9ED"/>
            </w:tcBorders>
            <w:shd w:val="clear" w:color="auto" w:fill="E5E9ED"/>
          </w:tcPr>
          <w:p>
            <w:pPr>
              <w:ind w:left="220"/>
              <w:spacing w:after="0"/>
              <w:rPr>
                <w:sz w:val="20"/>
                <w:szCs w:val="20"/>
                <w:color w:val="auto"/>
              </w:rPr>
            </w:pPr>
            <w:r>
              <w:rPr>
                <w:rFonts w:ascii="Arial" w:cs="Arial" w:eastAsia="Arial" w:hAnsi="Arial"/>
                <w:sz w:val="10"/>
                <w:szCs w:val="10"/>
                <w:b w:val="1"/>
                <w:bCs w:val="1"/>
                <w:color w:val="auto"/>
              </w:rPr>
              <w:t>Nolan</w:t>
            </w:r>
          </w:p>
        </w:tc>
        <w:tc>
          <w:tcPr>
            <w:tcW w:w="780" w:type="dxa"/>
            <w:vAlign w:val="bottom"/>
            <w:tcBorders>
              <w:bottom w:val="single" w:sz="8" w:color="E5E9ED"/>
              <w:right w:val="single" w:sz="8" w:color="E5E9ED"/>
            </w:tcBorders>
            <w:shd w:val="clear" w:color="auto" w:fill="E5E9ED"/>
          </w:tcPr>
          <w:p>
            <w:pPr>
              <w:ind w:left="220"/>
              <w:spacing w:after="0"/>
              <w:rPr>
                <w:sz w:val="20"/>
                <w:szCs w:val="20"/>
                <w:color w:val="auto"/>
              </w:rPr>
            </w:pPr>
            <w:r>
              <w:rPr>
                <w:rFonts w:ascii="Arial" w:cs="Arial" w:eastAsia="Arial" w:hAnsi="Arial"/>
                <w:sz w:val="10"/>
                <w:szCs w:val="10"/>
                <w:b w:val="1"/>
                <w:bCs w:val="1"/>
                <w:color w:val="auto"/>
              </w:rPr>
              <w:t>Slater</w:t>
            </w:r>
          </w:p>
        </w:tc>
        <w:tc>
          <w:tcPr>
            <w:tcW w:w="760" w:type="dxa"/>
            <w:vAlign w:val="bottom"/>
            <w:tcBorders>
              <w:bottom w:val="single" w:sz="8" w:color="E5E9ED"/>
            </w:tcBorders>
            <w:shd w:val="clear" w:color="auto" w:fill="E5E9ED"/>
          </w:tcPr>
          <w:p>
            <w:pPr>
              <w:ind w:left="240"/>
              <w:spacing w:after="0"/>
              <w:rPr>
                <w:sz w:val="20"/>
                <w:szCs w:val="20"/>
                <w:color w:val="auto"/>
              </w:rPr>
            </w:pPr>
            <w:r>
              <w:rPr>
                <w:rFonts w:ascii="Arial" w:cs="Arial" w:eastAsia="Arial" w:hAnsi="Arial"/>
                <w:sz w:val="10"/>
                <w:szCs w:val="10"/>
                <w:b w:val="1"/>
                <w:bCs w:val="1"/>
                <w:color w:val="auto"/>
              </w:rPr>
              <w:t>Terry</w:t>
            </w:r>
          </w:p>
        </w:tc>
        <w:tc>
          <w:tcPr>
            <w:tcW w:w="0" w:type="dxa"/>
            <w:vAlign w:val="bottom"/>
          </w:tcPr>
          <w:p>
            <w:pPr>
              <w:spacing w:after="0"/>
              <w:rPr>
                <w:sz w:val="1"/>
                <w:szCs w:val="1"/>
                <w:color w:val="auto"/>
              </w:rPr>
            </w:pPr>
          </w:p>
        </w:tc>
      </w:tr>
      <w:tr>
        <w:trPr>
          <w:trHeight w:val="287"/>
        </w:trPr>
        <w:tc>
          <w:tcPr>
            <w:tcW w:w="3460" w:type="dxa"/>
            <w:vAlign w:val="bottom"/>
            <w:tcBorders>
              <w:top w:val="single" w:sz="8" w:color="EBF7FC"/>
              <w:bottom w:val="single" w:sz="8" w:color="EBF7FC"/>
              <w:right w:val="single" w:sz="8" w:color="EBF7FC"/>
            </w:tcBorders>
          </w:tcPr>
          <w:p>
            <w:pPr>
              <w:ind w:left="80"/>
              <w:spacing w:after="0"/>
              <w:rPr>
                <w:sz w:val="20"/>
                <w:szCs w:val="20"/>
                <w:color w:val="auto"/>
              </w:rPr>
            </w:pPr>
            <w:r>
              <w:rPr>
                <w:rFonts w:ascii="Arial" w:cs="Arial" w:eastAsia="Arial" w:hAnsi="Arial"/>
                <w:sz w:val="14"/>
                <w:szCs w:val="14"/>
                <w:b w:val="1"/>
                <w:bCs w:val="1"/>
                <w:color w:val="auto"/>
              </w:rPr>
              <w:t>Independent Director</w:t>
            </w:r>
          </w:p>
        </w:tc>
        <w:tc>
          <w:tcPr>
            <w:tcW w:w="800" w:type="dxa"/>
            <w:vAlign w:val="bottom"/>
            <w:tcBorders>
              <w:top w:val="single" w:sz="8" w:color="EBF7FC"/>
              <w:bottom w:val="single" w:sz="8" w:color="EBF7FC"/>
              <w:right w:val="single" w:sz="8" w:color="EBF7FC"/>
            </w:tcBorders>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top w:val="single" w:sz="8" w:color="EBF7FC"/>
              <w:bottom w:val="single" w:sz="8" w:color="EBF7FC"/>
              <w:right w:val="single" w:sz="8" w:color="EBF7FC"/>
            </w:tcBorders>
          </w:tcPr>
          <w:p>
            <w:pPr>
              <w:spacing w:after="0"/>
              <w:rPr>
                <w:sz w:val="24"/>
                <w:szCs w:val="24"/>
                <w:color w:val="auto"/>
              </w:rPr>
            </w:pPr>
          </w:p>
        </w:tc>
        <w:tc>
          <w:tcPr>
            <w:tcW w:w="780" w:type="dxa"/>
            <w:vAlign w:val="bottom"/>
            <w:tcBorders>
              <w:top w:val="single" w:sz="8" w:color="EBF7FC"/>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top w:val="single" w:sz="8" w:color="EBF7FC"/>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top w:val="single" w:sz="8" w:color="EBF7FC"/>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top w:val="single" w:sz="8" w:color="EBF7FC"/>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60" w:type="dxa"/>
            <w:vAlign w:val="bottom"/>
            <w:tcBorders>
              <w:top w:val="single" w:sz="8" w:color="EBF7FC"/>
              <w:bottom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4"/>
                <w:szCs w:val="14"/>
                <w:b w:val="1"/>
                <w:bCs w:val="1"/>
                <w:color w:val="auto"/>
              </w:rPr>
              <w:t>Strategic Transformation Leadership</w:t>
            </w:r>
          </w:p>
        </w:tc>
        <w:tc>
          <w:tcPr>
            <w:tcW w:w="800" w:type="dxa"/>
            <w:vAlign w:val="bottom"/>
            <w:tcBorders>
              <w:right w:val="single" w:sz="8" w:color="EBF7FC"/>
            </w:tcBorders>
            <w:shd w:val="clear" w:color="auto" w:fill="F3F9FD"/>
          </w:tcPr>
          <w:p>
            <w:pPr>
              <w:spacing w:after="0"/>
              <w:rPr>
                <w:sz w:val="16"/>
                <w:szCs w:val="16"/>
                <w:color w:val="auto"/>
              </w:rPr>
            </w:pPr>
          </w:p>
        </w:tc>
        <w:tc>
          <w:tcPr>
            <w:tcW w:w="800" w:type="dxa"/>
            <w:vAlign w:val="bottom"/>
            <w:tcBorders>
              <w:right w:val="single" w:sz="8" w:color="EBF7FC"/>
            </w:tcBorders>
            <w:shd w:val="clear" w:color="auto" w:fill="F3F9FD"/>
          </w:tcPr>
          <w:p>
            <w:pPr>
              <w:spacing w:after="0"/>
              <w:rPr>
                <w:sz w:val="16"/>
                <w:szCs w:val="16"/>
                <w:color w:val="auto"/>
              </w:rPr>
            </w:pPr>
          </w:p>
        </w:tc>
        <w:tc>
          <w:tcPr>
            <w:tcW w:w="780" w:type="dxa"/>
            <w:vAlign w:val="bottom"/>
            <w:tcBorders>
              <w:right w:val="single" w:sz="8" w:color="EBF7FC"/>
            </w:tcBorders>
            <w:shd w:val="clear" w:color="auto" w:fill="F3F9FD"/>
          </w:tcPr>
          <w:p>
            <w:pPr>
              <w:spacing w:after="0"/>
              <w:rPr>
                <w:sz w:val="16"/>
                <w:szCs w:val="16"/>
                <w:color w:val="auto"/>
              </w:rPr>
            </w:pPr>
          </w:p>
        </w:tc>
        <w:tc>
          <w:tcPr>
            <w:tcW w:w="780" w:type="dxa"/>
            <w:vAlign w:val="bottom"/>
            <w:tcBorders>
              <w:right w:val="single" w:sz="8" w:color="EBF7FC"/>
            </w:tcBorders>
            <w:shd w:val="clear" w:color="auto" w:fill="F3F9FD"/>
          </w:tcPr>
          <w:p>
            <w:pPr>
              <w:spacing w:after="0"/>
              <w:rPr>
                <w:sz w:val="16"/>
                <w:szCs w:val="16"/>
                <w:color w:val="auto"/>
              </w:rPr>
            </w:pPr>
          </w:p>
        </w:tc>
        <w:tc>
          <w:tcPr>
            <w:tcW w:w="780" w:type="dxa"/>
            <w:vAlign w:val="bottom"/>
            <w:tcBorders>
              <w:right w:val="single" w:sz="8" w:color="EBF7FC"/>
            </w:tcBorders>
            <w:shd w:val="clear" w:color="auto" w:fill="F3F9FD"/>
          </w:tcPr>
          <w:p>
            <w:pPr>
              <w:spacing w:after="0"/>
              <w:rPr>
                <w:sz w:val="16"/>
                <w:szCs w:val="16"/>
                <w:color w:val="auto"/>
              </w:rPr>
            </w:pPr>
          </w:p>
        </w:tc>
        <w:tc>
          <w:tcPr>
            <w:tcW w:w="780" w:type="dxa"/>
            <w:vAlign w:val="bottom"/>
            <w:tcBorders>
              <w:right w:val="single" w:sz="8" w:color="EBF7FC"/>
            </w:tcBorders>
            <w:shd w:val="clear" w:color="auto" w:fill="F3F9FD"/>
          </w:tcPr>
          <w:p>
            <w:pPr>
              <w:spacing w:after="0"/>
              <w:rPr>
                <w:sz w:val="16"/>
                <w:szCs w:val="16"/>
                <w:color w:val="auto"/>
              </w:rPr>
            </w:pPr>
          </w:p>
        </w:tc>
        <w:tc>
          <w:tcPr>
            <w:tcW w:w="760" w:type="dxa"/>
            <w:vAlign w:val="bottom"/>
            <w:shd w:val="clear" w:color="auto" w:fill="F3F9FD"/>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60" w:type="dxa"/>
            <w:vAlign w:val="bottom"/>
            <w:tcBorders>
              <w:right w:val="single" w:sz="8" w:color="EBF7FC"/>
            </w:tcBorders>
            <w:shd w:val="clear" w:color="auto" w:fill="F3F9FD"/>
          </w:tcPr>
          <w:p>
            <w:pPr>
              <w:ind w:left="240"/>
              <w:spacing w:after="0" w:line="153" w:lineRule="exact"/>
              <w:rPr>
                <w:sz w:val="20"/>
                <w:szCs w:val="20"/>
                <w:color w:val="auto"/>
              </w:rPr>
            </w:pPr>
            <w:r>
              <w:rPr>
                <w:rFonts w:ascii="Arial" w:cs="Arial" w:eastAsia="Arial" w:hAnsi="Arial"/>
                <w:sz w:val="14"/>
                <w:szCs w:val="14"/>
                <w:i w:val="1"/>
                <w:iCs w:val="1"/>
                <w:color w:val="auto"/>
              </w:rPr>
              <w:t>(Experience driving strategic direction</w:t>
            </w:r>
          </w:p>
        </w:tc>
        <w:tc>
          <w:tcPr>
            <w:tcW w:w="800" w:type="dxa"/>
            <w:vAlign w:val="bottom"/>
            <w:tcBorders>
              <w:right w:val="single" w:sz="8" w:color="EBF7FC"/>
            </w:tcBorders>
            <w:vMerge w:val="restart"/>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right w:val="single" w:sz="8" w:color="EBF7FC"/>
            </w:tcBorders>
            <w:vMerge w:val="restart"/>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60" w:type="dxa"/>
            <w:vAlign w:val="bottom"/>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shd w:val="clear" w:color="auto" w:fill="F3F9FD"/>
          </w:tcPr>
          <w:p>
            <w:pPr>
              <w:ind w:left="240"/>
              <w:spacing w:after="0"/>
              <w:rPr>
                <w:sz w:val="20"/>
                <w:szCs w:val="20"/>
                <w:color w:val="auto"/>
              </w:rPr>
            </w:pPr>
            <w:r>
              <w:rPr>
                <w:rFonts w:ascii="Arial" w:cs="Arial" w:eastAsia="Arial" w:hAnsi="Arial"/>
                <w:sz w:val="14"/>
                <w:szCs w:val="14"/>
                <w:i w:val="1"/>
                <w:iCs w:val="1"/>
                <w:color w:val="auto"/>
              </w:rPr>
              <w:t>&amp; growth shifting its business strategy)</w:t>
            </w:r>
          </w:p>
        </w:tc>
        <w:tc>
          <w:tcPr>
            <w:tcW w:w="80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80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60" w:type="dxa"/>
            <w:vAlign w:val="bottom"/>
            <w:tcBorders>
              <w:bottom w:val="single" w:sz="8" w:color="EBF7FC"/>
            </w:tcBorders>
            <w:vMerge w:val="continue"/>
            <w:shd w:val="clear" w:color="auto" w:fill="F3F9FD"/>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tcPr>
          <w:p>
            <w:pPr>
              <w:ind w:left="80"/>
              <w:spacing w:after="0"/>
              <w:rPr>
                <w:sz w:val="20"/>
                <w:szCs w:val="20"/>
                <w:color w:val="auto"/>
              </w:rPr>
            </w:pPr>
            <w:r>
              <w:rPr>
                <w:rFonts w:ascii="Arial" w:cs="Arial" w:eastAsia="Arial" w:hAnsi="Arial"/>
                <w:sz w:val="14"/>
                <w:szCs w:val="14"/>
                <w:b w:val="1"/>
                <w:bCs w:val="1"/>
                <w:color w:val="auto"/>
              </w:rPr>
              <w:t>Financial Literacy</w:t>
            </w:r>
          </w:p>
        </w:tc>
        <w:tc>
          <w:tcPr>
            <w:tcW w:w="800" w:type="dxa"/>
            <w:vAlign w:val="bottom"/>
            <w:tcBorders>
              <w:right w:val="single" w:sz="8" w:color="EBF7FC"/>
            </w:tcBorders>
          </w:tcPr>
          <w:p>
            <w:pPr>
              <w:spacing w:after="0"/>
              <w:rPr>
                <w:sz w:val="16"/>
                <w:szCs w:val="16"/>
                <w:color w:val="auto"/>
              </w:rPr>
            </w:pPr>
          </w:p>
        </w:tc>
        <w:tc>
          <w:tcPr>
            <w:tcW w:w="80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60" w:type="dxa"/>
            <w:vAlign w:val="bottom"/>
            <w:tcBorders>
              <w:right w:val="single" w:sz="8" w:color="EBF7FC"/>
            </w:tcBorders>
          </w:tcPr>
          <w:p>
            <w:pPr>
              <w:ind w:left="240"/>
              <w:spacing w:after="0" w:line="153" w:lineRule="exact"/>
              <w:rPr>
                <w:sz w:val="20"/>
                <w:szCs w:val="20"/>
                <w:color w:val="auto"/>
              </w:rPr>
            </w:pPr>
            <w:r>
              <w:rPr>
                <w:rFonts w:ascii="Arial" w:cs="Arial" w:eastAsia="Arial" w:hAnsi="Arial"/>
                <w:sz w:val="14"/>
                <w:szCs w:val="14"/>
                <w:i w:val="1"/>
                <w:iCs w:val="1"/>
                <w:color w:val="auto"/>
              </w:rPr>
              <w:t>(Financial Expert, Public Accounting,</w:t>
            </w: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tcPr>
          <w:p>
            <w:pPr>
              <w:spacing w:after="0"/>
              <w:rPr>
                <w:sz w:val="13"/>
                <w:szCs w:val="13"/>
                <w:color w:val="auto"/>
              </w:rPr>
            </w:pPr>
          </w:p>
        </w:tc>
        <w:tc>
          <w:tcPr>
            <w:tcW w:w="760" w:type="dxa"/>
            <w:vAlign w:val="bottom"/>
            <w:vMerge w:val="restart"/>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tcPr>
          <w:p>
            <w:pPr>
              <w:ind w:left="240"/>
              <w:spacing w:after="0"/>
              <w:rPr>
                <w:sz w:val="20"/>
                <w:szCs w:val="20"/>
                <w:color w:val="auto"/>
              </w:rPr>
            </w:pPr>
            <w:r>
              <w:rPr>
                <w:rFonts w:ascii="Arial" w:cs="Arial" w:eastAsia="Arial" w:hAnsi="Arial"/>
                <w:sz w:val="14"/>
                <w:szCs w:val="14"/>
                <w:i w:val="1"/>
                <w:iCs w:val="1"/>
                <w:color w:val="auto"/>
              </w:rPr>
              <w:t>Financial Management, Banking)</w:t>
            </w: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60" w:type="dxa"/>
            <w:vAlign w:val="bottom"/>
            <w:tcBorders>
              <w:bottom w:val="single" w:sz="8" w:color="EBF7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4"/>
                <w:szCs w:val="14"/>
                <w:b w:val="1"/>
                <w:bCs w:val="1"/>
                <w:color w:val="auto"/>
              </w:rPr>
              <w:t>Corporate Governance</w:t>
            </w:r>
          </w:p>
        </w:tc>
        <w:tc>
          <w:tcPr>
            <w:tcW w:w="800" w:type="dxa"/>
            <w:vAlign w:val="bottom"/>
            <w:tcBorders>
              <w:right w:val="single" w:sz="8" w:color="EBF7FC"/>
            </w:tcBorders>
            <w:shd w:val="clear" w:color="auto" w:fill="F3F9FD"/>
          </w:tcPr>
          <w:p>
            <w:pPr>
              <w:spacing w:after="0"/>
              <w:rPr>
                <w:sz w:val="16"/>
                <w:szCs w:val="16"/>
                <w:color w:val="auto"/>
              </w:rPr>
            </w:pPr>
          </w:p>
        </w:tc>
        <w:tc>
          <w:tcPr>
            <w:tcW w:w="800" w:type="dxa"/>
            <w:vAlign w:val="bottom"/>
            <w:tcBorders>
              <w:right w:val="single" w:sz="8" w:color="EBF7FC"/>
            </w:tcBorders>
            <w:vMerge w:val="restart"/>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shd w:val="clear" w:color="auto" w:fill="F3F9FD"/>
          </w:tcPr>
          <w:p>
            <w:pPr>
              <w:spacing w:after="0"/>
              <w:rPr>
                <w:sz w:val="16"/>
                <w:szCs w:val="16"/>
                <w:color w:val="auto"/>
              </w:rPr>
            </w:pP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60" w:type="dxa"/>
            <w:vAlign w:val="bottom"/>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shd w:val="clear" w:color="auto" w:fill="F3F9FD"/>
          </w:tcPr>
          <w:p>
            <w:pPr>
              <w:ind w:left="240"/>
              <w:spacing w:after="0"/>
              <w:rPr>
                <w:sz w:val="20"/>
                <w:szCs w:val="20"/>
                <w:color w:val="auto"/>
              </w:rPr>
            </w:pPr>
            <w:r>
              <w:rPr>
                <w:rFonts w:ascii="Arial" w:cs="Arial" w:eastAsia="Arial" w:hAnsi="Arial"/>
                <w:sz w:val="14"/>
                <w:szCs w:val="14"/>
                <w:i w:val="1"/>
                <w:iCs w:val="1"/>
                <w:color w:val="auto"/>
              </w:rPr>
              <w:t>(Legal, Insurance)</w:t>
            </w:r>
          </w:p>
        </w:tc>
        <w:tc>
          <w:tcPr>
            <w:tcW w:w="800" w:type="dxa"/>
            <w:vAlign w:val="bottom"/>
            <w:tcBorders>
              <w:bottom w:val="single" w:sz="8" w:color="EBF7FC"/>
              <w:right w:val="single" w:sz="8" w:color="EBF7FC"/>
            </w:tcBorders>
            <w:shd w:val="clear" w:color="auto" w:fill="F3F9FD"/>
          </w:tcPr>
          <w:p>
            <w:pPr>
              <w:spacing w:after="0"/>
              <w:rPr>
                <w:sz w:val="18"/>
                <w:szCs w:val="18"/>
                <w:color w:val="auto"/>
              </w:rPr>
            </w:pPr>
          </w:p>
        </w:tc>
        <w:tc>
          <w:tcPr>
            <w:tcW w:w="80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60" w:type="dxa"/>
            <w:vAlign w:val="bottom"/>
            <w:tcBorders>
              <w:bottom w:val="single" w:sz="8" w:color="EBF7FC"/>
            </w:tcBorders>
            <w:vMerge w:val="continue"/>
            <w:shd w:val="clear" w:color="auto" w:fill="F3F9FD"/>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tcPr>
          <w:p>
            <w:pPr>
              <w:ind w:left="80"/>
              <w:spacing w:after="0"/>
              <w:rPr>
                <w:sz w:val="20"/>
                <w:szCs w:val="20"/>
                <w:color w:val="auto"/>
              </w:rPr>
            </w:pPr>
            <w:r>
              <w:rPr>
                <w:rFonts w:ascii="Arial" w:cs="Arial" w:eastAsia="Arial" w:hAnsi="Arial"/>
                <w:sz w:val="14"/>
                <w:szCs w:val="14"/>
                <w:b w:val="1"/>
                <w:bCs w:val="1"/>
                <w:color w:val="auto"/>
              </w:rPr>
              <w:t>Global Business Background</w:t>
            </w:r>
          </w:p>
        </w:tc>
        <w:tc>
          <w:tcPr>
            <w:tcW w:w="800" w:type="dxa"/>
            <w:vAlign w:val="bottom"/>
            <w:tcBorders>
              <w:right w:val="single" w:sz="8" w:color="EBF7FC"/>
            </w:tcBorders>
          </w:tcPr>
          <w:p>
            <w:pPr>
              <w:spacing w:after="0"/>
              <w:rPr>
                <w:sz w:val="16"/>
                <w:szCs w:val="16"/>
                <w:color w:val="auto"/>
              </w:rPr>
            </w:pPr>
          </w:p>
        </w:tc>
        <w:tc>
          <w:tcPr>
            <w:tcW w:w="80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60" w:type="dxa"/>
            <w:vAlign w:val="bottom"/>
            <w:tcBorders>
              <w:right w:val="single" w:sz="8" w:color="EBF7FC"/>
            </w:tcBorders>
          </w:tcPr>
          <w:p>
            <w:pPr>
              <w:ind w:left="240"/>
              <w:spacing w:after="0" w:line="153" w:lineRule="exact"/>
              <w:rPr>
                <w:sz w:val="20"/>
                <w:szCs w:val="20"/>
                <w:color w:val="auto"/>
              </w:rPr>
            </w:pPr>
            <w:r>
              <w:rPr>
                <w:rFonts w:ascii="Arial" w:cs="Arial" w:eastAsia="Arial" w:hAnsi="Arial"/>
                <w:sz w:val="14"/>
                <w:szCs w:val="14"/>
                <w:i w:val="1"/>
                <w:iCs w:val="1"/>
                <w:color w:val="auto"/>
              </w:rPr>
              <w:t>(Experience &amp; exposure to</w:t>
            </w: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tcPr>
          <w:p>
            <w:pPr>
              <w:spacing w:after="0"/>
              <w:rPr>
                <w:sz w:val="13"/>
                <w:szCs w:val="13"/>
                <w:color w:val="auto"/>
              </w:rPr>
            </w:pPr>
          </w:p>
        </w:tc>
        <w:tc>
          <w:tcPr>
            <w:tcW w:w="780" w:type="dxa"/>
            <w:vAlign w:val="bottom"/>
            <w:tcBorders>
              <w:right w:val="single" w:sz="8" w:color="EBF7FC"/>
            </w:tcBorders>
          </w:tcPr>
          <w:p>
            <w:pPr>
              <w:spacing w:after="0"/>
              <w:rPr>
                <w:sz w:val="13"/>
                <w:szCs w:val="13"/>
                <w:color w:val="auto"/>
              </w:rPr>
            </w:pP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tcPr>
          <w:p>
            <w:pPr>
              <w:ind w:left="240"/>
              <w:spacing w:after="0"/>
              <w:rPr>
                <w:sz w:val="20"/>
                <w:szCs w:val="20"/>
                <w:color w:val="auto"/>
              </w:rPr>
            </w:pPr>
            <w:r>
              <w:rPr>
                <w:rFonts w:ascii="Arial" w:cs="Arial" w:eastAsia="Arial" w:hAnsi="Arial"/>
                <w:sz w:val="14"/>
                <w:szCs w:val="14"/>
                <w:i w:val="1"/>
                <w:iCs w:val="1"/>
                <w:color w:val="auto"/>
              </w:rPr>
              <w:t>markets outside of the U.S.)</w:t>
            </w: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60" w:type="dxa"/>
            <w:vAlign w:val="bottom"/>
            <w:tcBorders>
              <w:bottom w:val="single" w:sz="8" w:color="EBF7FC"/>
            </w:tcBorders>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46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b w:val="1"/>
                <w:bCs w:val="1"/>
                <w:color w:val="auto"/>
              </w:rPr>
              <w:t>Public Company Board Service</w:t>
            </w:r>
          </w:p>
        </w:tc>
        <w:tc>
          <w:tcPr>
            <w:tcW w:w="800" w:type="dxa"/>
            <w:vAlign w:val="bottom"/>
            <w:tcBorders>
              <w:bottom w:val="single" w:sz="8" w:color="EBF7FC"/>
              <w:right w:val="single" w:sz="8" w:color="EBF7FC"/>
            </w:tcBorders>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bottom w:val="single" w:sz="8" w:color="EBF7FC"/>
              <w:right w:val="single" w:sz="8" w:color="EBF7FC"/>
            </w:tcBorders>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spacing w:after="0"/>
              <w:rPr>
                <w:sz w:val="24"/>
                <w:szCs w:val="24"/>
                <w:color w:val="auto"/>
              </w:rPr>
            </w:pP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60" w:type="dxa"/>
            <w:vAlign w:val="bottom"/>
            <w:tcBorders>
              <w:bottom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87"/>
        </w:trPr>
        <w:tc>
          <w:tcPr>
            <w:tcW w:w="346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b w:val="1"/>
                <w:bCs w:val="1"/>
                <w:color w:val="auto"/>
              </w:rPr>
              <w:t>C-Suite &amp; Senior Management Leadership</w:t>
            </w:r>
          </w:p>
        </w:tc>
        <w:tc>
          <w:tcPr>
            <w:tcW w:w="800" w:type="dxa"/>
            <w:vAlign w:val="bottom"/>
            <w:tcBorders>
              <w:bottom w:val="single" w:sz="8" w:color="EBF7FC"/>
              <w:right w:val="single" w:sz="8" w:color="EBF7FC"/>
            </w:tcBorders>
          </w:tcPr>
          <w:p>
            <w:pPr>
              <w:spacing w:after="0"/>
              <w:rPr>
                <w:sz w:val="24"/>
                <w:szCs w:val="24"/>
                <w:color w:val="auto"/>
              </w:rPr>
            </w:pPr>
          </w:p>
        </w:tc>
        <w:tc>
          <w:tcPr>
            <w:tcW w:w="800" w:type="dxa"/>
            <w:vAlign w:val="bottom"/>
            <w:tcBorders>
              <w:bottom w:val="single" w:sz="8" w:color="EBF7FC"/>
              <w:right w:val="single" w:sz="8" w:color="EBF7FC"/>
            </w:tcBorders>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760" w:type="dxa"/>
            <w:vAlign w:val="bottom"/>
            <w:tcBorders>
              <w:bottom w:val="single" w:sz="8" w:color="EBF7FC"/>
            </w:tcBorders>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4"/>
                <w:szCs w:val="14"/>
                <w:b w:val="1"/>
                <w:bCs w:val="1"/>
                <w:color w:val="auto"/>
              </w:rPr>
              <w:t>Industry Background</w:t>
            </w:r>
          </w:p>
        </w:tc>
        <w:tc>
          <w:tcPr>
            <w:tcW w:w="800" w:type="dxa"/>
            <w:vAlign w:val="bottom"/>
            <w:tcBorders>
              <w:right w:val="single" w:sz="8" w:color="EBF7FC"/>
            </w:tcBorders>
            <w:shd w:val="clear" w:color="auto" w:fill="F3F9FD"/>
          </w:tcPr>
          <w:p>
            <w:pPr>
              <w:spacing w:after="0"/>
              <w:rPr>
                <w:sz w:val="16"/>
                <w:szCs w:val="16"/>
                <w:color w:val="auto"/>
              </w:rPr>
            </w:pPr>
          </w:p>
        </w:tc>
        <w:tc>
          <w:tcPr>
            <w:tcW w:w="800" w:type="dxa"/>
            <w:vAlign w:val="bottom"/>
            <w:tcBorders>
              <w:right w:val="single" w:sz="8" w:color="EBF7FC"/>
            </w:tcBorders>
            <w:vMerge w:val="restart"/>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shd w:val="clear" w:color="auto" w:fill="F3F9FD"/>
          </w:tcPr>
          <w:p>
            <w:pPr>
              <w:spacing w:after="0"/>
              <w:rPr>
                <w:sz w:val="16"/>
                <w:szCs w:val="16"/>
                <w:color w:val="auto"/>
              </w:rPr>
            </w:pP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60" w:type="dxa"/>
            <w:vAlign w:val="bottom"/>
            <w:vMerge w:val="restart"/>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shd w:val="clear" w:color="auto" w:fill="F3F9FD"/>
          </w:tcPr>
          <w:p>
            <w:pPr>
              <w:ind w:left="240"/>
              <w:spacing w:after="0"/>
              <w:rPr>
                <w:sz w:val="20"/>
                <w:szCs w:val="20"/>
                <w:color w:val="auto"/>
              </w:rPr>
            </w:pPr>
            <w:r>
              <w:rPr>
                <w:rFonts w:ascii="Arial" w:cs="Arial" w:eastAsia="Arial" w:hAnsi="Arial"/>
                <w:sz w:val="14"/>
                <w:szCs w:val="14"/>
                <w:i w:val="1"/>
                <w:iCs w:val="1"/>
                <w:color w:val="auto"/>
              </w:rPr>
              <w:t>(Agriculture, Water Rights, Real Estate)</w:t>
            </w:r>
          </w:p>
        </w:tc>
        <w:tc>
          <w:tcPr>
            <w:tcW w:w="800" w:type="dxa"/>
            <w:vAlign w:val="bottom"/>
            <w:tcBorders>
              <w:bottom w:val="single" w:sz="8" w:color="EBF7FC"/>
              <w:right w:val="single" w:sz="8" w:color="EBF7FC"/>
            </w:tcBorders>
            <w:shd w:val="clear" w:color="auto" w:fill="F3F9FD"/>
          </w:tcPr>
          <w:p>
            <w:pPr>
              <w:spacing w:after="0"/>
              <w:rPr>
                <w:sz w:val="18"/>
                <w:szCs w:val="18"/>
                <w:color w:val="auto"/>
              </w:rPr>
            </w:pPr>
          </w:p>
        </w:tc>
        <w:tc>
          <w:tcPr>
            <w:tcW w:w="80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80" w:type="dxa"/>
            <w:vAlign w:val="bottom"/>
            <w:tcBorders>
              <w:bottom w:val="single" w:sz="8" w:color="EBF7FC"/>
              <w:right w:val="single" w:sz="8" w:color="EBF7FC"/>
            </w:tcBorders>
            <w:vMerge w:val="continue"/>
            <w:shd w:val="clear" w:color="auto" w:fill="F3F9FD"/>
          </w:tcPr>
          <w:p>
            <w:pPr>
              <w:spacing w:after="0"/>
              <w:rPr>
                <w:sz w:val="18"/>
                <w:szCs w:val="18"/>
                <w:color w:val="auto"/>
              </w:rPr>
            </w:pPr>
          </w:p>
        </w:tc>
        <w:tc>
          <w:tcPr>
            <w:tcW w:w="760" w:type="dxa"/>
            <w:vAlign w:val="bottom"/>
            <w:tcBorders>
              <w:bottom w:val="single" w:sz="8" w:color="EBF7FC"/>
            </w:tcBorders>
            <w:vMerge w:val="continue"/>
            <w:shd w:val="clear" w:color="auto" w:fill="F3F9FD"/>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tcPr>
          <w:p>
            <w:pPr>
              <w:ind w:left="80"/>
              <w:spacing w:after="0"/>
              <w:rPr>
                <w:sz w:val="20"/>
                <w:szCs w:val="20"/>
                <w:color w:val="auto"/>
              </w:rPr>
            </w:pPr>
            <w:r>
              <w:rPr>
                <w:rFonts w:ascii="Arial" w:cs="Arial" w:eastAsia="Arial" w:hAnsi="Arial"/>
                <w:sz w:val="14"/>
                <w:szCs w:val="14"/>
                <w:b w:val="1"/>
                <w:bCs w:val="1"/>
                <w:color w:val="auto"/>
              </w:rPr>
              <w:t>Technology</w:t>
            </w:r>
          </w:p>
        </w:tc>
        <w:tc>
          <w:tcPr>
            <w:tcW w:w="800" w:type="dxa"/>
            <w:vAlign w:val="bottom"/>
            <w:tcBorders>
              <w:right w:val="single" w:sz="8" w:color="EBF7FC"/>
            </w:tcBorders>
          </w:tcPr>
          <w:p>
            <w:pPr>
              <w:spacing w:after="0"/>
              <w:rPr>
                <w:sz w:val="16"/>
                <w:szCs w:val="16"/>
                <w:color w:val="auto"/>
              </w:rPr>
            </w:pP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tcPr>
          <w:p>
            <w:pPr>
              <w:ind w:left="240"/>
              <w:spacing w:after="0"/>
              <w:rPr>
                <w:sz w:val="20"/>
                <w:szCs w:val="20"/>
                <w:color w:val="auto"/>
              </w:rPr>
            </w:pPr>
            <w:r>
              <w:rPr>
                <w:rFonts w:ascii="Arial" w:cs="Arial" w:eastAsia="Arial" w:hAnsi="Arial"/>
                <w:sz w:val="14"/>
                <w:szCs w:val="14"/>
                <w:i w:val="1"/>
                <w:iCs w:val="1"/>
                <w:color w:val="auto"/>
              </w:rPr>
              <w:t>(Software, Cybersecurity, ERM)</w:t>
            </w:r>
          </w:p>
        </w:tc>
        <w:tc>
          <w:tcPr>
            <w:tcW w:w="800" w:type="dxa"/>
            <w:vAlign w:val="bottom"/>
            <w:tcBorders>
              <w:bottom w:val="single" w:sz="8" w:color="EBF7FC"/>
              <w:right w:val="single" w:sz="8" w:color="EBF7FC"/>
            </w:tcBorders>
          </w:tcPr>
          <w:p>
            <w:pPr>
              <w:spacing w:after="0"/>
              <w:rPr>
                <w:sz w:val="18"/>
                <w:szCs w:val="18"/>
                <w:color w:val="auto"/>
              </w:rPr>
            </w:pP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80" w:type="dxa"/>
            <w:vAlign w:val="bottom"/>
            <w:tcBorders>
              <w:bottom w:val="single" w:sz="8" w:color="EBF7FC"/>
              <w:right w:val="single" w:sz="8" w:color="EBF7FC"/>
            </w:tcBorders>
          </w:tcPr>
          <w:p>
            <w:pPr>
              <w:spacing w:after="0"/>
              <w:rPr>
                <w:sz w:val="18"/>
                <w:szCs w:val="18"/>
                <w:color w:val="auto"/>
              </w:rPr>
            </w:pPr>
          </w:p>
        </w:tc>
        <w:tc>
          <w:tcPr>
            <w:tcW w:w="760" w:type="dxa"/>
            <w:vAlign w:val="bottom"/>
            <w:tcBorders>
              <w:bottom w:val="single" w:sz="8" w:color="EBF7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46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b w:val="1"/>
                <w:bCs w:val="1"/>
                <w:color w:val="auto"/>
              </w:rPr>
              <w:t>Operations &amp; Human Resources</w:t>
            </w:r>
          </w:p>
        </w:tc>
        <w:tc>
          <w:tcPr>
            <w:tcW w:w="800" w:type="dxa"/>
            <w:vAlign w:val="bottom"/>
            <w:tcBorders>
              <w:bottom w:val="single" w:sz="8" w:color="EBF7FC"/>
              <w:right w:val="single" w:sz="8" w:color="EBF7FC"/>
            </w:tcBorders>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bottom w:val="single" w:sz="8" w:color="EBF7FC"/>
              <w:right w:val="single" w:sz="8" w:color="EBF7FC"/>
            </w:tcBorders>
            <w:shd w:val="clear" w:color="auto" w:fill="F3F9FD"/>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bottom w:val="single" w:sz="8" w:color="EBF7FC"/>
              <w:right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760" w:type="dxa"/>
            <w:vAlign w:val="bottom"/>
            <w:tcBorders>
              <w:bottom w:val="single" w:sz="8" w:color="EBF7FC"/>
            </w:tcBorders>
            <w:shd w:val="clear" w:color="auto" w:fill="F3F9FD"/>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190"/>
        </w:trPr>
        <w:tc>
          <w:tcPr>
            <w:tcW w:w="3460" w:type="dxa"/>
            <w:vAlign w:val="bottom"/>
            <w:tcBorders>
              <w:right w:val="single" w:sz="8" w:color="EBF7FC"/>
            </w:tcBorders>
          </w:tcPr>
          <w:p>
            <w:pPr>
              <w:ind w:left="80"/>
              <w:spacing w:after="0"/>
              <w:rPr>
                <w:sz w:val="20"/>
                <w:szCs w:val="20"/>
                <w:color w:val="auto"/>
              </w:rPr>
            </w:pPr>
            <w:r>
              <w:rPr>
                <w:rFonts w:ascii="Arial" w:cs="Arial" w:eastAsia="Arial" w:hAnsi="Arial"/>
                <w:sz w:val="14"/>
                <w:szCs w:val="14"/>
                <w:b w:val="1"/>
                <w:bCs w:val="1"/>
                <w:color w:val="auto"/>
              </w:rPr>
              <w:t>ESG</w:t>
            </w:r>
          </w:p>
        </w:tc>
        <w:tc>
          <w:tcPr>
            <w:tcW w:w="800" w:type="dxa"/>
            <w:vAlign w:val="bottom"/>
            <w:tcBorders>
              <w:right w:val="single" w:sz="8" w:color="EBF7FC"/>
            </w:tcBorders>
          </w:tcPr>
          <w:p>
            <w:pPr>
              <w:spacing w:after="0"/>
              <w:rPr>
                <w:sz w:val="16"/>
                <w:szCs w:val="16"/>
                <w:color w:val="auto"/>
              </w:rPr>
            </w:pPr>
          </w:p>
        </w:tc>
        <w:tc>
          <w:tcPr>
            <w:tcW w:w="80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80" w:type="dxa"/>
            <w:vAlign w:val="bottom"/>
            <w:tcBorders>
              <w:right w:val="single" w:sz="8" w:color="EBF7FC"/>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60" w:type="dxa"/>
            <w:vAlign w:val="bottom"/>
            <w:tcBorders>
              <w:right w:val="single" w:sz="8" w:color="EBF7FC"/>
            </w:tcBorders>
          </w:tcPr>
          <w:p>
            <w:pPr>
              <w:ind w:left="240"/>
              <w:spacing w:after="0" w:line="153" w:lineRule="exact"/>
              <w:rPr>
                <w:sz w:val="20"/>
                <w:szCs w:val="20"/>
                <w:color w:val="auto"/>
              </w:rPr>
            </w:pPr>
            <w:r>
              <w:rPr>
                <w:rFonts w:ascii="Arial" w:cs="Arial" w:eastAsia="Arial" w:hAnsi="Arial"/>
                <w:sz w:val="14"/>
                <w:szCs w:val="14"/>
                <w:i w:val="1"/>
                <w:iCs w:val="1"/>
                <w:color w:val="auto"/>
              </w:rPr>
              <w:t>(Sustainability, Community Affairs,</w:t>
            </w: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800" w:type="dxa"/>
            <w:vAlign w:val="bottom"/>
            <w:tcBorders>
              <w:right w:val="single" w:sz="8" w:color="EBF7FC"/>
            </w:tcBorders>
            <w:vMerge w:val="restart"/>
          </w:tcPr>
          <w:p>
            <w:pPr>
              <w:ind w:left="32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80" w:type="dxa"/>
            <w:vAlign w:val="bottom"/>
            <w:tcBorders>
              <w:right w:val="single" w:sz="8" w:color="EBF7FC"/>
            </w:tcBorders>
            <w:vMerge w:val="restart"/>
          </w:tcPr>
          <w:p>
            <w:pPr>
              <w:ind w:left="300"/>
              <w:spacing w:after="0"/>
              <w:rPr>
                <w:sz w:val="20"/>
                <w:szCs w:val="20"/>
                <w:color w:val="auto"/>
              </w:rPr>
            </w:pPr>
            <w:r>
              <w:rPr>
                <w:rFonts w:ascii="Arial" w:cs="Arial" w:eastAsia="Arial" w:hAnsi="Arial"/>
                <w:sz w:val="24"/>
                <w:szCs w:val="24"/>
                <w:color w:val="002552"/>
              </w:rPr>
              <w:t>•</w:t>
            </w:r>
          </w:p>
        </w:tc>
        <w:tc>
          <w:tcPr>
            <w:tcW w:w="760" w:type="dxa"/>
            <w:vAlign w:val="bottom"/>
            <w:vMerge w:val="restart"/>
          </w:tcPr>
          <w:p>
            <w:pPr>
              <w:ind w:left="300"/>
              <w:spacing w:after="0"/>
              <w:rPr>
                <w:sz w:val="20"/>
                <w:szCs w:val="20"/>
                <w:color w:val="auto"/>
              </w:rPr>
            </w:pPr>
            <w:r>
              <w:rPr>
                <w:rFonts w:ascii="Arial" w:cs="Arial" w:eastAsia="Arial" w:hAnsi="Arial"/>
                <w:sz w:val="24"/>
                <w:szCs w:val="24"/>
                <w:color w:val="002552"/>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EBF7FC"/>
              <w:right w:val="single" w:sz="8" w:color="EBF7FC"/>
            </w:tcBorders>
          </w:tcPr>
          <w:p>
            <w:pPr>
              <w:ind w:left="240"/>
              <w:spacing w:after="0"/>
              <w:rPr>
                <w:sz w:val="20"/>
                <w:szCs w:val="20"/>
                <w:color w:val="auto"/>
              </w:rPr>
            </w:pPr>
            <w:r>
              <w:rPr>
                <w:rFonts w:ascii="Arial" w:cs="Arial" w:eastAsia="Arial" w:hAnsi="Arial"/>
                <w:sz w:val="14"/>
                <w:szCs w:val="14"/>
                <w:i w:val="1"/>
                <w:iCs w:val="1"/>
                <w:color w:val="auto"/>
              </w:rPr>
              <w:t>Corporate Responsibility, Diversity, Inclusion)</w:t>
            </w: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80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80" w:type="dxa"/>
            <w:vAlign w:val="bottom"/>
            <w:tcBorders>
              <w:bottom w:val="single" w:sz="8" w:color="EBF7FC"/>
              <w:right w:val="single" w:sz="8" w:color="EBF7FC"/>
            </w:tcBorders>
            <w:vMerge w:val="continue"/>
          </w:tcPr>
          <w:p>
            <w:pPr>
              <w:spacing w:after="0"/>
              <w:rPr>
                <w:sz w:val="18"/>
                <w:szCs w:val="18"/>
                <w:color w:val="auto"/>
              </w:rPr>
            </w:pPr>
          </w:p>
        </w:tc>
        <w:tc>
          <w:tcPr>
            <w:tcW w:w="760" w:type="dxa"/>
            <w:vAlign w:val="bottom"/>
            <w:tcBorders>
              <w:bottom w:val="single" w:sz="8" w:color="EBF7FC"/>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i w:val="1"/>
          <w:iCs w:val="1"/>
          <w:color w:val="2661AB"/>
        </w:rPr>
        <w:t>Director Education</w:t>
      </w:r>
    </w:p>
    <w:p>
      <w:pPr>
        <w:spacing w:after="0" w:line="91"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Our Board believes director education is important to enable directors to fulfil their roles and supports Board members in their continuous learning. During Board and committee meetings and strategy sessions, we invite internal and external experts to present to our directors on relevant subjects. New directors participate in an orientation program. The Company is a member of the National Association of Corporate Directors, which offers each director and NEOs access to live education resources and webinars.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Nominees for Election to the Board of Directors</w:t>
      </w:r>
    </w:p>
    <w:p>
      <w:pPr>
        <w:spacing w:after="0" w:line="91" w:lineRule="exact"/>
        <w:rPr>
          <w:sz w:val="20"/>
          <w:szCs w:val="20"/>
          <w:color w:val="auto"/>
        </w:rPr>
      </w:pPr>
    </w:p>
    <w:p>
      <w:pPr>
        <w:ind w:right="60"/>
        <w:spacing w:after="0" w:line="324" w:lineRule="auto"/>
        <w:rPr>
          <w:sz w:val="20"/>
          <w:szCs w:val="20"/>
          <w:color w:val="auto"/>
        </w:rPr>
      </w:pPr>
      <w:r>
        <w:rPr>
          <w:rFonts w:ascii="Arial" w:cs="Arial" w:eastAsia="Arial" w:hAnsi="Arial"/>
          <w:sz w:val="15"/>
          <w:szCs w:val="15"/>
          <w:color w:val="auto"/>
        </w:rPr>
        <w:t>Pursuant to its charter, the Nominating Committee identifies individuals qualified to become directors, consistent with the Board’s criteria, and recommends to the Board the nominees to stand for election at the Annual Meeting of Stockholders.</w:t>
      </w:r>
    </w:p>
    <w:p>
      <w:pPr>
        <w:spacing w:after="0" w:line="8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Nominating Committee recommended, and the Board nominated, Messrs. Gordon E. Kimball and Scott S. Slater and Ms. Barbara Carbone for election as Class II directors, each to serve a three-year term that expires at our 2028 Annual Meeting of Stockholders. Each nominee indicated a willingness to stand for re-election and to serve if re-elected. It is intended that the shares represented by the enclosed proxy will be voted for the election of the above-named nominees. Although it is anticipated that each nominee will be available to serve as a director, should any nominee be unable to serve, the proxies will be voted by the proxy holders in their discretion for another person properly designated.</w:t>
      </w:r>
    </w:p>
    <w:p>
      <w:pPr>
        <w:spacing w:after="0" w:line="97"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color w:val="auto"/>
        </w:rPr>
        <w:t>The Nominating Committee and the Board believe each Class II nominee brings a strong and diverse set of skills and experience to the Company that strengthens our Board leadership and effectiveness with respect to our business and long-term strategy.</w:t>
      </w:r>
    </w:p>
    <w:p>
      <w:pPr>
        <w:sectPr>
          <w:pgSz w:w="11900" w:h="16838" w:orient="portrait"/>
          <w:cols w:equalWidth="0" w:num="1">
            <w:col w:w="9320"/>
          </w:cols>
          <w:pgMar w:left="1300" w:top="1278"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78" w:right="127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b w:val="1"/>
          <w:bCs w:val="1"/>
          <w:u w:val="single" w:color="auto"/>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Class II Directors – term expires 2025</w:t>
      </w:r>
    </w:p>
    <w:p>
      <w:pPr>
        <w:sectPr>
          <w:pgSz w:w="11900" w:h="16838" w:orient="portrait"/>
          <w:cols w:equalWidth="0" w:num="1">
            <w:col w:w="9240"/>
          </w:cols>
          <w:pgMar w:left="1300" w:top="1196"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66</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II</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COMMITTEES: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Audit &amp; Finance</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(Chair)</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Compensation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72</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II</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COMMITTEES: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Audit &amp; Finance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(Member)</w:t>
      </w:r>
    </w:p>
    <w:p>
      <w:pPr>
        <w:spacing w:after="0" w:line="19" w:lineRule="exact"/>
        <w:rPr>
          <w:sz w:val="20"/>
          <w:szCs w:val="20"/>
          <w:color w:val="auto"/>
        </w:rPr>
      </w:pPr>
    </w:p>
    <w:p>
      <w:pPr>
        <w:ind w:left="240" w:right="20"/>
        <w:spacing w:after="0" w:line="330" w:lineRule="auto"/>
        <w:rPr>
          <w:sz w:val="20"/>
          <w:szCs w:val="20"/>
          <w:color w:val="auto"/>
        </w:rPr>
      </w:pPr>
      <w:r>
        <w:rPr>
          <w:rFonts w:ascii="Arial" w:cs="Arial" w:eastAsia="Arial" w:hAnsi="Arial"/>
          <w:sz w:val="14"/>
          <w:szCs w:val="14"/>
          <w:color w:val="auto"/>
        </w:rPr>
        <w:t>Risk Management (Member)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2552"/>
        </w:rPr>
        <w:t>Barbara Carbone</w:t>
      </w:r>
    </w:p>
    <w:p>
      <w:pPr>
        <w:spacing w:after="0" w:line="68" w:lineRule="exact"/>
        <w:rPr>
          <w:sz w:val="20"/>
          <w:szCs w:val="20"/>
          <w:color w:val="auto"/>
        </w:rPr>
      </w:pPr>
    </w:p>
    <w:p>
      <w:pPr>
        <w:jc w:val="both"/>
        <w:ind w:right="180"/>
        <w:spacing w:after="0" w:line="309" w:lineRule="auto"/>
        <w:rPr>
          <w:sz w:val="20"/>
          <w:szCs w:val="20"/>
          <w:color w:val="auto"/>
        </w:rPr>
      </w:pPr>
      <w:r>
        <w:rPr>
          <w:rFonts w:ascii="Arial" w:cs="Arial" w:eastAsia="Arial" w:hAnsi="Arial"/>
          <w:sz w:val="14"/>
          <w:szCs w:val="14"/>
          <w:color w:val="auto"/>
        </w:rPr>
        <w:t>Ms. Carbone has served as a director of the Company since 2022. Ms. Carbone served in several accounting and auditing-related roles at KPMG LLP, a multinational accounting and advisory firm from 1981 through September 2019. Prior to her retirement she served on the KPMG Partnership Audit Committee for six years including three years as the chairperson. Ms. Carbone serves as the chairperson of the board of directors, chairperson of the audit committee, and member of the compensation and workforce committee of TrueCar, Inc. She serves as a member of the board of directors, a member of the audit and transaction committees, and chair of the compensation and corporate governance and nominating committees of DZS Inc. From September 1998 through December 2019, she served as a member of the board of directors, and chair of the audit committee, of the Women’s Business Enterprise National Council, the largest certifier of women-owned businesses in the United States and a leading advocate for women business owners and entrepreneurs. Ms. Carbone has a Bachelor of Science in Business Administration (Accountancy) from California State University at Sacramento.</w:t>
      </w:r>
    </w:p>
    <w:p>
      <w:pPr>
        <w:spacing w:after="0" w:line="109" w:lineRule="exact"/>
        <w:rPr>
          <w:sz w:val="20"/>
          <w:szCs w:val="20"/>
          <w:color w:val="auto"/>
        </w:rPr>
      </w:pPr>
    </w:p>
    <w:p>
      <w:pPr>
        <w:jc w:val="both"/>
        <w:ind w:right="200"/>
        <w:spacing w:after="0" w:line="350" w:lineRule="auto"/>
        <w:rPr>
          <w:sz w:val="20"/>
          <w:szCs w:val="20"/>
          <w:color w:val="auto"/>
        </w:rPr>
      </w:pPr>
      <w:r>
        <w:rPr>
          <w:rFonts w:ascii="Arial" w:cs="Arial" w:eastAsia="Arial" w:hAnsi="Arial"/>
          <w:sz w:val="14"/>
          <w:szCs w:val="14"/>
          <w:color w:val="auto"/>
        </w:rPr>
        <w:t>Ms. Carbone’s extensive public reporting experience, audit committee leadership, and public board experience brings a level of diversity and financial expertise to the Board.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2552"/>
        </w:rPr>
        <w:t>Gordon E. Kimball</w:t>
      </w:r>
    </w:p>
    <w:p>
      <w:pPr>
        <w:spacing w:after="0" w:line="68" w:lineRule="exact"/>
        <w:rPr>
          <w:sz w:val="20"/>
          <w:szCs w:val="20"/>
          <w:color w:val="auto"/>
        </w:rPr>
      </w:pPr>
    </w:p>
    <w:p>
      <w:pPr>
        <w:jc w:val="both"/>
        <w:ind w:right="180"/>
        <w:spacing w:after="0" w:line="310" w:lineRule="auto"/>
        <w:rPr>
          <w:sz w:val="20"/>
          <w:szCs w:val="20"/>
          <w:color w:val="auto"/>
        </w:rPr>
      </w:pPr>
      <w:r>
        <w:rPr>
          <w:rFonts w:ascii="Arial" w:cs="Arial" w:eastAsia="Arial" w:hAnsi="Arial"/>
          <w:sz w:val="14"/>
          <w:szCs w:val="14"/>
          <w:color w:val="auto"/>
        </w:rPr>
        <w:t>Mr. Kimball has served as a director of the Company since 1995. Mr. Kimball has been president of Kimball Engineering, Inc., which provides race car design and production services, since 1994. He is also the managing partner of Kimball Ranches, a 150-acre avocado ranch near Santa Paula, California. Prior to that, Mr. Kimball designed Formula One race cars in England and Italy for McLaren International, Ferrari and Benetton Racing from 1984 to 1992. From 1976 to 1983, he designed Indianapolis race cars for Parnelli Jones, Chaparral and Patrick racing teams. Mr. Kimball currently serves on the board of directors of the United Water Conservation District and the Fillmore and Piru Basins Groundwater Sustainability Agency. Mr. Kimball graduated from Stanford University where he earned his Bachelor of Science and Master of Science degrees in mechanical engineering.</w:t>
      </w:r>
    </w:p>
    <w:p>
      <w:pPr>
        <w:spacing w:after="0" w:line="111" w:lineRule="exact"/>
        <w:rPr>
          <w:sz w:val="20"/>
          <w:szCs w:val="20"/>
          <w:color w:val="auto"/>
        </w:rPr>
      </w:pPr>
    </w:p>
    <w:p>
      <w:pPr>
        <w:jc w:val="both"/>
        <w:ind w:right="180"/>
        <w:spacing w:after="0" w:line="350" w:lineRule="auto"/>
        <w:rPr>
          <w:sz w:val="20"/>
          <w:szCs w:val="20"/>
          <w:color w:val="auto"/>
        </w:rPr>
      </w:pPr>
      <w:r>
        <w:rPr>
          <w:rFonts w:ascii="Arial" w:cs="Arial" w:eastAsia="Arial" w:hAnsi="Arial"/>
          <w:sz w:val="14"/>
          <w:szCs w:val="14"/>
          <w:color w:val="auto"/>
        </w:rPr>
        <w:t>Mr. Kimball’s experience as an entrepreneur and producer of avocados provides our Board with focused and insightful operational experience and leadership.</w:t>
      </w:r>
    </w:p>
    <w:p>
      <w:pPr>
        <w:spacing w:after="0" w:line="966" w:lineRule="exact"/>
        <w:rPr>
          <w:sz w:val="20"/>
          <w:szCs w:val="20"/>
          <w:color w:val="auto"/>
        </w:rPr>
      </w:pPr>
    </w:p>
    <w:p>
      <w:pPr>
        <w:sectPr>
          <w:pgSz w:w="11900" w:h="16838" w:orient="portrait"/>
          <w:cols w:equalWidth="0" w:num="2">
            <w:col w:w="1440" w:space="720"/>
            <w:col w:w="7080"/>
          </w:cols>
          <w:pgMar w:left="1300" w:top="1196"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240"/>
          </w:cols>
          <w:pgMar w:left="1300" w:top="1196" w:right="135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67</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II</w:t>
      </w:r>
    </w:p>
    <w:p>
      <w:pPr>
        <w:spacing w:after="0" w:line="120" w:lineRule="exact"/>
        <w:rPr>
          <w:sz w:val="20"/>
          <w:szCs w:val="20"/>
          <w:color w:val="auto"/>
        </w:rPr>
      </w:pPr>
    </w:p>
    <w:p>
      <w:pPr>
        <w:ind w:left="240"/>
        <w:spacing w:after="0" w:line="330" w:lineRule="auto"/>
        <w:rPr>
          <w:sz w:val="20"/>
          <w:szCs w:val="20"/>
          <w:color w:val="auto"/>
        </w:rPr>
      </w:pPr>
      <w:r>
        <w:rPr>
          <w:rFonts w:ascii="Arial" w:cs="Arial" w:eastAsia="Arial" w:hAnsi="Arial"/>
          <w:sz w:val="14"/>
          <w:szCs w:val="14"/>
          <w:color w:val="auto"/>
        </w:rPr>
        <w:t>Chairperson of the Board of Director</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COMMITTEES: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Compensation</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(Member)</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Nominating &amp;</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Corporate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Governance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002552"/>
        </w:rPr>
        <w:t>Scott S.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-440690</wp:posOffset>
            </wp:positionV>
            <wp:extent cx="6327140" cy="8252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line="48" w:lineRule="exact"/>
        <w:rPr>
          <w:sz w:val="20"/>
          <w:szCs w:val="20"/>
          <w:color w:val="auto"/>
        </w:rPr>
      </w:pPr>
    </w:p>
    <w:p>
      <w:pPr>
        <w:jc w:val="both"/>
        <w:ind w:right="240"/>
        <w:spacing w:after="0" w:line="308" w:lineRule="auto"/>
        <w:rPr>
          <w:sz w:val="20"/>
          <w:szCs w:val="20"/>
          <w:color w:val="auto"/>
        </w:rPr>
      </w:pPr>
      <w:r>
        <w:rPr>
          <w:rFonts w:ascii="Arial" w:cs="Arial" w:eastAsia="Arial" w:hAnsi="Arial"/>
          <w:sz w:val="14"/>
          <w:szCs w:val="14"/>
          <w:color w:val="auto"/>
        </w:rPr>
        <w:t xml:space="preserve">Mr. Slater has served as a director of the Company since 2012. He was named Chairperson of the Board in July 2022. Mr. Slater is a shareholder with the law firm of Brownstein Hyatt Farber Schreck, with 40 years of experience representing clients in complex water matters. Mr. Slater is an experienced litigator, and now primarily provides transactional and strategic counseling on water related matters. He was the lead negotiator for the San Diego County Water Authority, in its consummation of the largest water transfer in United States history. The author of </w:t>
      </w:r>
      <w:r>
        <w:rPr>
          <w:rFonts w:ascii="Arial" w:cs="Arial" w:eastAsia="Arial" w:hAnsi="Arial"/>
          <w:sz w:val="14"/>
          <w:szCs w:val="14"/>
          <w:i w:val="1"/>
          <w:iCs w:val="1"/>
          <w:color w:val="auto"/>
        </w:rPr>
        <w:t>California Water Law and Policy</w:t>
      </w:r>
      <w:r>
        <w:rPr>
          <w:rFonts w:ascii="Arial" w:cs="Arial" w:eastAsia="Arial" w:hAnsi="Arial"/>
          <w:sz w:val="14"/>
          <w:szCs w:val="14"/>
          <w:color w:val="auto"/>
        </w:rPr>
        <w:t>, the leading water law treatise in California, he also taught water law at several graduate and law schools in the United States, Australia and China. He was the principal author of strategy to decentralize groundwater sustainability planning for the Republic of Tunisia in 2022-2023 and water law legislative reform in Western Australia. He was identified by the California Daily Journal as one of the best 100 lawyers in California. From 2011 until January 1, 2024, he served as the President, Chief Executive Officer and member of the board of directors of Cadiz Inc, a publicly traded company (NASDAQ: CDZI). He currently serves as a senior advisor to Cadiz Inc. and remains the CEO of ATEC Water Systems, a wholly owned subsidiary of Cadiz Inc. Mr. Slater graduated from University of Redlands with a Bachelor degree and University of the Pacific – McGeorge School of Law where he earned a Juris Doctor.</w:t>
      </w:r>
    </w:p>
    <w:p>
      <w:pPr>
        <w:spacing w:after="0" w:line="111" w:lineRule="exact"/>
        <w:rPr>
          <w:sz w:val="20"/>
          <w:szCs w:val="20"/>
          <w:color w:val="auto"/>
        </w:rPr>
      </w:pPr>
    </w:p>
    <w:p>
      <w:pPr>
        <w:jc w:val="both"/>
        <w:ind w:right="260"/>
        <w:spacing w:after="0" w:line="327" w:lineRule="auto"/>
        <w:rPr>
          <w:sz w:val="20"/>
          <w:szCs w:val="20"/>
          <w:color w:val="auto"/>
        </w:rPr>
      </w:pPr>
      <w:r>
        <w:rPr>
          <w:rFonts w:ascii="Arial" w:cs="Arial" w:eastAsia="Arial" w:hAnsi="Arial"/>
          <w:sz w:val="14"/>
          <w:szCs w:val="14"/>
          <w:color w:val="auto"/>
        </w:rPr>
        <w:t>With his significant experience in the water field, Mr. Slater brings vast knowledge to the Board and the Company to assist them in, among other things, continued stewardship and management of the Company’s water assets.</w:t>
      </w:r>
    </w:p>
    <w:p>
      <w:pPr>
        <w:spacing w:after="0" w:line="316" w:lineRule="exact"/>
        <w:rPr>
          <w:sz w:val="20"/>
          <w:szCs w:val="20"/>
          <w:color w:val="auto"/>
        </w:rPr>
      </w:pPr>
    </w:p>
    <w:p>
      <w:pPr>
        <w:sectPr>
          <w:pgSz w:w="11900" w:h="16838" w:orient="portrait"/>
          <w:cols w:equalWidth="0" w:num="2">
            <w:col w:w="1440" w:space="720"/>
            <w:col w:w="7140"/>
          </w:cols>
          <w:pgMar w:left="1300" w:top="1349" w:right="129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Required Vote for Election of Directors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election of directors is by plurality of the votes of present, in person or by proxy, at the Annual Meeting and entitled to vote thereon, with the three (3) nominees receiving the highest vote totals to be elected as directors. Broker non-votes and abstentions are not counted toward the election of directors or toward the election of individual nominees specified on the proxy and therefore, broker non-votes and abstentions shall have no effect on this proposal.</w:t>
      </w:r>
    </w:p>
    <w:p>
      <w:pPr>
        <w:spacing w:after="0" w:line="106"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For the election of directors, you may elect to cumulate your vote. Cumulative voting will allow you to allocate all your votes among the director nominees, as you see fit. You may not cumulate your votes against a nominee. If you are a stockholder of record and choose to cumulate your votes, you will need to make an explicit statement of your intent to cumulate your votes, either by so indicating on your proxy or by indicating in writing on your ballot when voting during the Annual Meeting. If you hold shares beneficially through a broker, trustee or other nominee and wish to cumulate votes, you should contact your broker, trustee or nominee. If you vote by proxy or voting instruction card and submit your proxy with no further instructions, the designated proxies may cumulate and cast your votes in favor of the election of some or all of the applicable nominees in their sole discretion, provided that none of your votes will be cast for any nominee as to whom you vote against or abstain from voting. Cumulative voting applies only to Proposal 1 – Election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Recommendation of the Board of Directors</w:t>
      </w:r>
    </w:p>
    <w:p>
      <w:pPr>
        <w:spacing w:after="0" w:line="213" w:lineRule="exact"/>
        <w:rPr>
          <w:sz w:val="20"/>
          <w:szCs w:val="20"/>
          <w:color w:val="auto"/>
        </w:rPr>
      </w:pPr>
    </w:p>
    <w:p>
      <w:pPr>
        <w:ind w:right="20"/>
        <w:spacing w:after="0" w:line="324" w:lineRule="auto"/>
        <w:rPr>
          <w:sz w:val="20"/>
          <w:szCs w:val="20"/>
          <w:color w:val="auto"/>
        </w:rPr>
      </w:pPr>
      <w:r>
        <w:rPr>
          <w:rFonts w:ascii="Arial" w:cs="Arial" w:eastAsia="Arial" w:hAnsi="Arial"/>
          <w:sz w:val="15"/>
          <w:szCs w:val="15"/>
          <w:color w:val="auto"/>
        </w:rPr>
        <w:t>The Board recommends that you vote “FOR” all the nominees, Messrs. Gordon E. Kimball and Scott S. Slater and Ms. Barbara Carbone, to be elected to our Board as Class II directors for a term ending at our 2028 Annual Meeting of Stockholders.</w:t>
      </w:r>
    </w:p>
    <w:p>
      <w:pPr>
        <w:sectPr>
          <w:pgSz w:w="11900" w:h="16838" w:orient="portrait"/>
          <w:cols w:equalWidth="0" w:num="1">
            <w:col w:w="9300"/>
          </w:cols>
          <w:pgMar w:left="1300" w:top="1349"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349" w:right="12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Directors Not Up for Re-Election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89C6F0"/>
        </w:rPr>
        <w:t>Incumbent Class I Directors – Term Expiring at 2027 Annual Meeting of Stockholders</w:t>
      </w:r>
    </w:p>
    <w:p>
      <w:pPr>
        <w:sectPr>
          <w:pgSz w:w="11900" w:h="16838" w:orient="portrait"/>
          <w:cols w:equalWidth="0" w:num="1">
            <w:col w:w="9240"/>
          </w:cols>
          <w:pgMar w:left="1300" w:top="1196"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59</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President &amp; CEO</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2552"/>
        </w:rPr>
        <w:t>Harold S. Edwards</w:t>
      </w:r>
    </w:p>
    <w:p>
      <w:pPr>
        <w:spacing w:after="0" w:line="80" w:lineRule="exact"/>
        <w:rPr>
          <w:sz w:val="20"/>
          <w:szCs w:val="20"/>
          <w:color w:val="auto"/>
        </w:rPr>
      </w:pPr>
    </w:p>
    <w:p>
      <w:pPr>
        <w:jc w:val="both"/>
        <w:ind w:right="180"/>
        <w:spacing w:after="0" w:line="311" w:lineRule="auto"/>
        <w:rPr>
          <w:sz w:val="20"/>
          <w:szCs w:val="20"/>
          <w:color w:val="auto"/>
        </w:rPr>
      </w:pPr>
      <w:r>
        <w:rPr>
          <w:rFonts w:ascii="Arial" w:cs="Arial" w:eastAsia="Arial" w:hAnsi="Arial"/>
          <w:sz w:val="14"/>
          <w:szCs w:val="14"/>
          <w:color w:val="auto"/>
        </w:rPr>
        <w:t>Mr. Edwards has served as a director of the Company since 2009. Mr. Edwards has been President and Chief Executive Officer of the Company since November 2003. Previously, Mr. Edwards was the president of Puritan Medical Products, a division of Airgas Inc. Prior to that, Mr. Edwards held management positions with Fisher Scientific International, Inc, Cargill, Inc, Agribrands International, The Ralston Purina Company, and Mission Produce, Inc. Mr. Edwards is currently a member of the board of directors of Compass Group Diversified Holdings LLC (NYSE: CODI). Mr. Edwards is a graduate of Lewis and Clark College and the Thunderbird School of Global Management, now part of Arizona State University, where he earned a Master of Business Administration degree.</w:t>
      </w:r>
    </w:p>
    <w:p>
      <w:pPr>
        <w:spacing w:after="0" w:line="96" w:lineRule="exact"/>
        <w:rPr>
          <w:sz w:val="20"/>
          <w:szCs w:val="20"/>
          <w:color w:val="auto"/>
        </w:rPr>
      </w:pPr>
    </w:p>
    <w:p>
      <w:pPr>
        <w:jc w:val="both"/>
        <w:ind w:right="200"/>
        <w:spacing w:after="0" w:line="320" w:lineRule="auto"/>
        <w:rPr>
          <w:sz w:val="20"/>
          <w:szCs w:val="20"/>
          <w:color w:val="auto"/>
        </w:rPr>
      </w:pPr>
      <w:r>
        <w:rPr>
          <w:rFonts w:ascii="Arial" w:cs="Arial" w:eastAsia="Arial" w:hAnsi="Arial"/>
          <w:sz w:val="14"/>
          <w:szCs w:val="14"/>
          <w:color w:val="auto"/>
        </w:rPr>
        <w:t>As the President and Chief Executive Officer of the Company, Mr. Edwards brings to our Board an intimate understanding of our business and operations. Mr. Edwards provides our Board with company-specific experience and expertise, in addition to his substantial experience as a chief executive officer and senior executive across a variety of industries.</w:t>
      </w:r>
    </w:p>
    <w:p>
      <w:pPr>
        <w:spacing w:after="0" w:line="200" w:lineRule="exact"/>
        <w:rPr>
          <w:sz w:val="20"/>
          <w:szCs w:val="20"/>
          <w:color w:val="auto"/>
        </w:rPr>
      </w:pPr>
    </w:p>
    <w:p>
      <w:pPr>
        <w:sectPr>
          <w:pgSz w:w="11900" w:h="16838" w:orient="portrait"/>
          <w:cols w:equalWidth="0" w:num="2">
            <w:col w:w="1440" w:space="720"/>
            <w:col w:w="7080"/>
          </w:cols>
          <w:pgMar w:left="1300" w:top="1196"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65</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COMMITTEES: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Nominating &amp;</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Corporate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Governance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(Member)</w:t>
      </w:r>
    </w:p>
    <w:p>
      <w:pPr>
        <w:spacing w:after="0" w:line="31" w:lineRule="exact"/>
        <w:rPr>
          <w:sz w:val="20"/>
          <w:szCs w:val="20"/>
          <w:color w:val="auto"/>
        </w:rPr>
      </w:pPr>
    </w:p>
    <w:p>
      <w:pPr>
        <w:ind w:left="240" w:right="20"/>
        <w:spacing w:after="0" w:line="311" w:lineRule="auto"/>
        <w:rPr>
          <w:sz w:val="20"/>
          <w:szCs w:val="20"/>
          <w:color w:val="auto"/>
        </w:rPr>
      </w:pPr>
      <w:r>
        <w:rPr>
          <w:rFonts w:ascii="Arial" w:cs="Arial" w:eastAsia="Arial" w:hAnsi="Arial"/>
          <w:sz w:val="14"/>
          <w:szCs w:val="14"/>
          <w:color w:val="auto"/>
        </w:rPr>
        <w:t>Risk Management (Chair)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2552"/>
        </w:rPr>
        <w:t>Edgar A. Terry</w:t>
      </w:r>
    </w:p>
    <w:p>
      <w:pPr>
        <w:spacing w:after="0" w:line="68" w:lineRule="exact"/>
        <w:rPr>
          <w:sz w:val="20"/>
          <w:szCs w:val="20"/>
          <w:color w:val="auto"/>
        </w:rPr>
      </w:pPr>
    </w:p>
    <w:p>
      <w:pPr>
        <w:jc w:val="both"/>
        <w:ind w:right="180"/>
        <w:spacing w:after="0" w:line="309" w:lineRule="auto"/>
        <w:rPr>
          <w:sz w:val="20"/>
          <w:szCs w:val="20"/>
          <w:color w:val="auto"/>
        </w:rPr>
      </w:pPr>
      <w:r>
        <w:rPr>
          <w:rFonts w:ascii="Arial" w:cs="Arial" w:eastAsia="Arial" w:hAnsi="Arial"/>
          <w:sz w:val="14"/>
          <w:szCs w:val="14"/>
          <w:color w:val="auto"/>
        </w:rPr>
        <w:t>Mr. Terry has served as a director of the Company since 2017. Since 1982, Mr. Terry has worked for his family company, Terry Farms, Inc., which produces various vegetable and strawberry crops in Ventura County, California; he serves as its President and Chief Financial Officer (1990-Present). Additionally, he serves as President of Willal, Inc. (1990- Present). Mr. Terry also teaches corporate finance at California Lutheran University (1987-Present). In the past, Mr. Terry served as President of the Ventura County Farm Bureau (2001-2003) and as Chief Financial Officer of the District 63 Umpire Association (2006-2013). Mr. Terry currently serves as a director (and on various committees) on several companies and other entities, including Terry Farms Inc.; Farm Credit System; CoBank; Willal, Inc.; Rancho Adobe, Inc.; Ventura County Fair Foundation, the Center for Economic Forecasting Advisory Board at California Lutheran University and the Federal Farm Credit Funding Corporation. Mr. Terry is a graduate of California Lutheran University where he earned a Bachelor of Science degree and a Master of Business Administration degree.</w:t>
      </w:r>
    </w:p>
    <w:p>
      <w:pPr>
        <w:spacing w:after="0" w:line="112" w:lineRule="exact"/>
        <w:rPr>
          <w:sz w:val="20"/>
          <w:szCs w:val="20"/>
          <w:color w:val="auto"/>
        </w:rPr>
      </w:pPr>
    </w:p>
    <w:p>
      <w:pPr>
        <w:jc w:val="both"/>
        <w:ind w:right="200"/>
        <w:spacing w:after="0" w:line="327" w:lineRule="auto"/>
        <w:rPr>
          <w:sz w:val="20"/>
          <w:szCs w:val="20"/>
          <w:color w:val="auto"/>
        </w:rPr>
      </w:pPr>
      <w:r>
        <w:rPr>
          <w:rFonts w:ascii="Arial" w:cs="Arial" w:eastAsia="Arial" w:hAnsi="Arial"/>
          <w:sz w:val="14"/>
          <w:szCs w:val="14"/>
          <w:color w:val="auto"/>
        </w:rPr>
        <w:t>Mr. Terry’s extensive experience in agribusiness, finance, and the Ventura County community provides the Board with important knowledge and perspective regarding the responsible use of the Company’s land and water resources, technical and financial expertise, and community relations.</w:t>
      </w:r>
    </w:p>
    <w:p>
      <w:pPr>
        <w:spacing w:after="0" w:line="726" w:lineRule="exact"/>
        <w:rPr>
          <w:sz w:val="20"/>
          <w:szCs w:val="20"/>
          <w:color w:val="auto"/>
        </w:rPr>
      </w:pPr>
    </w:p>
    <w:p>
      <w:pPr>
        <w:sectPr>
          <w:pgSz w:w="11900" w:h="16838" w:orient="portrait"/>
          <w:cols w:equalWidth="0" w:num="2">
            <w:col w:w="1440" w:space="720"/>
            <w:col w:w="7080"/>
          </w:cols>
          <w:pgMar w:left="1300" w:top="1196"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29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240"/>
          </w:cols>
          <w:pgMar w:left="1300" w:top="1196" w:right="1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89C6F0"/>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Incumbent Class III Directors – Term Expiring at 2026 Annual Meeting of Stockholders</w:t>
      </w:r>
    </w:p>
    <w:p>
      <w:pPr>
        <w:sectPr>
          <w:pgSz w:w="11900" w:h="16838" w:orient="portrait"/>
          <w:cols w:equalWidth="0" w:num="1">
            <w:col w:w="9240"/>
          </w:cols>
          <w:pgMar w:left="1300" w:top="119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64</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III</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Compensation (Chair)</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Nominating &amp;</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Corporate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Governance (Chair)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2552"/>
        </w:rPr>
        <w:t>Elizabeth Mora</w:t>
      </w:r>
    </w:p>
    <w:p>
      <w:pPr>
        <w:spacing w:after="0" w:line="68" w:lineRule="exact"/>
        <w:rPr>
          <w:sz w:val="20"/>
          <w:szCs w:val="20"/>
          <w:color w:val="auto"/>
        </w:rPr>
      </w:pPr>
    </w:p>
    <w:p>
      <w:pPr>
        <w:jc w:val="both"/>
        <w:ind w:right="180"/>
        <w:spacing w:after="0" w:line="309" w:lineRule="auto"/>
        <w:rPr>
          <w:sz w:val="20"/>
          <w:szCs w:val="20"/>
          <w:color w:val="auto"/>
        </w:rPr>
      </w:pPr>
      <w:r>
        <w:rPr>
          <w:rFonts w:ascii="Arial" w:cs="Arial" w:eastAsia="Arial" w:hAnsi="Arial"/>
          <w:sz w:val="14"/>
          <w:szCs w:val="14"/>
          <w:color w:val="auto"/>
        </w:rPr>
        <w:t>Ms. Mora has served as a director of the Company since 2021. Ms. Mora is a seasoned board director, financial expert, and business operations executive, who built her career in the accounting, education, technology and research industries. Ms. Mora’s more than 30-year career began at PricewaterhouseCoopers and her most recent role was as Chief Administrative Officer, Vice President for Finance, Administration and Treasurer at the Charles Stark Draper Laboratory, Inc., a position she held from 2008 to 2020. Ms. Mora served in a variety of executive management roles at Harvard University from 1997 to 2008, including as Chief Financial Officer and Vice President for Finance and Associate Vice President, Research Administration. Ms. Mora currently serves as a board member for two other companies; Inogen Inc. (Nasdaq: INGN), a medical technology company; and MKS Instruments (Nasdaq: MKSI), a global semi-conductor equipment, laser, and laser packaging company. Ms. Mora is a Certified Public Accountant and holds a Bachelor of Arts from the University of California, Berkeley, and a Master of Business Administration from Simmons College.</w:t>
      </w:r>
    </w:p>
    <w:p>
      <w:pPr>
        <w:spacing w:after="0" w:line="317" w:lineRule="exact"/>
        <w:rPr>
          <w:sz w:val="20"/>
          <w:szCs w:val="20"/>
          <w:color w:val="auto"/>
        </w:rPr>
      </w:pPr>
    </w:p>
    <w:p>
      <w:pPr>
        <w:jc w:val="both"/>
        <w:ind w:right="200"/>
        <w:spacing w:after="0" w:line="327" w:lineRule="auto"/>
        <w:rPr>
          <w:sz w:val="20"/>
          <w:szCs w:val="20"/>
          <w:color w:val="auto"/>
        </w:rPr>
      </w:pPr>
      <w:r>
        <w:rPr>
          <w:rFonts w:ascii="Arial" w:cs="Arial" w:eastAsia="Arial" w:hAnsi="Arial"/>
          <w:sz w:val="14"/>
          <w:szCs w:val="14"/>
          <w:color w:val="auto"/>
        </w:rPr>
        <w:t>Ms. Mora’s extensive experience in public accounting and higher education provides the Board with financial and business expertise. Her deep knowledge and passion for sustainability enhances the Board and the Company’s commitment to ESG.</w:t>
      </w:r>
    </w:p>
    <w:p>
      <w:pPr>
        <w:spacing w:after="0" w:line="200" w:lineRule="exact"/>
        <w:rPr>
          <w:sz w:val="20"/>
          <w:szCs w:val="20"/>
          <w:color w:val="auto"/>
        </w:rPr>
      </w:pPr>
    </w:p>
    <w:p>
      <w:pPr>
        <w:sectPr>
          <w:pgSz w:w="11900" w:h="16838" w:orient="portrait"/>
          <w:cols w:equalWidth="0" w:num="2">
            <w:col w:w="1660" w:space="500"/>
            <w:col w:w="7080"/>
          </w:cols>
          <w:pgMar w:left="1300" w:top="1193"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66</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CLASS: </w:t>
      </w:r>
      <w:r>
        <w:rPr>
          <w:rFonts w:ascii="Arial" w:cs="Arial" w:eastAsia="Arial" w:hAnsi="Arial"/>
          <w:sz w:val="14"/>
          <w:szCs w:val="14"/>
          <w:color w:val="000000"/>
        </w:rPr>
        <w:t>III</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COMMITTEES: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Audit &amp; Finance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(Member)</w:t>
      </w:r>
    </w:p>
    <w:p>
      <w:pPr>
        <w:spacing w:after="0" w:line="19" w:lineRule="exact"/>
        <w:rPr>
          <w:sz w:val="20"/>
          <w:szCs w:val="20"/>
          <w:color w:val="auto"/>
        </w:rPr>
      </w:pPr>
    </w:p>
    <w:p>
      <w:pPr>
        <w:ind w:left="240" w:right="20"/>
        <w:spacing w:after="0" w:line="330" w:lineRule="auto"/>
        <w:rPr>
          <w:sz w:val="20"/>
          <w:szCs w:val="20"/>
          <w:color w:val="auto"/>
        </w:rPr>
      </w:pPr>
      <w:r>
        <w:rPr>
          <w:rFonts w:ascii="Arial" w:cs="Arial" w:eastAsia="Arial" w:hAnsi="Arial"/>
          <w:sz w:val="14"/>
          <w:szCs w:val="14"/>
          <w:color w:val="auto"/>
        </w:rPr>
        <w:t>Risk Management (Member)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002552"/>
        </w:rPr>
        <w:t>Peter J. Nolan</w:t>
      </w:r>
    </w:p>
    <w:p>
      <w:pPr>
        <w:spacing w:after="0" w:line="68" w:lineRule="exact"/>
        <w:rPr>
          <w:sz w:val="20"/>
          <w:szCs w:val="20"/>
          <w:color w:val="auto"/>
        </w:rPr>
      </w:pPr>
    </w:p>
    <w:p>
      <w:pPr>
        <w:jc w:val="both"/>
        <w:ind w:right="180"/>
        <w:spacing w:after="0" w:line="308" w:lineRule="auto"/>
        <w:rPr>
          <w:sz w:val="20"/>
          <w:szCs w:val="20"/>
          <w:color w:val="auto"/>
        </w:rPr>
      </w:pPr>
      <w:r>
        <w:rPr>
          <w:rFonts w:ascii="Arial" w:cs="Arial" w:eastAsia="Arial" w:hAnsi="Arial"/>
          <w:sz w:val="14"/>
          <w:szCs w:val="14"/>
          <w:color w:val="auto"/>
        </w:rPr>
        <w:t>Mr. Nolan has served as a director of the Company since January 1, 2024. He currently serves as the chairman of Nolan Capital, Inc., which he founded in 2014 as the holding company for his family office to make long term investments in growth-oriented companies. Mr. Nolan also serves as a Senior Advisor to Leonard Green &amp; Partners (“LGP’’). Mr. Nolan joined LGP as a Managing Partner in 1997. Previously, Mr. Nolan was a Managing Director and Co-Head of DLJ’s (now Credit Suisse) Los Angeles Investment Banking Division, which he joined in 1990. Prior to DLJ, Mr. Nolan was a First Vice President in corporate finance at Drexel, Burnham, Lambert in Beverly Hills from 1986 to 1990, a Vice President at Prudential Securities, Inc. from 1982 to 1986 and an Associate at Manufacturers Hanover Trust Company. Mr. Nolan serves as Chairman of Diamond Wipes International, Ortega National Parks, and Country Supplier which owns both C-A-L Ranch Stores and Coastal Farm &amp; Ranch. He is also the controlling shareholder of Water Engineering. Mr. Nolan currently serves on the board of directors of AerSale Holdings, Inc. Mr. Nolan serves as a trustee of the United States Olympic and Paralympic Foundation. He earned a Bachelor of Science degree in Agricultural Economics and Finance from Cornell University and a Master of Business Administration from the Johnson Graduate School of Management at Cornell University.</w:t>
      </w:r>
    </w:p>
    <w:p>
      <w:pPr>
        <w:spacing w:after="0" w:line="113" w:lineRule="exact"/>
        <w:rPr>
          <w:sz w:val="20"/>
          <w:szCs w:val="20"/>
          <w:color w:val="auto"/>
        </w:rPr>
      </w:pPr>
    </w:p>
    <w:p>
      <w:pPr>
        <w:jc w:val="both"/>
        <w:ind w:right="200"/>
        <w:spacing w:after="0" w:line="327" w:lineRule="auto"/>
        <w:rPr>
          <w:sz w:val="20"/>
          <w:szCs w:val="20"/>
          <w:color w:val="auto"/>
        </w:rPr>
      </w:pPr>
      <w:r>
        <w:rPr>
          <w:rFonts w:ascii="Arial" w:cs="Arial" w:eastAsia="Arial" w:hAnsi="Arial"/>
          <w:sz w:val="14"/>
          <w:szCs w:val="14"/>
          <w:color w:val="auto"/>
        </w:rPr>
        <w:t>Mr. Nolan’s experience in finance, asset management, capital markets and capital management, and his experience as a senior executive and an institutional investor, provides the Board with financial and business expertise.</w:t>
      </w:r>
    </w:p>
    <w:p>
      <w:pPr>
        <w:spacing w:after="0" w:line="200" w:lineRule="exact"/>
        <w:rPr>
          <w:sz w:val="20"/>
          <w:szCs w:val="20"/>
          <w:color w:val="auto"/>
        </w:rPr>
      </w:pPr>
    </w:p>
    <w:p>
      <w:pPr>
        <w:sectPr>
          <w:pgSz w:w="11900" w:h="16838" w:orient="portrait"/>
          <w:cols w:equalWidth="0" w:num="2">
            <w:col w:w="1440" w:space="720"/>
            <w:col w:w="7080"/>
          </w:cols>
          <w:pgMar w:left="1300" w:top="1193"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240"/>
          </w:cols>
          <w:pgMar w:left="1300" w:top="1193" w:right="1359"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Compensation Discussion and Analysis</w:t>
      </w:r>
    </w:p>
    <w:p>
      <w:pPr>
        <w:spacing w:after="0" w:line="91"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This Compensation Discussion and Analysis describes our fiscal year 2024 executive compensation program and the oversight provided by the Compensation Committee. It also summarizes our compensation structure and discusses the compensation earned by our NEOs and should be read in conjunction with the Summary Compensation Table, related tables and disclosures for a more complete understanding of how our NEO compensation program operates. To ensure our leaders are driven to deliver excellence for our team members, our customers, and our stockholders, our executive compensation program is designed to link business priorities with performance.</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Our NEOs for fiscal year 2024 were:</w:t>
      </w:r>
    </w:p>
    <w:p>
      <w:pPr>
        <w:spacing w:after="0" w:line="160"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Harold S. Edwards(1)</w:t>
      </w:r>
      <w:r>
        <w:rPr>
          <w:sz w:val="20"/>
          <w:szCs w:val="20"/>
          <w:color w:val="auto"/>
        </w:rPr>
        <w:tab/>
      </w:r>
      <w:r>
        <w:rPr>
          <w:rFonts w:ascii="Arial" w:cs="Arial" w:eastAsia="Arial" w:hAnsi="Arial"/>
          <w:sz w:val="15"/>
          <w:szCs w:val="15"/>
          <w:color w:val="auto"/>
        </w:rPr>
        <w:t>President &amp; Chief Executive Officer</w:t>
      </w:r>
    </w:p>
    <w:p>
      <w:pPr>
        <w:spacing w:after="0" w:line="173" w:lineRule="exact"/>
        <w:rPr>
          <w:sz w:val="20"/>
          <w:szCs w:val="20"/>
          <w:color w:val="auto"/>
        </w:rPr>
      </w:pPr>
    </w:p>
    <w:p>
      <w:pPr>
        <w:spacing w:after="0"/>
        <w:tabs>
          <w:tab w:leader="none" w:pos="1920" w:val="left"/>
        </w:tabs>
        <w:rPr>
          <w:sz w:val="20"/>
          <w:szCs w:val="20"/>
          <w:color w:val="auto"/>
        </w:rPr>
      </w:pPr>
      <w:r>
        <w:rPr>
          <w:rFonts w:ascii="Arial" w:cs="Arial" w:eastAsia="Arial" w:hAnsi="Arial"/>
          <w:sz w:val="15"/>
          <w:szCs w:val="15"/>
          <w:color w:val="auto"/>
        </w:rPr>
        <w:t>Mark Palamountain</w:t>
      </w:r>
      <w:r>
        <w:rPr>
          <w:sz w:val="20"/>
          <w:szCs w:val="20"/>
          <w:color w:val="auto"/>
        </w:rPr>
        <w:tab/>
      </w:r>
      <w:r>
        <w:rPr>
          <w:rFonts w:ascii="Arial" w:cs="Arial" w:eastAsia="Arial" w:hAnsi="Arial"/>
          <w:sz w:val="15"/>
          <w:szCs w:val="15"/>
          <w:color w:val="auto"/>
        </w:rPr>
        <w:t>Executive Vice President, Chief Financial Officer &amp; Treasurer</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 Mr. Edwards is also a non-compensated management director.</w:t>
      </w:r>
    </w:p>
    <w:p>
      <w:pPr>
        <w:spacing w:after="0" w:line="199" w:lineRule="exact"/>
        <w:rPr>
          <w:sz w:val="20"/>
          <w:szCs w:val="20"/>
          <w:color w:val="auto"/>
        </w:rPr>
      </w:pPr>
    </w:p>
    <w:p>
      <w:pPr>
        <w:ind w:right="4120"/>
        <w:spacing w:after="0" w:line="358" w:lineRule="auto"/>
        <w:rPr>
          <w:sz w:val="20"/>
          <w:szCs w:val="20"/>
          <w:color w:val="auto"/>
        </w:rPr>
      </w:pPr>
      <w:r>
        <w:rPr>
          <w:rFonts w:ascii="Arial" w:cs="Arial" w:eastAsia="Arial" w:hAnsi="Arial"/>
          <w:sz w:val="20"/>
          <w:szCs w:val="20"/>
          <w:b w:val="1"/>
          <w:bCs w:val="1"/>
          <w:color w:val="438BCB"/>
        </w:rPr>
        <w:t>Certain Information Regarding Our Executive Officers Executive Officers Who Are Not Directors</w:t>
      </w:r>
    </w:p>
    <w:p>
      <w:pPr>
        <w:sectPr>
          <w:pgSz w:w="11900" w:h="16838" w:orient="portrait"/>
          <w:cols w:equalWidth="0" w:num="1">
            <w:col w:w="9340"/>
          </w:cols>
          <w:pgMar w:left="1300" w:top="107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552"/>
        </w:rPr>
        <w:t xml:space="preserve">AGE: </w:t>
      </w:r>
      <w:r>
        <w:rPr>
          <w:rFonts w:ascii="Arial" w:cs="Arial" w:eastAsia="Arial" w:hAnsi="Arial"/>
          <w:sz w:val="14"/>
          <w:szCs w:val="14"/>
          <w:color w:val="000000"/>
        </w:rPr>
        <w:t>49</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Executive Vice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President, Chief</w:t>
      </w:r>
    </w:p>
    <w:p>
      <w:pPr>
        <w:spacing w:after="0" w:line="30" w:lineRule="exact"/>
        <w:rPr>
          <w:sz w:val="20"/>
          <w:szCs w:val="20"/>
          <w:color w:val="auto"/>
        </w:rPr>
      </w:pPr>
    </w:p>
    <w:p>
      <w:pPr>
        <w:ind w:left="240" w:right="20"/>
        <w:spacing w:after="0" w:line="312" w:lineRule="auto"/>
        <w:rPr>
          <w:sz w:val="20"/>
          <w:szCs w:val="20"/>
          <w:color w:val="auto"/>
        </w:rPr>
      </w:pPr>
      <w:r>
        <w:rPr>
          <w:rFonts w:ascii="Arial" w:cs="Arial" w:eastAsia="Arial" w:hAnsi="Arial"/>
          <w:sz w:val="14"/>
          <w:szCs w:val="14"/>
          <w:color w:val="auto"/>
        </w:rPr>
        <w:t>Financial Officer &amp;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002552"/>
        </w:rPr>
        <w:t>Mark Palamountain</w:t>
      </w:r>
    </w:p>
    <w:p>
      <w:pPr>
        <w:spacing w:after="0" w:line="80" w:lineRule="exact"/>
        <w:rPr>
          <w:sz w:val="20"/>
          <w:szCs w:val="20"/>
          <w:color w:val="auto"/>
        </w:rPr>
      </w:pPr>
    </w:p>
    <w:p>
      <w:pPr>
        <w:jc w:val="both"/>
        <w:ind w:right="280"/>
        <w:spacing w:after="0" w:line="308" w:lineRule="auto"/>
        <w:rPr>
          <w:sz w:val="20"/>
          <w:szCs w:val="20"/>
          <w:color w:val="auto"/>
        </w:rPr>
      </w:pPr>
      <w:r>
        <w:rPr>
          <w:rFonts w:ascii="Arial" w:cs="Arial" w:eastAsia="Arial" w:hAnsi="Arial"/>
          <w:sz w:val="14"/>
          <w:szCs w:val="14"/>
          <w:color w:val="auto"/>
        </w:rPr>
        <w:t>Mr. Palamountain was appointed Executive Vice President, Chief Financial Officer and Treasurer in April 2024. He served as the Company’s Chief Financial Officer and Treasurer since January 2018. He was also the Corporate Secretary from January 2018 through July 2022. He has served as the Company’s Senior Director of Agricultural Operations from 2014 to 2018. From 2012 to 2014, Mr. Palamountain served as Director of Business Development and Business Integration at the Company. Prior to joining the Company, Mr. Palamountain was the Chief Executive Officer and a founder of Perpetual Power LLC, a leading solar integration company specializing in finance and product technology. From 2003 to 2008, he served as Managing Director, Head of NASDAQ Trading for Broadpoint Securities where he was responsible for all trading desk management functions for a team of 25 traders. Between 2001 and 2003, Mr. Palamountain was a Principal at Thomas Weisel Partners and from 1997 to 2001, he was a trader at JPMorgan Chase. Mr. Palamountain is a member of the board of directors and chair of the audit committee for VM Agritech. Mr. Palamountain is a graduate of the University of Colorado at Boulder, where he earned a Bachelor of Science degree in Finance.</w:t>
      </w:r>
    </w:p>
    <w:p>
      <w:pPr>
        <w:spacing w:after="0" w:line="208" w:lineRule="exact"/>
        <w:rPr>
          <w:sz w:val="20"/>
          <w:szCs w:val="20"/>
          <w:color w:val="auto"/>
        </w:rPr>
      </w:pPr>
    </w:p>
    <w:p>
      <w:pPr>
        <w:sectPr>
          <w:pgSz w:w="11900" w:h="16838" w:orient="portrait"/>
          <w:cols w:equalWidth="0" w:num="2">
            <w:col w:w="1440" w:space="720"/>
            <w:col w:w="7180"/>
          </w:cols>
          <w:pgMar w:left="1300" w:top="1072" w:right="1259" w:bottom="1440" w:gutter="0" w:footer="0" w:header="0"/>
          <w:type w:val="continuous"/>
        </w:sectPr>
      </w:pPr>
    </w:p>
    <w:p>
      <w:pPr>
        <w:spacing w:after="0"/>
        <w:rPr>
          <w:sz w:val="20"/>
          <w:szCs w:val="20"/>
          <w:color w:val="auto"/>
        </w:rPr>
      </w:pPr>
      <w:r>
        <w:rPr>
          <w:rFonts w:ascii="Arial" w:cs="Arial" w:eastAsia="Arial" w:hAnsi="Arial"/>
          <w:sz w:val="20"/>
          <w:szCs w:val="20"/>
          <w:b w:val="1"/>
          <w:bCs w:val="1"/>
          <w:color w:val="438BCB"/>
        </w:rPr>
        <w:t>Key Executive Compensation Objectives</w:t>
      </w:r>
    </w:p>
    <w:p>
      <w:pPr>
        <w:spacing w:after="0" w:line="91"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auto"/>
        </w:rPr>
        <w:t>In fiscal year 2023, we undertook an in-depth review of our compensation programs and philosophies. With the help of Pearl Meyer, we shifted our compensation mix to focus more heavily on equity to align our executive’s incentive pay with the long-term interests of our stockholders beginning with fiscal year 2024.</w:t>
      </w:r>
    </w:p>
    <w:p>
      <w:pPr>
        <w:spacing w:after="0" w:line="99"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The compensation policies developed by the Compensation Committee are based on the philosophy that compensation should reflect both the Company’s performance, financially and operationally, the success of the Company in executing against our strategic roadmap, and the individual performance. The Compensation Committee uses the following objectives when setting compensation for our NEOs:</w:t>
      </w:r>
    </w:p>
    <w:p>
      <w:pPr>
        <w:spacing w:after="0" w:line="99" w:lineRule="exact"/>
        <w:rPr>
          <w:sz w:val="20"/>
          <w:szCs w:val="20"/>
          <w:color w:val="auto"/>
        </w:rPr>
      </w:pPr>
    </w:p>
    <w:p>
      <w:pPr>
        <w:ind w:left="120" w:hanging="115"/>
        <w:spacing w:after="0" w:line="304" w:lineRule="auto"/>
        <w:tabs>
          <w:tab w:leader="none" w:pos="1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Setting compensation levels that are sufficiently competitive such that they will motivate and reward the highest quality individuals to contribute to our goals, objectives and overall financial success. This is done in part through reviewing and comparing the compensation of other companies in our industry.</w:t>
      </w:r>
    </w:p>
    <w:p>
      <w:pPr>
        <w:sectPr>
          <w:pgSz w:w="11900" w:h="16838" w:orient="portrait"/>
          <w:cols w:equalWidth="0" w:num="1">
            <w:col w:w="9340"/>
          </w:cols>
          <w:pgMar w:left="1300" w:top="1072"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072" w:right="1259" w:bottom="1440" w:gutter="0" w:footer="0" w:header="0"/>
          <w:type w:val="continuous"/>
        </w:sectPr>
      </w:pPr>
    </w:p>
    <w:bookmarkStart w:id="35" w:name="page36"/>
    <w:bookmarkEnd w:id="35"/>
    <w:p>
      <w:pPr>
        <w:ind w:left="120" w:right="60" w:hanging="115"/>
        <w:spacing w:after="0" w:line="297" w:lineRule="auto"/>
        <w:tabs>
          <w:tab w:leader="none" w:pos="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Retaining executives and encouraging their continued quality service, thereby encouraging and maintaining continuity of the management team. Our competitive base salaries combined with variable cash and equity incentive bonuses, and the long-term incentives through our retirement plan and the vesting requirements of our equity-based incentive bonuses, encourage high-performing executives to remain with the Company.</w:t>
      </w:r>
    </w:p>
    <w:p>
      <w:pPr>
        <w:spacing w:after="0" w:line="92" w:lineRule="exact"/>
        <w:rPr>
          <w:rFonts w:ascii="Arial" w:cs="Arial" w:eastAsia="Arial" w:hAnsi="Arial"/>
          <w:sz w:val="15"/>
          <w:szCs w:val="15"/>
          <w:color w:val="auto"/>
        </w:rPr>
      </w:pPr>
    </w:p>
    <w:p>
      <w:pPr>
        <w:ind w:left="120" w:hanging="115"/>
        <w:spacing w:after="0" w:line="304" w:lineRule="auto"/>
        <w:tabs>
          <w:tab w:leader="none" w:pos="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Incentivizing executives appropriately to manage risks while attempting to improve our financial results, performance, and condition. Our cash and equity incentive plans set Company-specific and individual goals for executives to ensure the executives are compensated in accordance with the Company’s performance.</w:t>
      </w:r>
    </w:p>
    <w:p>
      <w:pPr>
        <w:spacing w:after="0" w:line="99" w:lineRule="exact"/>
        <w:rPr>
          <w:rFonts w:ascii="Arial" w:cs="Arial" w:eastAsia="Arial" w:hAnsi="Arial"/>
          <w:sz w:val="15"/>
          <w:szCs w:val="15"/>
          <w:color w:val="auto"/>
        </w:rPr>
      </w:pPr>
    </w:p>
    <w:p>
      <w:pPr>
        <w:ind w:left="120" w:hanging="115"/>
        <w:spacing w:after="0"/>
        <w:tabs>
          <w:tab w:leader="none" w:pos="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Aligning executive and stockholder interests. The Compensation Committee believes the use of equity compensation as a</w:t>
      </w:r>
    </w:p>
    <w:p>
      <w:pPr>
        <w:spacing w:after="0" w:line="32" w:lineRule="exact"/>
        <w:rPr>
          <w:rFonts w:ascii="Arial" w:cs="Arial" w:eastAsia="Arial" w:hAnsi="Arial"/>
          <w:sz w:val="15"/>
          <w:szCs w:val="15"/>
          <w:color w:val="auto"/>
        </w:rPr>
      </w:pPr>
    </w:p>
    <w:p>
      <w:pPr>
        <w:ind w:left="120" w:right="200"/>
        <w:spacing w:after="0" w:line="324" w:lineRule="auto"/>
        <w:rPr>
          <w:rFonts w:ascii="Arial" w:cs="Arial" w:eastAsia="Arial" w:hAnsi="Arial"/>
          <w:sz w:val="15"/>
          <w:szCs w:val="15"/>
          <w:color w:val="auto"/>
        </w:rPr>
      </w:pPr>
      <w:r>
        <w:rPr>
          <w:rFonts w:ascii="Arial" w:cs="Arial" w:eastAsia="Arial" w:hAnsi="Arial"/>
          <w:sz w:val="15"/>
          <w:szCs w:val="15"/>
          <w:color w:val="auto"/>
        </w:rPr>
        <w:t>key component of executive compensation is a valuable tool for driving sustained financial value creation and aligning the interests of our NEOs with those of our stockholders.</w:t>
      </w:r>
    </w:p>
    <w:p>
      <w:pPr>
        <w:spacing w:after="0" w:line="84" w:lineRule="exact"/>
        <w:rPr>
          <w:rFonts w:ascii="Arial" w:cs="Arial" w:eastAsia="Arial" w:hAnsi="Arial"/>
          <w:sz w:val="15"/>
          <w:szCs w:val="15"/>
          <w:color w:val="auto"/>
        </w:rPr>
      </w:pPr>
    </w:p>
    <w:p>
      <w:pPr>
        <w:ind w:left="120" w:hanging="115"/>
        <w:spacing w:after="0" w:line="297" w:lineRule="auto"/>
        <w:tabs>
          <w:tab w:leader="none" w:pos="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Obtaining tax deductibility whenever appropriate. The Compensation Committee believes tax deductibility for the Company is generally a favorable feature for an executive compensation program, from the perspectives of both the Company and the stockholders. The 2022 Plan has provisions relating to tax withholding and compliance with Section 409A of the Internal Revenue Code (the “Code”) to ensure the Company and the executives are obtaining favorable tax treatment.</w:t>
      </w:r>
    </w:p>
    <w:p>
      <w:pPr>
        <w:spacing w:after="0" w:line="92" w:lineRule="exact"/>
        <w:rPr>
          <w:rFonts w:ascii="Arial" w:cs="Arial" w:eastAsia="Arial" w:hAnsi="Arial"/>
          <w:sz w:val="15"/>
          <w:szCs w:val="15"/>
          <w:color w:val="auto"/>
        </w:rPr>
      </w:pPr>
    </w:p>
    <w:p>
      <w:pPr>
        <w:ind w:left="120" w:right="660" w:hanging="115"/>
        <w:spacing w:after="0" w:line="324" w:lineRule="auto"/>
        <w:tabs>
          <w:tab w:leader="none" w:pos="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Instituting market best practices, including Ownership Guidelines, the Clawback Policy, and a prohibition on hedging Company securities.</w:t>
      </w:r>
    </w:p>
    <w:p>
      <w:pPr>
        <w:spacing w:after="0" w:line="84"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The Compensation Committee believes that the total compensation package for each of our NEOs is competitive with the market, thereby allowing us to retain executive talent capable of leveraging the skills of our employees and our unique assets to increase stockholder value.</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Stockholder Engagement and Key Accomplishments</w:t>
      </w:r>
    </w:p>
    <w:p>
      <w:pPr>
        <w:spacing w:after="0" w:line="91"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We greatly value feedback from our stockholders and rely on such feedback to help us tailor our business policies and practices, including compensation policies and philosophies. Stockholder feedback is instrumental to our business operations and plays an essential role in the development of compensation guidelines and other business matters. Accordingly, we provide stockholders with plentiful opportunities to provide feedback. In addition to soliciting feedback through proxy voting, we frequently interact with stockholders throughout the year by hosting individual meetings with stockholders that hold approximately 30% of our outstanding shares of Common Stock. On a quarterly basis, we have outreach sessions with five (5) or six (6) of our largest stockholders following our quarterly earnings conference call. Throughout the year, we participate in investor conferences and other presentations with current and prospective stockholders. Additionally, we appropriately engage our stockholders informally throughout the year as needed to provide transparency into emerging issues, to discuss milestones and to inform our decision-making. We engage our stockholders on a variety of governance matters, including our executive compensation practices.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During the past two (2) fiscal years, we proactively engaged and responded to stockholders by taking the following actions: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Fiscal Year 2024</w:t>
      </w:r>
    </w:p>
    <w:p>
      <w:pPr>
        <w:spacing w:after="0" w:line="103" w:lineRule="exact"/>
        <w:rPr>
          <w:sz w:val="20"/>
          <w:szCs w:val="20"/>
          <w:color w:val="auto"/>
        </w:rPr>
      </w:pPr>
    </w:p>
    <w:p>
      <w:pPr>
        <w:ind w:left="120" w:hanging="115"/>
        <w:spacing w:after="0"/>
        <w:tabs>
          <w:tab w:leader="none" w:pos="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implemented new director compensation program as discussed above;</w:t>
      </w:r>
    </w:p>
    <w:p>
      <w:pPr>
        <w:spacing w:after="0" w:line="160" w:lineRule="exact"/>
        <w:rPr>
          <w:rFonts w:ascii="Arial" w:cs="Arial" w:eastAsia="Arial" w:hAnsi="Arial"/>
          <w:sz w:val="15"/>
          <w:szCs w:val="15"/>
          <w:color w:val="auto"/>
        </w:rPr>
      </w:pPr>
    </w:p>
    <w:p>
      <w:pPr>
        <w:ind w:left="100" w:hanging="95"/>
        <w:spacing w:after="0"/>
        <w:tabs>
          <w:tab w:leader="none" w:pos="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restructured and streamlined company operations by eliminating fifteen (15) full-time employees;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initiated the Strategic Alternative Process as described above;</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continued to refresh the Board with the retirement of one (1) director and the election of one (1) new director; and</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implemented the revised compensation programs approved in fiscal year 2023.</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Fiscal Year 2023</w:t>
      </w:r>
    </w:p>
    <w:p>
      <w:pPr>
        <w:spacing w:after="0" w:line="91" w:lineRule="exact"/>
        <w:rPr>
          <w:sz w:val="20"/>
          <w:szCs w:val="20"/>
          <w:color w:val="auto"/>
        </w:rPr>
      </w:pPr>
    </w:p>
    <w:p>
      <w:pPr>
        <w:ind w:left="120" w:hanging="115"/>
        <w:spacing w:after="0"/>
        <w:tabs>
          <w:tab w:leader="none" w:pos="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adopted a revised Clawback Policy;</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adopted a revised Insider Trading Policy to prohibit hedging and limit pledging of the Company’s securities;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implemented a revised Ethics Code;</w:t>
      </w:r>
    </w:p>
    <w:p>
      <w:pPr>
        <w:sectPr>
          <w:pgSz w:w="11900" w:h="16838" w:orient="portrait"/>
          <w:cols w:equalWidth="0" w:num="1">
            <w:col w:w="9340"/>
          </w:cols>
          <w:pgMar w:left="1300" w:top="12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4" w:right="1259" w:bottom="1440" w:gutter="0" w:footer="0" w:header="0"/>
          <w:type w:val="continuous"/>
        </w:sectPr>
      </w:pPr>
    </w:p>
    <w:bookmarkStart w:id="36" w:name="page37"/>
    <w:bookmarkEnd w:id="36"/>
    <w:p>
      <w:pPr>
        <w:ind w:left="120" w:hanging="115"/>
        <w:spacing w:after="0"/>
        <w:tabs>
          <w:tab w:leader="none" w:pos="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adopted a Directors Code;</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continued to refresh the Board in connection with the addition of one (1) new director and the retirement of two (2) directors; and</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substantially revised the compensation programs as set forth below.</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Key Compensation Program Decisions and Developments for Fiscal Year 2024</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Benchmarking</w:t>
      </w:r>
    </w:p>
    <w:p>
      <w:pPr>
        <w:spacing w:after="0" w:line="91"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During fiscal year 2023, the Compensation Committee reviewed and updated the Company’s peer group for compensation comparisons. The Compensation Committee engaged Pearl Meyer to evaluate NEO compensation and to align the Company’s compensation program with market best practices. Pearl Meyer conducted competitive reviews of executive and non-employee director compensation programs and levels. The Compensation Committee and Pearl Meyer reviewed the Company’s compensation philosophy and short-term cash and long-term equity incentive programs and compared each to the Company’s compensation peer group as set forth below. Based on these reviews during fiscal year 2023, the Compensation Committee and the Board approved changes to the Company’s compensation program and incentive plans for fiscal year 2024 to continue to align the Company’s practices more closely with market best practices.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To evaluate executive and non-employee director compensation, Pearl Meyer’s approach included:</w:t>
      </w:r>
    </w:p>
    <w:p>
      <w:pPr>
        <w:spacing w:after="0" w:line="173" w:lineRule="exact"/>
        <w:rPr>
          <w:sz w:val="20"/>
          <w:szCs w:val="20"/>
          <w:color w:val="auto"/>
        </w:rPr>
      </w:pPr>
    </w:p>
    <w:p>
      <w:pPr>
        <w:ind w:left="120" w:hanging="115"/>
        <w:spacing w:after="0" w:line="323" w:lineRule="auto"/>
        <w:tabs>
          <w:tab w:leader="none" w:pos="12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Interviews with NEOs, members of the Board and the Compensation Committee chairperson to understand the roles, business strategy, performance measures, and projections;</w:t>
      </w:r>
    </w:p>
    <w:p>
      <w:pPr>
        <w:spacing w:after="0" w:line="72"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Data collection and review of current Company compensation program documents;</w:t>
      </w:r>
    </w:p>
    <w:p>
      <w:pPr>
        <w:spacing w:after="0" w:line="172" w:lineRule="exact"/>
        <w:rPr>
          <w:rFonts w:ascii="Times New Roman" w:cs="Times New Roman" w:eastAsia="Times New Roman" w:hAnsi="Times New Roman"/>
          <w:sz w:val="15"/>
          <w:szCs w:val="15"/>
          <w:color w:val="auto"/>
        </w:rPr>
      </w:pPr>
    </w:p>
    <w:p>
      <w:pPr>
        <w:ind w:left="120" w:hanging="115"/>
        <w:spacing w:after="0"/>
        <w:tabs>
          <w:tab w:leader="none" w:pos="12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External market assessment, including competitive analysis of market compensation and establishment of a market peer group; and</w:t>
      </w:r>
    </w:p>
    <w:p>
      <w:pPr>
        <w:spacing w:after="0" w:line="172" w:lineRule="exact"/>
        <w:rPr>
          <w:rFonts w:ascii="Times New Roman" w:cs="Times New Roman" w:eastAsia="Times New Roman" w:hAnsi="Times New Roman"/>
          <w:sz w:val="15"/>
          <w:szCs w:val="15"/>
          <w:color w:val="auto"/>
        </w:rPr>
      </w:pPr>
    </w:p>
    <w:p>
      <w:pPr>
        <w:ind w:left="120" w:right="780" w:hanging="115"/>
        <w:spacing w:after="0" w:line="323" w:lineRule="auto"/>
        <w:tabs>
          <w:tab w:leader="none" w:pos="12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Report and recommendation based on Company and NEO performance, and analysis of peer group incentive programs and competitive pay levels including base and long-term equity incentive value.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Philosophy</w:t>
      </w:r>
    </w:p>
    <w:p>
      <w:pPr>
        <w:spacing w:after="0" w:line="103" w:lineRule="exact"/>
        <w:rPr>
          <w:sz w:val="20"/>
          <w:szCs w:val="20"/>
          <w:color w:val="auto"/>
        </w:rPr>
      </w:pPr>
    </w:p>
    <w:p>
      <w:pPr>
        <w:ind w:right="120"/>
        <w:spacing w:after="0" w:line="324" w:lineRule="auto"/>
        <w:rPr>
          <w:sz w:val="20"/>
          <w:szCs w:val="20"/>
          <w:color w:val="auto"/>
        </w:rPr>
      </w:pPr>
      <w:r>
        <w:rPr>
          <w:rFonts w:ascii="Arial" w:cs="Arial" w:eastAsia="Arial" w:hAnsi="Arial"/>
          <w:sz w:val="15"/>
          <w:szCs w:val="15"/>
          <w:color w:val="auto"/>
        </w:rPr>
        <w:t>The Compensation Committee reviewed and updated the Company’s compensation philosophy, which included defining the Company’s competitive objectives and desired mix of pay elements.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Compensation Peer Group</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For reference, in determining the fiscal year 2023 executive compensation, the following Peer Group was used: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40" w:type="dxa"/>
            <w:vAlign w:val="bottom"/>
            <w:tcBorders>
              <w:top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Alico, Inc.</w:t>
            </w:r>
          </w:p>
        </w:tc>
        <w:tc>
          <w:tcPr>
            <w:tcW w:w="2300" w:type="dxa"/>
            <w:vAlign w:val="bottom"/>
            <w:tcBorders>
              <w:top w:val="single" w:sz="8" w:color="EBF7FC"/>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Calavo Growers, Inc.</w:t>
            </w:r>
          </w:p>
        </w:tc>
        <w:tc>
          <w:tcPr>
            <w:tcW w:w="2300" w:type="dxa"/>
            <w:vAlign w:val="bottom"/>
            <w:tcBorders>
              <w:top w:val="single" w:sz="8" w:color="EBF7FC"/>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Maui Land &amp;</w:t>
            </w:r>
          </w:p>
        </w:tc>
        <w:tc>
          <w:tcPr>
            <w:tcW w:w="2320" w:type="dxa"/>
            <w:vAlign w:val="bottom"/>
            <w:tcBorders>
              <w:top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The St. Joe Company</w:t>
            </w:r>
          </w:p>
        </w:tc>
      </w:tr>
      <w:tr>
        <w:trPr>
          <w:trHeight w:val="242"/>
        </w:trPr>
        <w:tc>
          <w:tcPr>
            <w:tcW w:w="2340" w:type="dxa"/>
            <w:vAlign w:val="bottom"/>
            <w:tcBorders>
              <w:bottom w:val="single" w:sz="8" w:color="F3F9FD"/>
              <w:right w:val="single" w:sz="8" w:color="EBF7FC"/>
            </w:tcBorders>
            <w:shd w:val="clear" w:color="auto" w:fill="F3F9FD"/>
          </w:tcPr>
          <w:p>
            <w:pPr>
              <w:spacing w:after="0"/>
              <w:rPr>
                <w:sz w:val="20"/>
                <w:szCs w:val="20"/>
                <w:color w:val="auto"/>
              </w:rPr>
            </w:pPr>
          </w:p>
        </w:tc>
        <w:tc>
          <w:tcPr>
            <w:tcW w:w="2300" w:type="dxa"/>
            <w:vAlign w:val="bottom"/>
            <w:tcBorders>
              <w:bottom w:val="single" w:sz="8" w:color="F3F9FD"/>
              <w:right w:val="single" w:sz="8" w:color="EBF7FC"/>
            </w:tcBorders>
            <w:shd w:val="clear" w:color="auto" w:fill="F3F9FD"/>
          </w:tcPr>
          <w:p>
            <w:pPr>
              <w:spacing w:after="0"/>
              <w:rPr>
                <w:sz w:val="20"/>
                <w:szCs w:val="20"/>
                <w:color w:val="auto"/>
              </w:rPr>
            </w:pPr>
          </w:p>
        </w:tc>
        <w:tc>
          <w:tcPr>
            <w:tcW w:w="2300" w:type="dxa"/>
            <w:vAlign w:val="bottom"/>
            <w:tcBorders>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Pineapple Company, Inc.</w:t>
            </w:r>
          </w:p>
        </w:tc>
        <w:tc>
          <w:tcPr>
            <w:tcW w:w="2320" w:type="dxa"/>
            <w:vAlign w:val="bottom"/>
            <w:tcBorders>
              <w:bottom w:val="single" w:sz="8" w:color="F3F9FD"/>
            </w:tcBorders>
            <w:shd w:val="clear" w:color="auto" w:fill="F3F9FD"/>
          </w:tcPr>
          <w:p>
            <w:pPr>
              <w:spacing w:after="0"/>
              <w:rPr>
                <w:sz w:val="20"/>
                <w:szCs w:val="20"/>
                <w:color w:val="auto"/>
              </w:rPr>
            </w:pPr>
          </w:p>
        </w:tc>
      </w:tr>
      <w:tr>
        <w:trPr>
          <w:trHeight w:val="292"/>
        </w:trPr>
        <w:tc>
          <w:tcPr>
            <w:tcW w:w="2340" w:type="dxa"/>
            <w:vAlign w:val="bottom"/>
            <w:tcBorders>
              <w:top w:val="single" w:sz="8" w:color="EBF7FC"/>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Benson Hill, Inc.</w:t>
            </w:r>
          </w:p>
        </w:tc>
        <w:tc>
          <w:tcPr>
            <w:tcW w:w="230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Farmer Bros. Co.</w:t>
            </w:r>
          </w:p>
        </w:tc>
        <w:tc>
          <w:tcPr>
            <w:tcW w:w="230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Mission Produce, Inc.</w:t>
            </w:r>
          </w:p>
        </w:tc>
        <w:tc>
          <w:tcPr>
            <w:tcW w:w="2320" w:type="dxa"/>
            <w:vAlign w:val="bottom"/>
            <w:tcBorders>
              <w:top w:val="single" w:sz="8" w:color="EBF7FC"/>
              <w:bottom w:val="single" w:sz="8" w:color="F3F9FD"/>
            </w:tcBorders>
            <w:shd w:val="clear" w:color="auto" w:fill="F3F9FD"/>
          </w:tcPr>
          <w:p>
            <w:pPr>
              <w:ind w:left="60"/>
              <w:spacing w:after="0"/>
              <w:rPr>
                <w:sz w:val="20"/>
                <w:szCs w:val="20"/>
                <w:color w:val="auto"/>
              </w:rPr>
            </w:pPr>
            <w:r>
              <w:rPr>
                <w:rFonts w:ascii="Arial" w:cs="Arial" w:eastAsia="Arial" w:hAnsi="Arial"/>
                <w:sz w:val="14"/>
                <w:szCs w:val="14"/>
                <w:color w:val="auto"/>
              </w:rPr>
              <w:t>Village Farms International, Inc.</w:t>
            </w:r>
          </w:p>
        </w:tc>
      </w:tr>
      <w:tr>
        <w:trPr>
          <w:trHeight w:val="267"/>
        </w:trPr>
        <w:tc>
          <w:tcPr>
            <w:tcW w:w="2340" w:type="dxa"/>
            <w:vAlign w:val="bottom"/>
            <w:tcBorders>
              <w:top w:val="single" w:sz="8" w:color="EBF7FC"/>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Bridgford Foods Corporation</w:t>
            </w:r>
          </w:p>
        </w:tc>
        <w:tc>
          <w:tcPr>
            <w:tcW w:w="230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Five Points Holdings, LLC</w:t>
            </w:r>
          </w:p>
        </w:tc>
        <w:tc>
          <w:tcPr>
            <w:tcW w:w="230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4"/>
                <w:szCs w:val="14"/>
                <w:color w:val="auto"/>
              </w:rPr>
              <w:t>Tejon Ranch Co.</w:t>
            </w:r>
          </w:p>
        </w:tc>
        <w:tc>
          <w:tcPr>
            <w:tcW w:w="2320" w:type="dxa"/>
            <w:vAlign w:val="bottom"/>
            <w:tcBorders>
              <w:top w:val="single" w:sz="8" w:color="EBF7FC"/>
              <w:bottom w:val="single" w:sz="8" w:color="F3F9FD"/>
            </w:tcBorders>
            <w:shd w:val="clear" w:color="auto" w:fill="F3F9FD"/>
          </w:tcPr>
          <w:p>
            <w:pPr>
              <w:ind w:left="60"/>
              <w:spacing w:after="0"/>
              <w:rPr>
                <w:sz w:val="20"/>
                <w:szCs w:val="20"/>
                <w:color w:val="auto"/>
              </w:rPr>
            </w:pPr>
            <w:r>
              <w:rPr>
                <w:rFonts w:ascii="Arial" w:cs="Arial" w:eastAsia="Arial" w:hAnsi="Arial"/>
                <w:sz w:val="14"/>
                <w:szCs w:val="14"/>
                <w:color w:val="auto"/>
              </w:rPr>
              <w:t>Vital Farms, Inc.</w:t>
            </w:r>
          </w:p>
        </w:tc>
      </w:tr>
      <w:tr>
        <w:trPr>
          <w:trHeight w:val="249"/>
        </w:trPr>
        <w:tc>
          <w:tcPr>
            <w:tcW w:w="2340" w:type="dxa"/>
            <w:vAlign w:val="bottom"/>
            <w:tcBorders>
              <w:right w:val="single" w:sz="8" w:color="EBF7FC"/>
            </w:tcBorders>
            <w:shd w:val="clear" w:color="auto" w:fill="89C6F0"/>
          </w:tcPr>
          <w:p>
            <w:pPr>
              <w:ind w:left="80"/>
              <w:spacing w:after="0"/>
              <w:rPr>
                <w:sz w:val="20"/>
                <w:szCs w:val="20"/>
                <w:color w:val="auto"/>
              </w:rPr>
            </w:pPr>
            <w:r>
              <w:rPr>
                <w:rFonts w:ascii="Arial" w:cs="Arial" w:eastAsia="Arial" w:hAnsi="Arial"/>
                <w:sz w:val="14"/>
                <w:szCs w:val="14"/>
                <w:color w:val="auto"/>
              </w:rPr>
              <w:t>Cadiz, Inc.</w:t>
            </w:r>
          </w:p>
        </w:tc>
        <w:tc>
          <w:tcPr>
            <w:tcW w:w="2300" w:type="dxa"/>
            <w:vAlign w:val="bottom"/>
            <w:tcBorders>
              <w:right w:val="single" w:sz="8" w:color="EBF7FC"/>
            </w:tcBorders>
            <w:shd w:val="clear" w:color="auto" w:fill="89C6F0"/>
          </w:tcPr>
          <w:p>
            <w:pPr>
              <w:ind w:left="60"/>
              <w:spacing w:after="0"/>
              <w:rPr>
                <w:sz w:val="20"/>
                <w:szCs w:val="20"/>
                <w:color w:val="auto"/>
              </w:rPr>
            </w:pPr>
            <w:r>
              <w:rPr>
                <w:rFonts w:ascii="Arial" w:cs="Arial" w:eastAsia="Arial" w:hAnsi="Arial"/>
                <w:sz w:val="14"/>
                <w:szCs w:val="14"/>
                <w:color w:val="auto"/>
              </w:rPr>
              <w:t>Lifeway Foods, Inc.</w:t>
            </w:r>
          </w:p>
        </w:tc>
        <w:tc>
          <w:tcPr>
            <w:tcW w:w="2300" w:type="dxa"/>
            <w:vAlign w:val="bottom"/>
            <w:tcBorders>
              <w:right w:val="single" w:sz="8" w:color="EBF7FC"/>
            </w:tcBorders>
            <w:shd w:val="clear" w:color="auto" w:fill="89C6F0"/>
          </w:tcPr>
          <w:p>
            <w:pPr>
              <w:ind w:left="60"/>
              <w:spacing w:after="0"/>
              <w:rPr>
                <w:sz w:val="20"/>
                <w:szCs w:val="20"/>
                <w:color w:val="auto"/>
              </w:rPr>
            </w:pPr>
            <w:r>
              <w:rPr>
                <w:rFonts w:ascii="Arial" w:cs="Arial" w:eastAsia="Arial" w:hAnsi="Arial"/>
                <w:sz w:val="14"/>
                <w:szCs w:val="14"/>
                <w:color w:val="auto"/>
              </w:rPr>
              <w:t>The Duckhorn Portfolio, Inc.</w:t>
            </w:r>
          </w:p>
        </w:tc>
        <w:tc>
          <w:tcPr>
            <w:tcW w:w="2320" w:type="dxa"/>
            <w:vAlign w:val="bottom"/>
            <w:shd w:val="clear" w:color="auto" w:fill="89C6F0"/>
          </w:tcPr>
          <w:p>
            <w:pPr>
              <w:spacing w:after="0"/>
              <w:rPr>
                <w:sz w:val="21"/>
                <w:szCs w:val="21"/>
                <w:color w:val="auto"/>
              </w:rPr>
            </w:pPr>
          </w:p>
        </w:tc>
      </w:tr>
      <w:tr>
        <w:trPr>
          <w:trHeight w:val="71"/>
        </w:trPr>
        <w:tc>
          <w:tcPr>
            <w:tcW w:w="2340" w:type="dxa"/>
            <w:vAlign w:val="bottom"/>
            <w:tcBorders>
              <w:right w:val="single" w:sz="8" w:color="EBF7FC"/>
            </w:tcBorders>
            <w:shd w:val="clear" w:color="auto" w:fill="89C6F0"/>
          </w:tcPr>
          <w:p>
            <w:pPr>
              <w:spacing w:after="0"/>
              <w:rPr>
                <w:sz w:val="6"/>
                <w:szCs w:val="6"/>
                <w:color w:val="auto"/>
              </w:rPr>
            </w:pPr>
          </w:p>
        </w:tc>
        <w:tc>
          <w:tcPr>
            <w:tcW w:w="2300" w:type="dxa"/>
            <w:vAlign w:val="bottom"/>
            <w:tcBorders>
              <w:right w:val="single" w:sz="8" w:color="EBF7FC"/>
            </w:tcBorders>
            <w:shd w:val="clear" w:color="auto" w:fill="89C6F0"/>
          </w:tcPr>
          <w:p>
            <w:pPr>
              <w:spacing w:after="0"/>
              <w:rPr>
                <w:sz w:val="6"/>
                <w:szCs w:val="6"/>
                <w:color w:val="auto"/>
              </w:rPr>
            </w:pPr>
          </w:p>
        </w:tc>
        <w:tc>
          <w:tcPr>
            <w:tcW w:w="2300" w:type="dxa"/>
            <w:vAlign w:val="bottom"/>
            <w:tcBorders>
              <w:right w:val="single" w:sz="8" w:color="EBF7FC"/>
            </w:tcBorders>
            <w:shd w:val="clear" w:color="auto" w:fill="89C6F0"/>
          </w:tcPr>
          <w:p>
            <w:pPr>
              <w:spacing w:after="0"/>
              <w:rPr>
                <w:sz w:val="6"/>
                <w:szCs w:val="6"/>
                <w:color w:val="auto"/>
              </w:rPr>
            </w:pPr>
          </w:p>
        </w:tc>
        <w:tc>
          <w:tcPr>
            <w:tcW w:w="2320" w:type="dxa"/>
            <w:vAlign w:val="bottom"/>
            <w:shd w:val="clear" w:color="auto" w:fill="89C6F0"/>
          </w:tcPr>
          <w:p>
            <w:pPr>
              <w:spacing w:after="0"/>
              <w:rPr>
                <w:sz w:val="6"/>
                <w:szCs w:val="6"/>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Changes for Fiscal Year 2024</w:t>
      </w:r>
    </w:p>
    <w:p>
      <w:pPr>
        <w:spacing w:after="0" w:line="103" w:lineRule="exact"/>
        <w:rPr>
          <w:sz w:val="20"/>
          <w:szCs w:val="20"/>
          <w:color w:val="auto"/>
        </w:rPr>
      </w:pPr>
    </w:p>
    <w:p>
      <w:pPr>
        <w:ind w:left="120"/>
        <w:spacing w:after="0"/>
        <w:tabs>
          <w:tab w:leader="none" w:pos="2460" w:val="left"/>
        </w:tabs>
        <w:rPr>
          <w:sz w:val="20"/>
          <w:szCs w:val="20"/>
          <w:color w:val="auto"/>
        </w:rPr>
      </w:pPr>
      <w:r>
        <w:rPr>
          <w:rFonts w:ascii="Arial" w:cs="Arial" w:eastAsia="Arial" w:hAnsi="Arial"/>
          <w:sz w:val="15"/>
          <w:szCs w:val="15"/>
          <w:color w:val="2661AB"/>
        </w:rPr>
        <w:t>Base Pay</w:t>
      </w:r>
      <w:r>
        <w:rPr>
          <w:sz w:val="20"/>
          <w:szCs w:val="20"/>
          <w:color w:val="auto"/>
        </w:rPr>
        <w:tab/>
      </w:r>
      <w:r>
        <w:rPr>
          <w:rFonts w:ascii="Arial" w:cs="Arial" w:eastAsia="Arial" w:hAnsi="Arial"/>
          <w:sz w:val="15"/>
          <w:szCs w:val="15"/>
          <w:color w:val="auto"/>
        </w:rPr>
        <w:t>Base salaries are adjusted from time to time for the NEOs (and certain other employees) to keep</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pace with market increases and the Company’s overall growth.</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5"/>
        </w:trPr>
        <w:tc>
          <w:tcPr>
            <w:tcW w:w="2120" w:type="dxa"/>
            <w:vAlign w:val="bottom"/>
            <w:shd w:val="clear" w:color="auto" w:fill="F3F9FD"/>
          </w:tcPr>
          <w:p>
            <w:pPr>
              <w:ind w:left="120"/>
              <w:spacing w:after="0"/>
              <w:rPr>
                <w:sz w:val="20"/>
                <w:szCs w:val="20"/>
                <w:color w:val="auto"/>
              </w:rPr>
            </w:pPr>
            <w:r>
              <w:rPr>
                <w:rFonts w:ascii="Arial" w:cs="Arial" w:eastAsia="Arial" w:hAnsi="Arial"/>
                <w:sz w:val="15"/>
                <w:szCs w:val="15"/>
                <w:color w:val="2661AB"/>
              </w:rPr>
              <w:t>Short-Term Cash</w:t>
            </w: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During fiscal year 2024, we adjusted target cash incentive compensation as a percentage of base</w:t>
            </w:r>
          </w:p>
        </w:tc>
      </w:tr>
      <w:tr>
        <w:trPr>
          <w:trHeight w:val="201"/>
        </w:trPr>
        <w:tc>
          <w:tcPr>
            <w:tcW w:w="2120" w:type="dxa"/>
            <w:vAlign w:val="bottom"/>
            <w:shd w:val="clear" w:color="auto" w:fill="F3F9FD"/>
          </w:tcPr>
          <w:p>
            <w:pPr>
              <w:ind w:left="120"/>
              <w:spacing w:after="0"/>
              <w:rPr>
                <w:sz w:val="20"/>
                <w:szCs w:val="20"/>
                <w:color w:val="auto"/>
              </w:rPr>
            </w:pPr>
            <w:r>
              <w:rPr>
                <w:rFonts w:ascii="Arial" w:cs="Arial" w:eastAsia="Arial" w:hAnsi="Arial"/>
                <w:sz w:val="15"/>
                <w:szCs w:val="15"/>
                <w:color w:val="2661AB"/>
              </w:rPr>
              <w:t>Incentive Compensation</w:t>
            </w: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salary for the NEOs (and certain other employees) to align more closely with market levels.</w:t>
            </w:r>
          </w:p>
        </w:tc>
      </w:tr>
      <w:tr>
        <w:trPr>
          <w:trHeight w:val="345"/>
        </w:trPr>
        <w:tc>
          <w:tcPr>
            <w:tcW w:w="2120" w:type="dxa"/>
            <w:vAlign w:val="bottom"/>
            <w:shd w:val="clear" w:color="auto" w:fill="F3F9FD"/>
          </w:tcPr>
          <w:p>
            <w:pPr>
              <w:spacing w:after="0"/>
              <w:rPr>
                <w:sz w:val="24"/>
                <w:szCs w:val="24"/>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The Compensation Committee recommended, and the Board adopted, cash incentive compensation</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with an individual strategic performance component, such that 70% of the cash incentive</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compensation is based on the Company’s adjusted earnings before interest, income taxes,</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depreciation and amortization (“EBITDA”) performance relative to goals, and 30% is based on</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achievement of individual strategic performance objectives (“Performance Compensation Award”).</w:t>
            </w:r>
          </w:p>
        </w:tc>
      </w:tr>
      <w:tr>
        <w:trPr>
          <w:trHeight w:val="333"/>
        </w:trPr>
        <w:tc>
          <w:tcPr>
            <w:tcW w:w="2120" w:type="dxa"/>
            <w:vAlign w:val="bottom"/>
            <w:shd w:val="clear" w:color="auto" w:fill="F3F9FD"/>
          </w:tcPr>
          <w:p>
            <w:pPr>
              <w:spacing w:after="0"/>
              <w:rPr>
                <w:sz w:val="24"/>
                <w:szCs w:val="24"/>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The threshold and maximum cash incentive compensation potential is structured as 75% and 125%</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of target, respectively, for the NEOs and all applicable employees.</w:t>
            </w:r>
          </w:p>
        </w:tc>
      </w:tr>
      <w:tr>
        <w:trPr>
          <w:trHeight w:val="345"/>
        </w:trPr>
        <w:tc>
          <w:tcPr>
            <w:tcW w:w="2120" w:type="dxa"/>
            <w:vAlign w:val="bottom"/>
            <w:shd w:val="clear" w:color="auto" w:fill="F3F9FD"/>
          </w:tcPr>
          <w:p>
            <w:pPr>
              <w:spacing w:after="0"/>
              <w:rPr>
                <w:sz w:val="24"/>
                <w:szCs w:val="24"/>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See “Annual Performance Compensation Award” below for detailed information.</w:t>
            </w:r>
          </w:p>
        </w:tc>
      </w:tr>
      <w:tr>
        <w:trPr>
          <w:trHeight w:val="80"/>
        </w:trPr>
        <w:tc>
          <w:tcPr>
            <w:tcW w:w="2120" w:type="dxa"/>
            <w:vAlign w:val="bottom"/>
            <w:shd w:val="clear" w:color="auto" w:fill="F3F9FD"/>
          </w:tcPr>
          <w:p>
            <w:pPr>
              <w:spacing w:after="0"/>
              <w:rPr>
                <w:sz w:val="6"/>
                <w:szCs w:val="6"/>
                <w:color w:val="auto"/>
              </w:rPr>
            </w:pPr>
          </w:p>
        </w:tc>
        <w:tc>
          <w:tcPr>
            <w:tcW w:w="7180" w:type="dxa"/>
            <w:vAlign w:val="bottom"/>
            <w:shd w:val="clear" w:color="auto" w:fill="F3F9FD"/>
          </w:tcPr>
          <w:p>
            <w:pPr>
              <w:spacing w:after="0"/>
              <w:rPr>
                <w:sz w:val="6"/>
                <w:szCs w:val="6"/>
                <w:color w:val="auto"/>
              </w:rPr>
            </w:pPr>
          </w:p>
        </w:tc>
      </w:tr>
      <w:tr>
        <w:trPr>
          <w:trHeight w:val="201"/>
        </w:trPr>
        <w:tc>
          <w:tcPr>
            <w:tcW w:w="2120" w:type="dxa"/>
            <w:vAlign w:val="bottom"/>
          </w:tcPr>
          <w:p>
            <w:pPr>
              <w:ind w:left="120"/>
              <w:spacing w:after="0"/>
              <w:rPr>
                <w:sz w:val="20"/>
                <w:szCs w:val="20"/>
                <w:color w:val="auto"/>
              </w:rPr>
            </w:pPr>
            <w:r>
              <w:rPr>
                <w:rFonts w:ascii="Arial" w:cs="Arial" w:eastAsia="Arial" w:hAnsi="Arial"/>
                <w:sz w:val="15"/>
                <w:szCs w:val="15"/>
                <w:color w:val="2661AB"/>
              </w:rPr>
              <w:t>Long-Term Equity</w:t>
            </w:r>
          </w:p>
        </w:tc>
        <w:tc>
          <w:tcPr>
            <w:tcW w:w="7180" w:type="dxa"/>
            <w:vAlign w:val="bottom"/>
          </w:tcPr>
          <w:p>
            <w:pPr>
              <w:ind w:left="360"/>
              <w:spacing w:after="0"/>
              <w:rPr>
                <w:sz w:val="20"/>
                <w:szCs w:val="20"/>
                <w:color w:val="auto"/>
              </w:rPr>
            </w:pPr>
            <w:r>
              <w:rPr>
                <w:rFonts w:ascii="Arial" w:cs="Arial" w:eastAsia="Arial" w:hAnsi="Arial"/>
                <w:sz w:val="15"/>
                <w:szCs w:val="15"/>
                <w:color w:val="auto"/>
              </w:rPr>
              <w:t>The Compensation Committee recommended, and the Board adopted, a prospective (upfront)</w:t>
            </w:r>
          </w:p>
        </w:tc>
      </w:tr>
      <w:tr>
        <w:trPr>
          <w:trHeight w:val="205"/>
        </w:trPr>
        <w:tc>
          <w:tcPr>
            <w:tcW w:w="2120" w:type="dxa"/>
            <w:vAlign w:val="bottom"/>
          </w:tcPr>
          <w:p>
            <w:pPr>
              <w:ind w:left="120"/>
              <w:spacing w:after="0"/>
              <w:rPr>
                <w:sz w:val="20"/>
                <w:szCs w:val="20"/>
                <w:color w:val="auto"/>
              </w:rPr>
            </w:pPr>
            <w:r>
              <w:rPr>
                <w:rFonts w:ascii="Arial" w:cs="Arial" w:eastAsia="Arial" w:hAnsi="Arial"/>
                <w:sz w:val="15"/>
                <w:szCs w:val="15"/>
                <w:color w:val="2661AB"/>
              </w:rPr>
              <w:t>Incentive Compensation</w:t>
            </w:r>
          </w:p>
        </w:tc>
        <w:tc>
          <w:tcPr>
            <w:tcW w:w="7180" w:type="dxa"/>
            <w:vAlign w:val="bottom"/>
          </w:tcPr>
          <w:p>
            <w:pPr>
              <w:ind w:left="360"/>
              <w:spacing w:after="0"/>
              <w:rPr>
                <w:sz w:val="20"/>
                <w:szCs w:val="20"/>
                <w:color w:val="auto"/>
              </w:rPr>
            </w:pPr>
            <w:r>
              <w:rPr>
                <w:rFonts w:ascii="Arial" w:cs="Arial" w:eastAsia="Arial" w:hAnsi="Arial"/>
                <w:sz w:val="15"/>
                <w:szCs w:val="15"/>
                <w:color w:val="auto"/>
              </w:rPr>
              <w:t>value-based approach to making equity grants, which includes total grant values aligned with market</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levels and equity grants being made at the beginning of the fiscal year.</w:t>
            </w:r>
          </w:p>
        </w:tc>
      </w:tr>
      <w:tr>
        <w:trPr>
          <w:trHeight w:val="345"/>
        </w:trPr>
        <w:tc>
          <w:tcPr>
            <w:tcW w:w="2120" w:type="dxa"/>
            <w:vAlign w:val="bottom"/>
          </w:tcPr>
          <w:p>
            <w:pPr>
              <w:spacing w:after="0"/>
              <w:rPr>
                <w:sz w:val="24"/>
                <w:szCs w:val="24"/>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Annual long-term incentive compensation will be a mix of 50% performance-based equity grants</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(“Performance Share-Based Award”) and 50% service-based restricted equity grants (“Restricted</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Share Award”). Performance Share-Based Awards have a longer, three-year performance period,</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with payouts based on achieving targeted three-year compound annual growth rates (“CAGR”) in</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revenues over the measurement period (“Performance Period”). The longer Performance Period is</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intended to motivate sustained performance for stockholders over a number of years.</w:t>
            </w:r>
          </w:p>
        </w:tc>
      </w:tr>
      <w:tr>
        <w:trPr>
          <w:trHeight w:val="333"/>
        </w:trPr>
        <w:tc>
          <w:tcPr>
            <w:tcW w:w="2120" w:type="dxa"/>
            <w:vAlign w:val="bottom"/>
          </w:tcPr>
          <w:p>
            <w:pPr>
              <w:spacing w:after="0"/>
              <w:rPr>
                <w:sz w:val="24"/>
                <w:szCs w:val="24"/>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The changes in long-term incentive compensation increase the emphasis on and broaden</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participation in the Company’s equity compensation program.</w:t>
            </w:r>
          </w:p>
        </w:tc>
      </w:tr>
      <w:tr>
        <w:trPr>
          <w:trHeight w:val="345"/>
        </w:trPr>
        <w:tc>
          <w:tcPr>
            <w:tcW w:w="2120" w:type="dxa"/>
            <w:vAlign w:val="bottom"/>
          </w:tcPr>
          <w:p>
            <w:pPr>
              <w:spacing w:after="0"/>
              <w:rPr>
                <w:sz w:val="24"/>
                <w:szCs w:val="24"/>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See “Annual Equity Incentives” below for detailed information.</w:t>
            </w:r>
          </w:p>
        </w:tc>
      </w:tr>
      <w:tr>
        <w:trPr>
          <w:trHeight w:val="80"/>
        </w:trPr>
        <w:tc>
          <w:tcPr>
            <w:tcW w:w="2120" w:type="dxa"/>
            <w:vAlign w:val="bottom"/>
          </w:tcPr>
          <w:p>
            <w:pPr>
              <w:spacing w:after="0"/>
              <w:rPr>
                <w:sz w:val="6"/>
                <w:szCs w:val="6"/>
                <w:color w:val="auto"/>
              </w:rPr>
            </w:pPr>
          </w:p>
        </w:tc>
        <w:tc>
          <w:tcPr>
            <w:tcW w:w="7180" w:type="dxa"/>
            <w:vAlign w:val="bottom"/>
          </w:tcPr>
          <w:p>
            <w:pPr>
              <w:spacing w:after="0"/>
              <w:rPr>
                <w:sz w:val="6"/>
                <w:szCs w:val="6"/>
                <w:color w:val="auto"/>
              </w:rPr>
            </w:pPr>
          </w:p>
        </w:tc>
      </w:tr>
      <w:tr>
        <w:trPr>
          <w:trHeight w:val="201"/>
        </w:trPr>
        <w:tc>
          <w:tcPr>
            <w:tcW w:w="2120" w:type="dxa"/>
            <w:vAlign w:val="bottom"/>
            <w:shd w:val="clear" w:color="auto" w:fill="F3F9FD"/>
          </w:tcPr>
          <w:p>
            <w:pPr>
              <w:ind w:left="120"/>
              <w:spacing w:after="0"/>
              <w:rPr>
                <w:sz w:val="20"/>
                <w:szCs w:val="20"/>
                <w:color w:val="auto"/>
              </w:rPr>
            </w:pPr>
            <w:r>
              <w:rPr>
                <w:rFonts w:ascii="Arial" w:cs="Arial" w:eastAsia="Arial" w:hAnsi="Arial"/>
                <w:sz w:val="15"/>
                <w:szCs w:val="15"/>
                <w:color w:val="2661AB"/>
              </w:rPr>
              <w:t>Change-in-Control</w:t>
            </w: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The Compensation Committee recommended, and the Board adopted, a Change in Control</w:t>
            </w:r>
          </w:p>
        </w:tc>
      </w:tr>
      <w:tr>
        <w:trPr>
          <w:trHeight w:val="205"/>
        </w:trPr>
        <w:tc>
          <w:tcPr>
            <w:tcW w:w="2120" w:type="dxa"/>
            <w:vAlign w:val="bottom"/>
            <w:shd w:val="clear" w:color="auto" w:fill="F3F9FD"/>
          </w:tcPr>
          <w:p>
            <w:pPr>
              <w:ind w:left="120"/>
              <w:spacing w:after="0"/>
              <w:rPr>
                <w:sz w:val="20"/>
                <w:szCs w:val="20"/>
                <w:color w:val="auto"/>
              </w:rPr>
            </w:pPr>
            <w:r>
              <w:rPr>
                <w:rFonts w:ascii="Arial" w:cs="Arial" w:eastAsia="Arial" w:hAnsi="Arial"/>
                <w:sz w:val="15"/>
                <w:szCs w:val="15"/>
                <w:color w:val="2661AB"/>
              </w:rPr>
              <w:t>Compensation</w:t>
            </w: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retention program (the “Change in Control Retention Program”) for the NEOs and certain members</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of management. As the Company continues to undertake the Strategic Alternative Process, the</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Compensation Committee, with the assistance of Pearl Meyer, designed the Change in Control</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Retention Program to retain NEOS and key employees in the event of a Change in Control. Pearl</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Meyer provided an analysis of typical plan designs, rationale, advantages and disadvantages based</w:t>
            </w:r>
          </w:p>
        </w:tc>
      </w:tr>
      <w:tr>
        <w:trPr>
          <w:trHeight w:val="205"/>
        </w:trPr>
        <w:tc>
          <w:tcPr>
            <w:tcW w:w="2120" w:type="dxa"/>
            <w:vAlign w:val="bottom"/>
            <w:shd w:val="clear" w:color="auto" w:fill="F3F9FD"/>
          </w:tcPr>
          <w:p>
            <w:pPr>
              <w:spacing w:after="0"/>
              <w:rPr>
                <w:sz w:val="17"/>
                <w:szCs w:val="17"/>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on their expertise and market survey data.</w:t>
            </w:r>
          </w:p>
        </w:tc>
      </w:tr>
      <w:tr>
        <w:trPr>
          <w:trHeight w:val="345"/>
        </w:trPr>
        <w:tc>
          <w:tcPr>
            <w:tcW w:w="2120" w:type="dxa"/>
            <w:vAlign w:val="bottom"/>
            <w:shd w:val="clear" w:color="auto" w:fill="F3F9FD"/>
          </w:tcPr>
          <w:p>
            <w:pPr>
              <w:spacing w:after="0"/>
              <w:rPr>
                <w:sz w:val="24"/>
                <w:szCs w:val="24"/>
                <w:color w:val="auto"/>
              </w:rPr>
            </w:pPr>
          </w:p>
        </w:tc>
        <w:tc>
          <w:tcPr>
            <w:tcW w:w="7180" w:type="dxa"/>
            <w:vAlign w:val="bottom"/>
            <w:shd w:val="clear" w:color="auto" w:fill="F3F9FD"/>
          </w:tcPr>
          <w:p>
            <w:pPr>
              <w:ind w:left="360"/>
              <w:spacing w:after="0"/>
              <w:rPr>
                <w:sz w:val="20"/>
                <w:szCs w:val="20"/>
                <w:color w:val="auto"/>
              </w:rPr>
            </w:pPr>
            <w:r>
              <w:rPr>
                <w:rFonts w:ascii="Arial" w:cs="Arial" w:eastAsia="Arial" w:hAnsi="Arial"/>
                <w:sz w:val="15"/>
                <w:szCs w:val="15"/>
                <w:color w:val="auto"/>
              </w:rPr>
              <w:t>See “Change in Control, Separation or Severance Benefits” below for detailed information.</w:t>
            </w:r>
          </w:p>
        </w:tc>
      </w:tr>
      <w:tr>
        <w:trPr>
          <w:trHeight w:val="80"/>
        </w:trPr>
        <w:tc>
          <w:tcPr>
            <w:tcW w:w="2120" w:type="dxa"/>
            <w:vAlign w:val="bottom"/>
            <w:shd w:val="clear" w:color="auto" w:fill="F3F9FD"/>
          </w:tcPr>
          <w:p>
            <w:pPr>
              <w:spacing w:after="0"/>
              <w:rPr>
                <w:sz w:val="6"/>
                <w:szCs w:val="6"/>
                <w:color w:val="auto"/>
              </w:rPr>
            </w:pPr>
          </w:p>
        </w:tc>
        <w:tc>
          <w:tcPr>
            <w:tcW w:w="7180" w:type="dxa"/>
            <w:vAlign w:val="bottom"/>
            <w:shd w:val="clear" w:color="auto" w:fill="F3F9FD"/>
          </w:tcPr>
          <w:p>
            <w:pPr>
              <w:spacing w:after="0"/>
              <w:rPr>
                <w:sz w:val="6"/>
                <w:szCs w:val="6"/>
                <w:color w:val="auto"/>
              </w:rPr>
            </w:pPr>
          </w:p>
        </w:tc>
      </w:tr>
      <w:tr>
        <w:trPr>
          <w:trHeight w:val="201"/>
        </w:trPr>
        <w:tc>
          <w:tcPr>
            <w:tcW w:w="2120" w:type="dxa"/>
            <w:vAlign w:val="bottom"/>
          </w:tcPr>
          <w:p>
            <w:pPr>
              <w:ind w:left="120"/>
              <w:spacing w:after="0"/>
              <w:rPr>
                <w:sz w:val="20"/>
                <w:szCs w:val="20"/>
                <w:color w:val="auto"/>
              </w:rPr>
            </w:pPr>
            <w:r>
              <w:rPr>
                <w:rFonts w:ascii="Arial" w:cs="Arial" w:eastAsia="Arial" w:hAnsi="Arial"/>
                <w:sz w:val="15"/>
                <w:szCs w:val="15"/>
                <w:color w:val="2661AB"/>
              </w:rPr>
              <w:t>Transaction Bonus</w:t>
            </w:r>
          </w:p>
        </w:tc>
        <w:tc>
          <w:tcPr>
            <w:tcW w:w="7180" w:type="dxa"/>
            <w:vAlign w:val="bottom"/>
          </w:tcPr>
          <w:p>
            <w:pPr>
              <w:ind w:left="360"/>
              <w:spacing w:after="0"/>
              <w:rPr>
                <w:sz w:val="20"/>
                <w:szCs w:val="20"/>
                <w:color w:val="auto"/>
              </w:rPr>
            </w:pPr>
            <w:r>
              <w:rPr>
                <w:rFonts w:ascii="Arial" w:cs="Arial" w:eastAsia="Arial" w:hAnsi="Arial"/>
                <w:sz w:val="15"/>
                <w:szCs w:val="15"/>
                <w:color w:val="auto"/>
              </w:rPr>
              <w:t>The Compensation Committee recommended, and the Board adopted, a Transaction Bonus</w:t>
            </w:r>
          </w:p>
        </w:tc>
      </w:tr>
      <w:tr>
        <w:trPr>
          <w:trHeight w:val="205"/>
        </w:trPr>
        <w:tc>
          <w:tcPr>
            <w:tcW w:w="2120" w:type="dxa"/>
            <w:vAlign w:val="bottom"/>
          </w:tcPr>
          <w:p>
            <w:pPr>
              <w:ind w:left="120"/>
              <w:spacing w:after="0"/>
              <w:rPr>
                <w:sz w:val="20"/>
                <w:szCs w:val="20"/>
                <w:color w:val="auto"/>
              </w:rPr>
            </w:pPr>
            <w:r>
              <w:rPr>
                <w:rFonts w:ascii="Arial" w:cs="Arial" w:eastAsia="Arial" w:hAnsi="Arial"/>
                <w:sz w:val="15"/>
                <w:szCs w:val="15"/>
                <w:color w:val="2661AB"/>
              </w:rPr>
              <w:t>Compensation</w:t>
            </w:r>
          </w:p>
        </w:tc>
        <w:tc>
          <w:tcPr>
            <w:tcW w:w="7180" w:type="dxa"/>
            <w:vAlign w:val="bottom"/>
          </w:tcPr>
          <w:p>
            <w:pPr>
              <w:ind w:left="360"/>
              <w:spacing w:after="0"/>
              <w:rPr>
                <w:sz w:val="20"/>
                <w:szCs w:val="20"/>
                <w:color w:val="auto"/>
              </w:rPr>
            </w:pPr>
            <w:r>
              <w:rPr>
                <w:rFonts w:ascii="Arial" w:cs="Arial" w:eastAsia="Arial" w:hAnsi="Arial"/>
                <w:sz w:val="15"/>
                <w:szCs w:val="15"/>
                <w:color w:val="auto"/>
              </w:rPr>
              <w:t>(“Transaction Bonus”) in August 2024 in connection with the Strategic Alternatives Process. The</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Transaction Bonus incentivizes the NEOs to achieve a transaction value for the Company starting at</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$28 per share with further incentives up to $40 per share or more. The Compensation Committee</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worked closely with Pearl Meyer in designing the Transaction Bonus structure. In October 2024, the</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Compensation Committee recommended, and the Board approved, a similar program for Company</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Vice Presidents with a pool base of $1.0 million to incentivize those individuals whose contribution is</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critical to the Strategic Alternatives Process. In the event the Company does not consummate a</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transaction in connection with the Strategic Alternatives Process, no Transaction Bonuses will be</w:t>
            </w:r>
          </w:p>
        </w:tc>
      </w:tr>
      <w:tr>
        <w:trPr>
          <w:trHeight w:val="205"/>
        </w:trPr>
        <w:tc>
          <w:tcPr>
            <w:tcW w:w="2120" w:type="dxa"/>
            <w:vAlign w:val="bottom"/>
          </w:tcPr>
          <w:p>
            <w:pPr>
              <w:spacing w:after="0"/>
              <w:rPr>
                <w:sz w:val="17"/>
                <w:szCs w:val="17"/>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paid.</w:t>
            </w:r>
          </w:p>
        </w:tc>
      </w:tr>
      <w:tr>
        <w:trPr>
          <w:trHeight w:val="345"/>
        </w:trPr>
        <w:tc>
          <w:tcPr>
            <w:tcW w:w="2120" w:type="dxa"/>
            <w:vAlign w:val="bottom"/>
          </w:tcPr>
          <w:p>
            <w:pPr>
              <w:spacing w:after="0"/>
              <w:rPr>
                <w:sz w:val="24"/>
                <w:szCs w:val="24"/>
                <w:color w:val="auto"/>
              </w:rPr>
            </w:pPr>
          </w:p>
        </w:tc>
        <w:tc>
          <w:tcPr>
            <w:tcW w:w="7180" w:type="dxa"/>
            <w:vAlign w:val="bottom"/>
          </w:tcPr>
          <w:p>
            <w:pPr>
              <w:ind w:left="360"/>
              <w:spacing w:after="0"/>
              <w:rPr>
                <w:sz w:val="20"/>
                <w:szCs w:val="20"/>
                <w:color w:val="auto"/>
              </w:rPr>
            </w:pPr>
            <w:r>
              <w:rPr>
                <w:rFonts w:ascii="Arial" w:cs="Arial" w:eastAsia="Arial" w:hAnsi="Arial"/>
                <w:sz w:val="15"/>
                <w:szCs w:val="15"/>
                <w:color w:val="auto"/>
              </w:rPr>
              <w:t>See “Transaction Bonus” below for detailed information.</w:t>
            </w:r>
          </w:p>
        </w:tc>
      </w:tr>
    </w:tbl>
    <w:p>
      <w:pPr>
        <w:ind w:left="360"/>
        <w:spacing w:after="0"/>
        <w:rPr>
          <w:sz w:val="20"/>
          <w:szCs w:val="20"/>
          <w:color w:val="auto"/>
        </w:rPr>
        <w:sectPr>
          <w:pgSz w:w="11900" w:h="16838" w:orient="portrait"/>
          <w:cols w:equalWidth="0" w:num="1">
            <w:col w:w="9300"/>
          </w:cols>
          <w:pgMar w:left="1300" w:top="1278" w:right="1299" w:bottom="1440" w:gutter="0" w:footer="0" w:header="0"/>
        </w:sect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278" w:right="12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Oversight of Executive Compensation</w:t>
      </w:r>
    </w:p>
    <w:p>
      <w:pPr>
        <w:spacing w:after="0" w:line="20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i w:val="1"/>
          <w:iCs w:val="1"/>
          <w:color w:val="auto"/>
        </w:rPr>
        <w:t xml:space="preserve">The Role of the Compensation Committee in Setting Compensation. </w:t>
      </w:r>
      <w:r>
        <w:rPr>
          <w:rFonts w:ascii="Arial" w:cs="Arial" w:eastAsia="Arial" w:hAnsi="Arial"/>
          <w:sz w:val="15"/>
          <w:szCs w:val="15"/>
          <w:color w:val="auto"/>
        </w:rPr>
        <w:t>Our Compensation Committee determines our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philosophy and the compensation for our executive officers, considering individual and corporate achievements. During the first quarter of each fiscal year, the Compensation Committee establishes performance goals for cash and equity incentive compensation for each NEO and, at the end of that fiscal year, determines the level of attainment of those established goals.</w:t>
      </w:r>
    </w:p>
    <w:p>
      <w:pPr>
        <w:spacing w:after="0" w:line="10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Compensation Committee believes it is important to be informed as to the current practices of other companies in our industry and/or similar in size or other attributes to the Company and to set compensation levels for our NEOs that are competitive with such peer companies. As a result, in determining compensation levels for our NEOs and for purposes of determining any potential payments to our NEOs under our annual cash and equity incentive programs, the Compensation Committee periodically reviews and compares available salary and incentive information of other companies. As set forth above, the Compensation Committee retains an independent compensation consultant every two (2) years to assist with reviewing the compensation structure for executive officers. As a part of such review, the Compensation Committee compares each component of the Company’s compensation program to the compensation paid to equivalent executive officers at peer companies, with a goal of setting competitive compensation levels for each of our NEOs. Between formal engagements or market reviews, the Committee may also adjust compensation levels for our NEOs based on information regarding broader market trends and practices. The results of any such benchmarking activities are utilized in designing our compensation program described in “Elements of Compensation.”</w:t>
      </w:r>
    </w:p>
    <w:p>
      <w:pPr>
        <w:spacing w:after="0" w:line="102" w:lineRule="exact"/>
        <w:rPr>
          <w:sz w:val="20"/>
          <w:szCs w:val="20"/>
          <w:color w:val="auto"/>
        </w:rPr>
      </w:pPr>
    </w:p>
    <w:p>
      <w:pPr>
        <w:ind w:right="180"/>
        <w:spacing w:after="0" w:line="297" w:lineRule="auto"/>
        <w:rPr>
          <w:sz w:val="20"/>
          <w:szCs w:val="20"/>
          <w:color w:val="auto"/>
        </w:rPr>
      </w:pPr>
      <w:r>
        <w:rPr>
          <w:rFonts w:ascii="Arial" w:cs="Arial" w:eastAsia="Arial" w:hAnsi="Arial"/>
          <w:sz w:val="15"/>
          <w:szCs w:val="15"/>
          <w:i w:val="1"/>
          <w:iCs w:val="1"/>
          <w:color w:val="auto"/>
        </w:rPr>
        <w:t>The Role of Executives in Setting Compensation</w:t>
      </w:r>
      <w:r>
        <w:rPr>
          <w:rFonts w:ascii="Arial" w:cs="Arial" w:eastAsia="Arial" w:hAnsi="Arial"/>
          <w:sz w:val="15"/>
          <w:szCs w:val="15"/>
          <w:color w:val="auto"/>
        </w:rPr>
        <w:t>. Each NEO participates in an annual performance review with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Other senior management team members participate in an annual performance review with our President and Chief Executive Officer or other NEO, depending on their reporting structure, to provide input about his or her contributions to our success for the period being assessed.</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Risk Assessment</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formulating and evaluating material elements of compensation, the Compensation Committee considers whether any such programs may encourage excessive risk-taking behavior. Based on such review, the Compensation Committee concluded that the risks arising from our compensation policies and practices are not reasonably likely to have a material adverse effect on the Company. In making such determination, the Compensation Committee considered the many design features that mitigate the likelihood of inducing excessive risk-taking behavior. In particular, the Compensation Committee believes that our use of Performance Share-Based Awards and Restricted Share Awards, as the primary equity feature in the compensation program, minimizes the risk that a NEOs’ short-term interests may not align with longer-term interests of stockholders.</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Our Ethics Code is applicable to directors, officers, employees, and temporary agency staff members of the Company (collectively, “Covered Persons”). The Company’s policy is to promote high standards of integrity by conducting its affairs honestly and ethically. Each Covered Person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 The Company and the Covered Persons, without exception must act in compliance with the laws, rules, and regulations (including insider trading laws) applicable to the Company in the country, state, and city in which they operate. These laws include compliance with the Foreign Corrupt Practices Act, competition laws and money laundering laws.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438BCB"/>
        </w:rPr>
        <w:t>Elements of Compensation</w:t>
      </w:r>
    </w:p>
    <w:p>
      <w:pPr>
        <w:spacing w:after="0" w:line="200"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Prior to the end of each fiscal year, the Compensation Committee reviews the proposed total compensation package for the next fiscal year for the NEOs and Vice Presidents (the “Compensation Schedules”). The Compensation Schedules are developed using the financial targets from the proposed budget for the relevant performance year. The Compensation Schedules are prepared by the Executive Vice President and Chief Financial Officer, in conjunction with the recommendations of the President and Chief Executive Officer. After review, the Compensation Committee makes its recommendation with respect to the Compensation Schedules to the Board for approval.</w:t>
      </w:r>
    </w:p>
    <w:p>
      <w:pPr>
        <w:sectPr>
          <w:pgSz w:w="11900" w:h="16838" w:orient="portrait"/>
          <w:cols w:equalWidth="0" w:num="1">
            <w:col w:w="9340"/>
          </w:cols>
          <w:pgMar w:left="1300" w:top="119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6" w:right="12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2661A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Base Salaries</w:t>
      </w:r>
    </w:p>
    <w:p>
      <w:pPr>
        <w:spacing w:after="0" w:line="9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We provide our NEOs with a base salary to compensate them for services rendered during the fiscal year and for sustained performance. The purpose of the base salary is to reflect job responsibilities, value to the Company and competitiveness of the market. The Compensation Committee determines base salaries for our NEOs based on the following factors: nature and responsibility of the position and, to the extent available, salary norms for comparable positions; the information and advice provided by the Company’s independent compensation consultant, Pearl Meyer; the expertise of the individual executive; the competitiveness of the market for the executive’s services; and the recommendations of our President and Chief Executive Officer. The Compensation Committee believes that the base salary of each of the NEOs, particularly considering each of their total compensation packages, is competitive with the market.</w:t>
      </w:r>
    </w:p>
    <w:p>
      <w:pPr>
        <w:spacing w:after="0" w:line="109" w:lineRule="exact"/>
        <w:rPr>
          <w:sz w:val="20"/>
          <w:szCs w:val="20"/>
          <w:color w:val="auto"/>
        </w:rPr>
      </w:pPr>
    </w:p>
    <w:p>
      <w:pPr>
        <w:ind w:right="160"/>
        <w:spacing w:after="0" w:line="324" w:lineRule="auto"/>
        <w:rPr>
          <w:sz w:val="20"/>
          <w:szCs w:val="20"/>
          <w:color w:val="auto"/>
        </w:rPr>
      </w:pPr>
      <w:r>
        <w:rPr>
          <w:rFonts w:ascii="Arial" w:cs="Arial" w:eastAsia="Arial" w:hAnsi="Arial"/>
          <w:sz w:val="15"/>
          <w:szCs w:val="15"/>
          <w:color w:val="auto"/>
        </w:rPr>
        <w:t>For fiscal year 2024, Mr. Edwards did not receive an increase. Mr. Palamountain received a promotion in April 2024, in conjunction with our corporate restructuring. As a result, his base salary increased $30,000 to $450,000.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Annual Performance Compensation Award</w:t>
      </w:r>
    </w:p>
    <w:p>
      <w:pPr>
        <w:spacing w:after="0" w:line="103"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color w:val="auto"/>
        </w:rPr>
        <w:t>Prior to fiscal year 2024, our practice was to pay an annual cash incentive after the end of the respective fiscal year based upon the achievement of performance objectives established by the Compensation Committee at the beginning of each year.</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For fiscal year 2024, the Compensation Committee recommended, and the Board adopted, annual cash incentive compensation with an individual strategic performance component, such that 70% of the cash incentive compensation is based on the Company’s adjusted EBITDA performance relative to goals, and 30% is based on achievement of individual strategic performance objectives, subject to the negative discretion of our Compensation Committee. Any bonuses earned under the program in respect of a fiscal year are paid in a cash lump sum on or after October 31 of the performance year but on or before January 31 of the year following the performance year. As a part of the fiscal year 2024 bonus restructuring, and working with Pearl Meyer, as described above, the amount of the annual performance compensation award was set with a threshold equal to 75%, target equal to 100% and maximum equal to 125% of Adjusted EBITDA as set forth in the budget approved by the Board.</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For fiscal year 2024, our NEOs were eligible to receive cash incentive compensation in an amount equal to 37.5% for Mr. Edwards and 30% for Mr. Palamountain of their respective base salaries if the Company achieved adjusted EBITDA of at least $11.2 million. The amount of potential cash incentives our NEOs were eligible to receive increased incrementally up to a maximum of 150% for Mr. Edwards and 120% for Mr. Palamountain of their respective base salaries if the Company achieved adjusted EBITDA of at least $18.8 million. Due to significant depreciable assets associated with the nature of our operations and interest costs associated with our capital structure, management believes that EBITDA and adjusted EBITDA, which excludes stock-based compensation, NEO cash severance, pension settlement cost, impairment of intangible assets, gain on disposal of assets, net, cash bonus related to sale of assets, gain on legal settlement and severance benefits; are important measures to evaluate our results of operations between periods on a more comparable basis. For fiscal year 2024, the Compensation Committee approved payment of cash incentive compensation based on modified adjusted EBITDA, which excludes $18.2 million of earnings subject to the SSP bonus, $0.9 million SSP cash bonus payments and $1.7 million of costs related to strategic alternatives or governance. EBITDA, adjusted EBITDA, and modified adjusted EBITDA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18"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Mr. Edwards received a payout of 44% equal to $295,779 based on his achievement of 47.5% of his performance objectives and the Company’s achievement of 79% of modified adjusted EBITDA. Mr. Palamountain received a payout of 35% equal to $182,520 based on his achievement of 90% of his performance objectives and the Company’s achievement of 79% of modified adjusted EBITDA.</w:t>
      </w:r>
    </w:p>
    <w:p>
      <w:pPr>
        <w:sectPr>
          <w:pgSz w:w="11900" w:h="16838" w:orient="portrait"/>
          <w:cols w:equalWidth="0" w:num="1">
            <w:col w:w="9320"/>
          </w:cols>
          <w:pgMar w:left="1300" w:top="11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197" w:right="1279" w:bottom="1440" w:gutter="0" w:footer="0" w:header="0"/>
          <w:type w:val="continuous"/>
        </w:sectPr>
      </w:pPr>
    </w:p>
    <w:bookmarkStart w:id="40" w:name="page41"/>
    <w:bookmarkEnd w:id="40"/>
    <w:p>
      <w:pPr>
        <w:ind w:right="32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Borders>
              <w:right w:val="single" w:sz="8" w:color="E5E9ED"/>
            </w:tcBorders>
            <w:shd w:val="clear" w:color="auto" w:fill="E5E9ED"/>
          </w:tcPr>
          <w:p>
            <w:pPr>
              <w:spacing w:after="0"/>
              <w:rPr>
                <w:sz w:val="19"/>
                <w:szCs w:val="19"/>
                <w:color w:val="auto"/>
              </w:rPr>
            </w:pPr>
          </w:p>
        </w:tc>
        <w:tc>
          <w:tcPr>
            <w:tcW w:w="3000" w:type="dxa"/>
            <w:vAlign w:val="bottom"/>
            <w:gridSpan w:val="3"/>
            <w:shd w:val="clear" w:color="auto" w:fill="E5E9ED"/>
          </w:tcPr>
          <w:p>
            <w:pPr>
              <w:ind w:left="1200"/>
              <w:spacing w:after="0"/>
              <w:rPr>
                <w:sz w:val="20"/>
                <w:szCs w:val="20"/>
                <w:color w:val="auto"/>
              </w:rPr>
            </w:pPr>
            <w:r>
              <w:rPr>
                <w:rFonts w:ascii="Arial" w:cs="Arial" w:eastAsia="Arial" w:hAnsi="Arial"/>
                <w:sz w:val="14"/>
                <w:szCs w:val="14"/>
                <w:b w:val="1"/>
                <w:bCs w:val="1"/>
                <w:color w:val="auto"/>
              </w:rPr>
              <w:t>Years Ended October 31,</w:t>
            </w:r>
          </w:p>
        </w:tc>
        <w:tc>
          <w:tcPr>
            <w:tcW w:w="1020" w:type="dxa"/>
            <w:vAlign w:val="bottom"/>
            <w:shd w:val="clear" w:color="auto" w:fill="E5E9ED"/>
          </w:tcPr>
          <w:p>
            <w:pPr>
              <w:spacing w:after="0"/>
              <w:rPr>
                <w:sz w:val="19"/>
                <w:szCs w:val="19"/>
                <w:color w:val="auto"/>
              </w:rPr>
            </w:pPr>
          </w:p>
        </w:tc>
      </w:tr>
      <w:tr>
        <w:trPr>
          <w:trHeight w:val="256"/>
        </w:trPr>
        <w:tc>
          <w:tcPr>
            <w:tcW w:w="5280" w:type="dxa"/>
            <w:vAlign w:val="bottom"/>
            <w:tcBorders>
              <w:right w:val="single" w:sz="8" w:color="E5E9ED"/>
            </w:tcBorders>
            <w:shd w:val="clear" w:color="auto" w:fill="E5E9ED"/>
          </w:tcPr>
          <w:p>
            <w:pPr>
              <w:spacing w:after="0"/>
              <w:rPr>
                <w:sz w:val="22"/>
                <w:szCs w:val="22"/>
                <w:color w:val="auto"/>
              </w:rPr>
            </w:pPr>
          </w:p>
        </w:tc>
        <w:tc>
          <w:tcPr>
            <w:tcW w:w="1340" w:type="dxa"/>
            <w:vAlign w:val="bottom"/>
            <w:tcBorders>
              <w:right w:val="single" w:sz="8" w:color="E5E9ED"/>
            </w:tcBorders>
            <w:shd w:val="clear" w:color="auto" w:fill="E5E9ED"/>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right w:val="single" w:sz="8" w:color="E5E9ED"/>
            </w:tcBorders>
            <w:shd w:val="clear" w:color="auto" w:fill="E5E9ED"/>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300" w:type="dxa"/>
            <w:vAlign w:val="bottom"/>
            <w:shd w:val="clear" w:color="auto" w:fill="E5E9ED"/>
          </w:tcPr>
          <w:p>
            <w:pPr>
              <w:spacing w:after="0"/>
              <w:rPr>
                <w:sz w:val="22"/>
                <w:szCs w:val="22"/>
                <w:color w:val="auto"/>
              </w:rPr>
            </w:pPr>
          </w:p>
        </w:tc>
        <w:tc>
          <w:tcPr>
            <w:tcW w:w="1020" w:type="dxa"/>
            <w:vAlign w:val="bottom"/>
            <w:shd w:val="clear" w:color="auto" w:fill="E5E9ED"/>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199"/>
        </w:trPr>
        <w:tc>
          <w:tcPr>
            <w:tcW w:w="5280" w:type="dxa"/>
            <w:vAlign w:val="bottom"/>
            <w:tcBorders>
              <w:bottom w:val="single" w:sz="8" w:color="EBF7FC"/>
              <w:right w:val="single" w:sz="8" w:color="E5E9ED"/>
            </w:tcBorders>
            <w:shd w:val="clear" w:color="auto" w:fill="E5E9ED"/>
          </w:tcPr>
          <w:p>
            <w:pPr>
              <w:spacing w:after="0"/>
              <w:rPr>
                <w:sz w:val="17"/>
                <w:szCs w:val="17"/>
                <w:color w:val="auto"/>
              </w:rPr>
            </w:pPr>
          </w:p>
        </w:tc>
        <w:tc>
          <w:tcPr>
            <w:tcW w:w="1340" w:type="dxa"/>
            <w:vAlign w:val="bottom"/>
            <w:tcBorders>
              <w:bottom w:val="single" w:sz="8" w:color="EBF7FC"/>
              <w:right w:val="single" w:sz="8" w:color="E5E9ED"/>
            </w:tcBorders>
            <w:shd w:val="clear" w:color="auto" w:fill="E5E9ED"/>
          </w:tcPr>
          <w:p>
            <w:pPr>
              <w:jc w:val="right"/>
              <w:ind w:right="53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EBF7FC"/>
              <w:right w:val="single" w:sz="8" w:color="E5E9ED"/>
            </w:tcBorders>
            <w:shd w:val="clear" w:color="auto" w:fill="E5E9ED"/>
          </w:tcPr>
          <w:p>
            <w:pPr>
              <w:jc w:val="right"/>
              <w:ind w:right="5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EBF7FC"/>
            </w:tcBorders>
            <w:shd w:val="clear" w:color="auto" w:fill="E5E9ED"/>
          </w:tcPr>
          <w:p>
            <w:pPr>
              <w:spacing w:after="0"/>
              <w:rPr>
                <w:sz w:val="17"/>
                <w:szCs w:val="17"/>
                <w:color w:val="auto"/>
              </w:rPr>
            </w:pPr>
          </w:p>
        </w:tc>
        <w:tc>
          <w:tcPr>
            <w:tcW w:w="1020" w:type="dxa"/>
            <w:vAlign w:val="bottom"/>
            <w:tcBorders>
              <w:bottom w:val="single" w:sz="8" w:color="EBF7FC"/>
            </w:tcBorders>
            <w:shd w:val="clear" w:color="auto" w:fill="E5E9ED"/>
          </w:tcPr>
          <w:p>
            <w:pPr>
              <w:jc w:val="right"/>
              <w:ind w:right="532"/>
              <w:spacing w:after="0"/>
              <w:rPr>
                <w:sz w:val="20"/>
                <w:szCs w:val="20"/>
                <w:color w:val="auto"/>
              </w:rPr>
            </w:pPr>
            <w:r>
              <w:rPr>
                <w:rFonts w:ascii="Arial" w:cs="Arial" w:eastAsia="Arial" w:hAnsi="Arial"/>
                <w:sz w:val="14"/>
                <w:szCs w:val="14"/>
                <w:b w:val="1"/>
                <w:bCs w:val="1"/>
                <w:color w:val="auto"/>
              </w:rPr>
              <w:t>($)</w:t>
            </w:r>
          </w:p>
        </w:tc>
      </w:tr>
      <w:tr>
        <w:trPr>
          <w:trHeight w:val="254"/>
        </w:trPr>
        <w:tc>
          <w:tcPr>
            <w:tcW w:w="5280" w:type="dxa"/>
            <w:vAlign w:val="bottom"/>
            <w:tcBorders>
              <w:right w:val="single" w:sz="8" w:color="EBF7FC"/>
            </w:tcBorders>
          </w:tcPr>
          <w:p>
            <w:pPr>
              <w:ind w:left="80"/>
              <w:spacing w:after="0"/>
              <w:rPr>
                <w:sz w:val="20"/>
                <w:szCs w:val="20"/>
                <w:color w:val="auto"/>
              </w:rPr>
            </w:pPr>
            <w:r>
              <w:rPr>
                <w:rFonts w:ascii="Arial" w:cs="Arial" w:eastAsia="Arial" w:hAnsi="Arial"/>
                <w:sz w:val="14"/>
                <w:szCs w:val="14"/>
                <w:b w:val="1"/>
                <w:bCs w:val="1"/>
                <w:color w:val="auto"/>
              </w:rPr>
              <w:t>Net income (loss) attributable to Limoneira Company</w:t>
            </w:r>
          </w:p>
        </w:tc>
        <w:tc>
          <w:tcPr>
            <w:tcW w:w="1340" w:type="dxa"/>
            <w:vAlign w:val="bottom"/>
            <w:tcBorders>
              <w:right w:val="single" w:sz="8" w:color="EBF7FC"/>
            </w:tcBorders>
          </w:tcPr>
          <w:p>
            <w:pPr>
              <w:jc w:val="right"/>
              <w:ind w:right="52"/>
              <w:spacing w:after="0"/>
              <w:rPr>
                <w:sz w:val="20"/>
                <w:szCs w:val="20"/>
                <w:color w:val="auto"/>
              </w:rPr>
            </w:pPr>
            <w:r>
              <w:rPr>
                <w:rFonts w:ascii="Arial" w:cs="Arial" w:eastAsia="Arial" w:hAnsi="Arial"/>
                <w:sz w:val="14"/>
                <w:szCs w:val="14"/>
                <w:b w:val="1"/>
                <w:bCs w:val="1"/>
                <w:color w:val="auto"/>
              </w:rPr>
              <w:t>7,716</w:t>
            </w:r>
          </w:p>
        </w:tc>
        <w:tc>
          <w:tcPr>
            <w:tcW w:w="1360" w:type="dxa"/>
            <w:vAlign w:val="bottom"/>
            <w:tcBorders>
              <w:right w:val="single" w:sz="8" w:color="EBF7FC"/>
            </w:tcBorders>
          </w:tcPr>
          <w:p>
            <w:pPr>
              <w:jc w:val="right"/>
              <w:ind w:right="32"/>
              <w:spacing w:after="0"/>
              <w:rPr>
                <w:sz w:val="20"/>
                <w:szCs w:val="20"/>
                <w:color w:val="auto"/>
              </w:rPr>
            </w:pPr>
            <w:r>
              <w:rPr>
                <w:rFonts w:ascii="Arial" w:cs="Arial" w:eastAsia="Arial" w:hAnsi="Arial"/>
                <w:sz w:val="14"/>
                <w:szCs w:val="14"/>
                <w:b w:val="1"/>
                <w:bCs w:val="1"/>
                <w:color w:val="auto"/>
              </w:rPr>
              <w:t>9,400​</w:t>
            </w:r>
          </w:p>
        </w:tc>
        <w:tc>
          <w:tcPr>
            <w:tcW w:w="3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(236)​</w:t>
            </w:r>
          </w:p>
        </w:tc>
      </w:tr>
      <w:tr>
        <w:trPr>
          <w:trHeight w:val="52"/>
        </w:trPr>
        <w:tc>
          <w:tcPr>
            <w:tcW w:w="5280" w:type="dxa"/>
            <w:vAlign w:val="bottom"/>
            <w:tcBorders>
              <w:bottom w:val="single" w:sz="8" w:color="EBF7FC"/>
              <w:right w:val="single" w:sz="8" w:color="EBF7FC"/>
            </w:tcBorders>
          </w:tcPr>
          <w:p>
            <w:pPr>
              <w:spacing w:after="0"/>
              <w:rPr>
                <w:sz w:val="4"/>
                <w:szCs w:val="4"/>
                <w:color w:val="auto"/>
              </w:rPr>
            </w:pPr>
          </w:p>
        </w:tc>
        <w:tc>
          <w:tcPr>
            <w:tcW w:w="1340" w:type="dxa"/>
            <w:vAlign w:val="bottom"/>
            <w:tcBorders>
              <w:bottom w:val="single" w:sz="8" w:color="EBF7FC"/>
              <w:right w:val="single" w:sz="8" w:color="EBF7FC"/>
            </w:tcBorders>
          </w:tcPr>
          <w:p>
            <w:pPr>
              <w:spacing w:after="0"/>
              <w:rPr>
                <w:sz w:val="4"/>
                <w:szCs w:val="4"/>
                <w:color w:val="auto"/>
              </w:rPr>
            </w:pPr>
          </w:p>
        </w:tc>
        <w:tc>
          <w:tcPr>
            <w:tcW w:w="1360" w:type="dxa"/>
            <w:vAlign w:val="bottom"/>
            <w:tcBorders>
              <w:bottom w:val="single" w:sz="8" w:color="EBF7FC"/>
              <w:right w:val="single" w:sz="8" w:color="EBF7FC"/>
            </w:tcBorders>
          </w:tcPr>
          <w:p>
            <w:pPr>
              <w:spacing w:after="0"/>
              <w:rPr>
                <w:sz w:val="4"/>
                <w:szCs w:val="4"/>
                <w:color w:val="auto"/>
              </w:rPr>
            </w:pPr>
          </w:p>
        </w:tc>
        <w:tc>
          <w:tcPr>
            <w:tcW w:w="300" w:type="dxa"/>
            <w:vAlign w:val="bottom"/>
            <w:tcBorders>
              <w:bottom w:val="single" w:sz="8" w:color="EBF7FC"/>
            </w:tcBorders>
          </w:tcPr>
          <w:p>
            <w:pPr>
              <w:spacing w:after="0"/>
              <w:rPr>
                <w:sz w:val="4"/>
                <w:szCs w:val="4"/>
                <w:color w:val="auto"/>
              </w:rPr>
            </w:pPr>
          </w:p>
        </w:tc>
        <w:tc>
          <w:tcPr>
            <w:tcW w:w="1020" w:type="dxa"/>
            <w:vAlign w:val="bottom"/>
            <w:tcBorders>
              <w:bottom w:val="single" w:sz="8" w:color="EBF7FC"/>
            </w:tcBorders>
          </w:tcPr>
          <w:p>
            <w:pPr>
              <w:spacing w:after="0"/>
              <w:rPr>
                <w:sz w:val="4"/>
                <w:szCs w:val="4"/>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Interest income</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(118)</w:t>
            </w:r>
          </w:p>
        </w:tc>
        <w:tc>
          <w:tcPr>
            <w:tcW w:w="136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(364)</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(53)</w:t>
            </w:r>
          </w:p>
        </w:tc>
      </w:tr>
      <w:tr>
        <w:trPr>
          <w:trHeight w:val="241"/>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Interest expense, net of patronage dividends</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961</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494</w:t>
            </w:r>
          </w:p>
        </w:tc>
        <w:tc>
          <w:tcPr>
            <w:tcW w:w="300" w:type="dxa"/>
            <w:vAlign w:val="bottom"/>
            <w:tcBorders>
              <w:top w:val="single" w:sz="8" w:color="EBF7FC"/>
            </w:tcBorders>
          </w:tcPr>
          <w:p>
            <w:pPr>
              <w:spacing w:after="0"/>
              <w:rPr>
                <w:sz w:val="20"/>
                <w:szCs w:val="20"/>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2,291</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Income tax provision</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4,373</w:t>
            </w:r>
          </w:p>
        </w:tc>
        <w:tc>
          <w:tcPr>
            <w:tcW w:w="136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4,247</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823</w:t>
            </w:r>
          </w:p>
        </w:tc>
      </w:tr>
      <w:tr>
        <w:trPr>
          <w:trHeight w:val="241"/>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Depreciation and amortization</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8,374</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8,576</w:t>
            </w:r>
          </w:p>
        </w:tc>
        <w:tc>
          <w:tcPr>
            <w:tcW w:w="300" w:type="dxa"/>
            <w:vAlign w:val="bottom"/>
            <w:tcBorders>
              <w:top w:val="single" w:sz="8" w:color="EBF7FC"/>
            </w:tcBorders>
          </w:tcPr>
          <w:p>
            <w:pPr>
              <w:spacing w:after="0"/>
              <w:rPr>
                <w:sz w:val="20"/>
                <w:szCs w:val="20"/>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9,798</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b w:val="1"/>
                <w:bCs w:val="1"/>
                <w:color w:val="auto"/>
              </w:rPr>
              <w:t>EBITDA</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b w:val="1"/>
                <w:bCs w:val="1"/>
                <w:color w:val="auto"/>
              </w:rPr>
              <w:t>21,306</w:t>
            </w:r>
          </w:p>
        </w:tc>
        <w:tc>
          <w:tcPr>
            <w:tcW w:w="1360" w:type="dxa"/>
            <w:vAlign w:val="bottom"/>
            <w:tcBorders>
              <w:bottom w:val="single" w:sz="8" w:color="F3F9FD"/>
              <w:right w:val="single" w:sz="8" w:color="EBF7FC"/>
            </w:tcBorders>
            <w:shd w:val="clear" w:color="auto" w:fill="F3F9FD"/>
          </w:tcPr>
          <w:p>
            <w:pPr>
              <w:jc w:val="right"/>
              <w:ind w:right="32"/>
              <w:spacing w:after="0"/>
              <w:rPr>
                <w:sz w:val="20"/>
                <w:szCs w:val="20"/>
                <w:color w:val="auto"/>
              </w:rPr>
            </w:pPr>
            <w:r>
              <w:rPr>
                <w:rFonts w:ascii="Arial" w:cs="Arial" w:eastAsia="Arial" w:hAnsi="Arial"/>
                <w:sz w:val="14"/>
                <w:szCs w:val="14"/>
                <w:b w:val="1"/>
                <w:bCs w:val="1"/>
                <w:color w:val="auto"/>
              </w:rPr>
              <w:t>22,353​</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12"/>
              <w:spacing w:after="0"/>
              <w:rPr>
                <w:sz w:val="20"/>
                <w:szCs w:val="20"/>
                <w:color w:val="auto"/>
              </w:rPr>
            </w:pPr>
            <w:r>
              <w:rPr>
                <w:rFonts w:ascii="Arial" w:cs="Arial" w:eastAsia="Arial" w:hAnsi="Arial"/>
                <w:sz w:val="14"/>
                <w:szCs w:val="14"/>
                <w:b w:val="1"/>
                <w:bCs w:val="1"/>
                <w:color w:val="auto"/>
              </w:rPr>
              <w:t>12,623​</w:t>
            </w:r>
          </w:p>
        </w:tc>
      </w:tr>
      <w:tr>
        <w:trPr>
          <w:trHeight w:val="241"/>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Stock-based compensation</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4,116</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3,841</w:t>
            </w:r>
          </w:p>
        </w:tc>
        <w:tc>
          <w:tcPr>
            <w:tcW w:w="300" w:type="dxa"/>
            <w:vAlign w:val="bottom"/>
            <w:tcBorders>
              <w:top w:val="single" w:sz="8" w:color="EBF7FC"/>
            </w:tcBorders>
          </w:tcPr>
          <w:p>
            <w:pPr>
              <w:spacing w:after="0"/>
              <w:rPr>
                <w:sz w:val="20"/>
                <w:szCs w:val="20"/>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2,732</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Named executive officer cash severance</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432</w:t>
            </w:r>
          </w:p>
        </w:tc>
      </w:tr>
      <w:tr>
        <w:trPr>
          <w:trHeight w:val="241"/>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Pension settlement cost</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2,700</w:t>
            </w:r>
          </w:p>
        </w:tc>
        <w:tc>
          <w:tcPr>
            <w:tcW w:w="300" w:type="dxa"/>
            <w:vAlign w:val="bottom"/>
            <w:tcBorders>
              <w:top w:val="single" w:sz="8" w:color="EBF7FC"/>
            </w:tcBorders>
          </w:tcPr>
          <w:p>
            <w:pPr>
              <w:spacing w:after="0"/>
              <w:rPr>
                <w:sz w:val="20"/>
                <w:szCs w:val="20"/>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607</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Impairment of intangible assets</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643</w:t>
            </w:r>
          </w:p>
        </w:tc>
        <w:tc>
          <w:tcPr>
            <w:tcW w:w="136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r>
        <w:trPr>
          <w:trHeight w:val="241"/>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Gain on disposal of assets, net</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(507</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(28,849)</w:t>
            </w:r>
          </w:p>
        </w:tc>
        <w:tc>
          <w:tcPr>
            <w:tcW w:w="300" w:type="dxa"/>
            <w:vAlign w:val="bottom"/>
            <w:tcBorders>
              <w:top w:val="single" w:sz="8" w:color="EBF7FC"/>
            </w:tcBorders>
          </w:tcPr>
          <w:p>
            <w:pPr>
              <w:spacing w:after="0"/>
              <w:rPr>
                <w:sz w:val="20"/>
                <w:szCs w:val="20"/>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(4,500)</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Cash bonus related to sale of assets</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2,000</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r>
        <w:trPr>
          <w:trHeight w:val="241"/>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Gain on legal settlement</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(2,269)</w:t>
            </w:r>
          </w:p>
        </w:tc>
        <w:tc>
          <w:tcPr>
            <w:tcW w:w="300" w:type="dxa"/>
            <w:vAlign w:val="bottom"/>
            <w:tcBorders>
              <w:top w:val="single" w:sz="8" w:color="EBF7FC"/>
            </w:tcBorders>
          </w:tcPr>
          <w:p>
            <w:pPr>
              <w:spacing w:after="0"/>
              <w:rPr>
                <w:sz w:val="20"/>
                <w:szCs w:val="20"/>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r>
        <w:trPr>
          <w:trHeight w:val="305"/>
        </w:trPr>
        <w:tc>
          <w:tcPr>
            <w:tcW w:w="528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Severance benefits</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1,160</w:t>
            </w:r>
          </w:p>
        </w:tc>
        <w:tc>
          <w:tcPr>
            <w:tcW w:w="136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F3F9FD"/>
            </w:tcBorders>
            <w:shd w:val="clear" w:color="auto" w:fill="F3F9FD"/>
          </w:tcPr>
          <w:p>
            <w:pPr>
              <w:spacing w:after="0"/>
              <w:rPr>
                <w:sz w:val="24"/>
                <w:szCs w:val="24"/>
                <w:color w:val="auto"/>
              </w:rPr>
            </w:pPr>
          </w:p>
        </w:tc>
        <w:tc>
          <w:tcPr>
            <w:tcW w:w="10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r>
        <w:trPr>
          <w:trHeight w:val="247"/>
        </w:trPr>
        <w:tc>
          <w:tcPr>
            <w:tcW w:w="528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b w:val="1"/>
                <w:bCs w:val="1"/>
                <w:color w:val="auto"/>
              </w:rPr>
              <w:t>Adjusted EBITDA</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b w:val="1"/>
                <w:bCs w:val="1"/>
                <w:color w:val="auto"/>
              </w:rPr>
              <w:t>26,718</w:t>
            </w:r>
          </w:p>
        </w:tc>
        <w:tc>
          <w:tcPr>
            <w:tcW w:w="136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b w:val="1"/>
                <w:bCs w:val="1"/>
                <w:color w:val="auto"/>
              </w:rPr>
              <w:t>(224)</w:t>
            </w:r>
          </w:p>
        </w:tc>
        <w:tc>
          <w:tcPr>
            <w:tcW w:w="300" w:type="dxa"/>
            <w:vAlign w:val="bottom"/>
            <w:tcBorders>
              <w:top w:val="single" w:sz="8" w:color="EBF7FC"/>
            </w:tcBorders>
          </w:tcPr>
          <w:p>
            <w:pPr>
              <w:spacing w:after="0"/>
              <w:rPr>
                <w:sz w:val="21"/>
                <w:szCs w:val="21"/>
                <w:color w:val="auto"/>
              </w:rPr>
            </w:pPr>
          </w:p>
        </w:tc>
        <w:tc>
          <w:tcPr>
            <w:tcW w:w="10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b w:val="1"/>
                <w:bCs w:val="1"/>
                <w:color w:val="auto"/>
              </w:rPr>
              <w:t>11,894</w:t>
            </w:r>
          </w:p>
        </w:tc>
      </w:tr>
      <w:tr>
        <w:trPr>
          <w:trHeight w:val="58"/>
        </w:trPr>
        <w:tc>
          <w:tcPr>
            <w:tcW w:w="528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300" w:type="dxa"/>
            <w:vAlign w:val="bottom"/>
            <w:tcBorders>
              <w:bottom w:val="single" w:sz="8" w:color="EBF7FC"/>
            </w:tcBorders>
          </w:tcPr>
          <w:p>
            <w:pPr>
              <w:spacing w:after="0"/>
              <w:rPr>
                <w:sz w:val="5"/>
                <w:szCs w:val="5"/>
                <w:color w:val="auto"/>
              </w:rPr>
            </w:pPr>
          </w:p>
        </w:tc>
        <w:tc>
          <w:tcPr>
            <w:tcW w:w="1020" w:type="dxa"/>
            <w:vAlign w:val="bottom"/>
            <w:tcBorders>
              <w:bottom w:val="single" w:sz="8" w:color="EBF7FC"/>
            </w:tcBorders>
          </w:tcPr>
          <w:p>
            <w:pPr>
              <w:spacing w:after="0"/>
              <w:rPr>
                <w:sz w:val="5"/>
                <w:szCs w:val="5"/>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Annual Equity Incentive Awards</w:t>
      </w:r>
    </w:p>
    <w:p>
      <w:pPr>
        <w:spacing w:after="0" w:line="91"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It is our objective to have a substantial portion of each NEO’s compensation contingent upon overall corporate performance. Our Compensation Committee believes that annual equity incentives awards for the achievement of defined objectives create value for the Company and align the NEO’s compensation with the interests of our stockholders. Our equity incentive awards are granted to NEOs in the form of restricted stock with vesting based upon performance or time as described below.</w:t>
      </w:r>
    </w:p>
    <w:p>
      <w:pPr>
        <w:spacing w:after="0" w:line="106" w:lineRule="exact"/>
        <w:rPr>
          <w:sz w:val="20"/>
          <w:szCs w:val="20"/>
          <w:color w:val="auto"/>
        </w:rPr>
      </w:pPr>
    </w:p>
    <w:p>
      <w:pPr>
        <w:ind w:right="140"/>
        <w:spacing w:after="0" w:line="324" w:lineRule="auto"/>
        <w:rPr>
          <w:sz w:val="20"/>
          <w:szCs w:val="20"/>
          <w:color w:val="auto"/>
        </w:rPr>
      </w:pPr>
      <w:r>
        <w:rPr>
          <w:rFonts w:ascii="Arial" w:cs="Arial" w:eastAsia="Arial" w:hAnsi="Arial"/>
          <w:sz w:val="15"/>
          <w:szCs w:val="15"/>
          <w:color w:val="auto"/>
        </w:rPr>
        <w:t>In fiscal year 2024, we did not grant any stock options or stock appreciation rights to our NEOs nor do our NEOs hold any stock options or stock appreciation rights.</w:t>
      </w:r>
    </w:p>
    <w:p>
      <w:pPr>
        <w:spacing w:after="0" w:line="8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For fiscal year 2024, the Company adopted a prospective (upfront) value-based approach to granting annual equity incentives awards, with total annual equity incentives award values aligned with market levels, and grants made at the beginning of the fiscal year. These annual grants are a mix of 50% Performance Share-Based Awards and 50% Restricted Share Awards. The strategy was designed to create a range around the 50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of market peer group and survey data prepared and analyzed by Pearl Meyer. The amount of any equity incentive award is equal to the award level as set forth in the Compensation Schedule with the number of shares to be granted calculated based on the closing market share price on November 1 of the applicable year.</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Performance Share-Based Awards</w:t>
      </w:r>
    </w:p>
    <w:p>
      <w:pPr>
        <w:spacing w:after="0" w:line="103"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Performance Share-Based Awards are subject to the Company’s achievement of certain performance goals, namely, a three-fiscal year CAGR pursuant to which the CAGR of the Company is increased by at least 2% in revenues over the period (“Performance Goal”). The Performance Share-Based Awards are granted to the NEO at the beginning of the Performance Period but are not issued until the Performance Period (as defined below) has completed and only if the Performance Goal has been met. The actual Performance Share-Based Award, if any, earned by a participant, not in excess of the maximum Performance Share-Based Award, is determined by the Compensation Committee during the ninety</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41" w:name="page42"/>
    <w:bookmarkEnd w:id="41"/>
    <w:p>
      <w:pPr>
        <w:ind w:right="480" w:firstLine="5"/>
        <w:spacing w:after="0" w:line="324" w:lineRule="auto"/>
        <w:tabs>
          <w:tab w:leader="none" w:pos="316" w:val="left"/>
        </w:tabs>
        <w:numPr>
          <w:ilvl w:val="0"/>
          <w:numId w:val="3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days immediately following the end of the Performance Period. Performance Share-Based Awards are subject to the negative discretion of the Compensation Committee even if the Performance Goal is met.</w:t>
      </w:r>
    </w:p>
    <w:p>
      <w:pPr>
        <w:spacing w:after="0" w:line="72"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For fiscal year 2024, the Performance Period for Performance Share-Based Awards is November 1, 2023, through October 31, 2026. To achieve the such Performance Share-Based Awards, the Performance Goal is two percent (2%) CAGR for the threshold level of achievement, five percent (5%) CAGR for the target level of achievement, and eight percent (8%) CAGR for the maximum level of achievement, with linear interpolation between each such level of achievement. The target level of achievement is reflected in the Plan Based Awards table below but not included as compensation until the Performance Equity Award is earned.</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Placeholder for Potential Performance Share-Based Awards targets and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Borders>
              <w:right w:val="single" w:sz="8" w:color="E5E9ED"/>
            </w:tcBorders>
            <w:shd w:val="clear" w:color="auto" w:fill="E5E9ED"/>
          </w:tcPr>
          <w:p>
            <w:pPr>
              <w:spacing w:after="0"/>
              <w:rPr>
                <w:sz w:val="19"/>
                <w:szCs w:val="19"/>
                <w:color w:val="auto"/>
              </w:rPr>
            </w:pPr>
          </w:p>
        </w:tc>
        <w:tc>
          <w:tcPr>
            <w:tcW w:w="1360" w:type="dxa"/>
            <w:vAlign w:val="bottom"/>
            <w:tcBorders>
              <w:right w:val="single" w:sz="8" w:color="E5E9ED"/>
            </w:tcBorders>
            <w:shd w:val="clear" w:color="auto" w:fill="E5E9ED"/>
          </w:tcPr>
          <w:p>
            <w:pPr>
              <w:spacing w:after="0"/>
              <w:rPr>
                <w:sz w:val="19"/>
                <w:szCs w:val="19"/>
                <w:color w:val="auto"/>
              </w:rPr>
            </w:pPr>
          </w:p>
        </w:tc>
        <w:tc>
          <w:tcPr>
            <w:tcW w:w="1340" w:type="dxa"/>
            <w:vAlign w:val="bottom"/>
            <w:tcBorders>
              <w:right w:val="single" w:sz="8" w:color="E5E9ED"/>
            </w:tcBorders>
            <w:shd w:val="clear" w:color="auto" w:fill="E5E9ED"/>
          </w:tcPr>
          <w:p>
            <w:pPr>
              <w:spacing w:after="0"/>
              <w:rPr>
                <w:sz w:val="19"/>
                <w:szCs w:val="19"/>
                <w:color w:val="auto"/>
              </w:rPr>
            </w:pPr>
          </w:p>
        </w:tc>
        <w:tc>
          <w:tcPr>
            <w:tcW w:w="1340" w:type="dxa"/>
            <w:vAlign w:val="bottom"/>
            <w:tcBorders>
              <w:right w:val="single" w:sz="8" w:color="E5E9ED"/>
            </w:tcBorders>
            <w:shd w:val="clear" w:color="auto" w:fill="E5E9ED"/>
          </w:tcPr>
          <w:p>
            <w:pPr>
              <w:spacing w:after="0"/>
              <w:rPr>
                <w:sz w:val="19"/>
                <w:szCs w:val="19"/>
                <w:color w:val="auto"/>
              </w:rPr>
            </w:pPr>
          </w:p>
        </w:tc>
        <w:tc>
          <w:tcPr>
            <w:tcW w:w="13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Mark</w:t>
            </w:r>
          </w:p>
        </w:tc>
        <w:tc>
          <w:tcPr>
            <w:tcW w:w="20" w:type="dxa"/>
            <w:vAlign w:val="bottom"/>
          </w:tcPr>
          <w:p>
            <w:pPr>
              <w:spacing w:after="0"/>
              <w:rPr>
                <w:sz w:val="19"/>
                <w:szCs w:val="19"/>
                <w:color w:val="auto"/>
              </w:rPr>
            </w:pPr>
          </w:p>
        </w:tc>
      </w:tr>
      <w:tr>
        <w:trPr>
          <w:trHeight w:val="192"/>
        </w:trPr>
        <w:tc>
          <w:tcPr>
            <w:tcW w:w="3900" w:type="dxa"/>
            <w:vAlign w:val="bottom"/>
            <w:tcBorders>
              <w:right w:val="single" w:sz="8" w:color="E5E9ED"/>
            </w:tcBorders>
            <w:shd w:val="clear" w:color="auto" w:fill="E5E9ED"/>
          </w:tcPr>
          <w:p>
            <w:pPr>
              <w:spacing w:after="0"/>
              <w:rPr>
                <w:sz w:val="16"/>
                <w:szCs w:val="16"/>
                <w:color w:val="auto"/>
              </w:rPr>
            </w:pPr>
          </w:p>
        </w:tc>
        <w:tc>
          <w:tcPr>
            <w:tcW w:w="1360" w:type="dxa"/>
            <w:vAlign w:val="bottom"/>
            <w:tcBorders>
              <w:right w:val="single" w:sz="8" w:color="E5E9ED"/>
            </w:tcBorders>
            <w:shd w:val="clear" w:color="auto" w:fill="E5E9ED"/>
          </w:tcPr>
          <w:p>
            <w:pPr>
              <w:ind w:left="460"/>
              <w:spacing w:after="0"/>
              <w:rPr>
                <w:sz w:val="20"/>
                <w:szCs w:val="20"/>
                <w:color w:val="auto"/>
              </w:rPr>
            </w:pPr>
            <w:r>
              <w:rPr>
                <w:rFonts w:ascii="Arial" w:cs="Arial" w:eastAsia="Arial" w:hAnsi="Arial"/>
                <w:sz w:val="14"/>
                <w:szCs w:val="14"/>
                <w:b w:val="1"/>
                <w:bCs w:val="1"/>
                <w:color w:val="auto"/>
              </w:rPr>
              <w:t>CAGR</w:t>
            </w:r>
          </w:p>
        </w:tc>
        <w:tc>
          <w:tcPr>
            <w:tcW w:w="1340" w:type="dxa"/>
            <w:vAlign w:val="bottom"/>
            <w:tcBorders>
              <w:right w:val="single" w:sz="8" w:color="E5E9ED"/>
            </w:tcBorders>
            <w:shd w:val="clear" w:color="auto" w:fill="E5E9ED"/>
          </w:tcPr>
          <w:p>
            <w:pPr>
              <w:jc w:val="right"/>
              <w:ind w:right="92"/>
              <w:spacing w:after="0"/>
              <w:rPr>
                <w:sz w:val="20"/>
                <w:szCs w:val="20"/>
                <w:color w:val="auto"/>
              </w:rPr>
            </w:pPr>
            <w:r>
              <w:rPr>
                <w:rFonts w:ascii="Arial" w:cs="Arial" w:eastAsia="Arial" w:hAnsi="Arial"/>
                <w:sz w:val="14"/>
                <w:szCs w:val="14"/>
                <w:b w:val="1"/>
                <w:bCs w:val="1"/>
                <w:color w:val="auto"/>
              </w:rPr>
              <w:t>Vesting (as % of</w:t>
            </w:r>
          </w:p>
        </w:tc>
        <w:tc>
          <w:tcPr>
            <w:tcW w:w="1340" w:type="dxa"/>
            <w:vAlign w:val="bottom"/>
            <w:tcBorders>
              <w:right w:val="single" w:sz="8" w:color="E5E9ED"/>
            </w:tcBorders>
            <w:shd w:val="clear" w:color="auto" w:fill="E5E9ED"/>
          </w:tcPr>
          <w:p>
            <w:pPr>
              <w:jc w:val="right"/>
              <w:ind w:right="92"/>
              <w:spacing w:after="0"/>
              <w:rPr>
                <w:sz w:val="20"/>
                <w:szCs w:val="20"/>
                <w:color w:val="auto"/>
              </w:rPr>
            </w:pPr>
            <w:r>
              <w:rPr>
                <w:rFonts w:ascii="Arial" w:cs="Arial" w:eastAsia="Arial" w:hAnsi="Arial"/>
                <w:sz w:val="14"/>
                <w:szCs w:val="14"/>
                <w:b w:val="1"/>
                <w:bCs w:val="1"/>
                <w:color w:val="auto"/>
              </w:rPr>
              <w:t>Harold Edwards</w:t>
            </w:r>
          </w:p>
        </w:tc>
        <w:tc>
          <w:tcPr>
            <w:tcW w:w="13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Palamountain</w:t>
            </w:r>
          </w:p>
        </w:tc>
        <w:tc>
          <w:tcPr>
            <w:tcW w:w="20" w:type="dxa"/>
            <w:vAlign w:val="bottom"/>
          </w:tcPr>
          <w:p>
            <w:pPr>
              <w:spacing w:after="0"/>
              <w:rPr>
                <w:sz w:val="16"/>
                <w:szCs w:val="16"/>
                <w:color w:val="auto"/>
              </w:rPr>
            </w:pPr>
          </w:p>
        </w:tc>
      </w:tr>
      <w:tr>
        <w:trPr>
          <w:trHeight w:val="214"/>
        </w:trPr>
        <w:tc>
          <w:tcPr>
            <w:tcW w:w="390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CAGR (as % of target)</w:t>
            </w:r>
          </w:p>
        </w:tc>
        <w:tc>
          <w:tcPr>
            <w:tcW w:w="1360" w:type="dxa"/>
            <w:vAlign w:val="bottom"/>
            <w:tcBorders>
              <w:bottom w:val="single" w:sz="8" w:color="E5E9ED"/>
              <w:right w:val="single" w:sz="8" w:color="E5E9ED"/>
            </w:tcBorders>
            <w:shd w:val="clear" w:color="auto" w:fill="E5E9ED"/>
          </w:tcPr>
          <w:p>
            <w:pPr>
              <w:ind w:left="58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E5E9ED"/>
              <w:right w:val="single" w:sz="8" w:color="E5E9ED"/>
            </w:tcBorders>
            <w:shd w:val="clear" w:color="auto" w:fill="E5E9ED"/>
          </w:tcPr>
          <w:p>
            <w:pPr>
              <w:jc w:val="right"/>
              <w:ind w:right="412"/>
              <w:spacing w:after="0"/>
              <w:rPr>
                <w:sz w:val="20"/>
                <w:szCs w:val="20"/>
                <w:color w:val="auto"/>
              </w:rPr>
            </w:pPr>
            <w:r>
              <w:rPr>
                <w:rFonts w:ascii="Arial" w:cs="Arial" w:eastAsia="Arial" w:hAnsi="Arial"/>
                <w:sz w:val="14"/>
                <w:szCs w:val="14"/>
                <w:b w:val="1"/>
                <w:bCs w:val="1"/>
                <w:color w:val="auto"/>
              </w:rPr>
              <w:t>target)</w:t>
            </w:r>
          </w:p>
        </w:tc>
        <w:tc>
          <w:tcPr>
            <w:tcW w:w="1340" w:type="dxa"/>
            <w:vAlign w:val="bottom"/>
            <w:tcBorders>
              <w:bottom w:val="single" w:sz="8" w:color="E5E9ED"/>
              <w:right w:val="single" w:sz="8" w:color="E5E9ED"/>
            </w:tcBorders>
            <w:shd w:val="clear" w:color="auto" w:fill="E5E9ED"/>
          </w:tcPr>
          <w:p>
            <w:pPr>
              <w:jc w:val="right"/>
              <w:ind w:right="212"/>
              <w:spacing w:after="0"/>
              <w:rPr>
                <w:sz w:val="20"/>
                <w:szCs w:val="20"/>
                <w:color w:val="auto"/>
              </w:rPr>
            </w:pPr>
            <w:r>
              <w:rPr>
                <w:rFonts w:ascii="Arial" w:cs="Arial" w:eastAsia="Arial" w:hAnsi="Arial"/>
                <w:sz w:val="14"/>
                <w:szCs w:val="14"/>
                <w:b w:val="1"/>
                <w:bCs w:val="1"/>
                <w:color w:val="auto"/>
              </w:rPr>
              <w:t>(# of shares)</w:t>
            </w:r>
          </w:p>
        </w:tc>
        <w:tc>
          <w:tcPr>
            <w:tcW w:w="132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 of shares)</w:t>
            </w:r>
          </w:p>
        </w:tc>
        <w:tc>
          <w:tcPr>
            <w:tcW w:w="20" w:type="dxa"/>
            <w:vAlign w:val="bottom"/>
          </w:tcPr>
          <w:p>
            <w:pPr>
              <w:spacing w:after="0"/>
              <w:rPr>
                <w:sz w:val="18"/>
                <w:szCs w:val="18"/>
                <w:color w:val="auto"/>
              </w:rPr>
            </w:pPr>
          </w:p>
        </w:tc>
      </w:tr>
      <w:tr>
        <w:trPr>
          <w:trHeight w:val="241"/>
        </w:trPr>
        <w:tc>
          <w:tcPr>
            <w:tcW w:w="390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Maximum - 8%</w:t>
            </w:r>
          </w:p>
        </w:tc>
        <w:tc>
          <w:tcPr>
            <w:tcW w:w="1360" w:type="dxa"/>
            <w:vAlign w:val="bottom"/>
            <w:tcBorders>
              <w:top w:val="single" w:sz="8" w:color="EBF7FC"/>
              <w:right w:val="single" w:sz="8" w:color="EBF7FC"/>
            </w:tcBorders>
          </w:tcPr>
          <w:p>
            <w:pPr>
              <w:ind w:left="460"/>
              <w:spacing w:after="0"/>
              <w:rPr>
                <w:sz w:val="20"/>
                <w:szCs w:val="20"/>
                <w:color w:val="auto"/>
              </w:rPr>
            </w:pPr>
            <w:r>
              <w:rPr>
                <w:rFonts w:ascii="Arial" w:cs="Arial" w:eastAsia="Arial" w:hAnsi="Arial"/>
                <w:sz w:val="14"/>
                <w:szCs w:val="14"/>
                <w:color w:val="auto"/>
              </w:rPr>
              <w:t>226,623,449</w:t>
            </w:r>
          </w:p>
        </w:tc>
        <w:tc>
          <w:tcPr>
            <w:tcW w:w="134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200%</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70,771</w:t>
            </w:r>
          </w:p>
        </w:tc>
        <w:tc>
          <w:tcPr>
            <w:tcW w:w="132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35,386</w:t>
            </w:r>
          </w:p>
        </w:tc>
        <w:tc>
          <w:tcPr>
            <w:tcW w:w="20" w:type="dxa"/>
            <w:vAlign w:val="bottom"/>
            <w:tcBorders>
              <w:top w:val="single" w:sz="8" w:color="EBF7FC"/>
            </w:tcBorders>
          </w:tcPr>
          <w:p>
            <w:pPr>
              <w:spacing w:after="0"/>
              <w:rPr>
                <w:sz w:val="20"/>
                <w:szCs w:val="20"/>
                <w:color w:val="auto"/>
              </w:rPr>
            </w:pPr>
          </w:p>
        </w:tc>
      </w:tr>
      <w:tr>
        <w:trPr>
          <w:trHeight w:val="58"/>
        </w:trPr>
        <w:tc>
          <w:tcPr>
            <w:tcW w:w="390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390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Target - 5%</w:t>
            </w:r>
          </w:p>
        </w:tc>
        <w:tc>
          <w:tcPr>
            <w:tcW w:w="1360" w:type="dxa"/>
            <w:vAlign w:val="bottom"/>
            <w:tcBorders>
              <w:bottom w:val="single" w:sz="8" w:color="F3F9FD"/>
              <w:right w:val="single" w:sz="8" w:color="EBF7FC"/>
            </w:tcBorders>
            <w:shd w:val="clear" w:color="auto" w:fill="F3F9FD"/>
          </w:tcPr>
          <w:p>
            <w:pPr>
              <w:ind w:left="460"/>
              <w:spacing w:after="0"/>
              <w:rPr>
                <w:sz w:val="20"/>
                <w:szCs w:val="20"/>
                <w:color w:val="auto"/>
              </w:rPr>
            </w:pPr>
            <w:r>
              <w:rPr>
                <w:rFonts w:ascii="Arial" w:cs="Arial" w:eastAsia="Arial" w:hAnsi="Arial"/>
                <w:sz w:val="14"/>
                <w:szCs w:val="14"/>
                <w:color w:val="auto"/>
              </w:rPr>
              <w:t>208,257,895</w:t>
            </w:r>
          </w:p>
        </w:tc>
        <w:tc>
          <w:tcPr>
            <w:tcW w:w="1340" w:type="dxa"/>
            <w:vAlign w:val="bottom"/>
            <w:tcBorders>
              <w:bottom w:val="single" w:sz="8" w:color="F3F9FD"/>
              <w:right w:val="single" w:sz="8" w:color="EBF7FC"/>
            </w:tcBorders>
            <w:shd w:val="clear" w:color="auto" w:fill="F3F9FD"/>
          </w:tcPr>
          <w:p>
            <w:pPr>
              <w:jc w:val="right"/>
              <w:ind w:right="72"/>
              <w:spacing w:after="0"/>
              <w:rPr>
                <w:sz w:val="20"/>
                <w:szCs w:val="20"/>
                <w:color w:val="auto"/>
              </w:rPr>
            </w:pPr>
            <w:r>
              <w:rPr>
                <w:rFonts w:ascii="Arial" w:cs="Arial" w:eastAsia="Arial" w:hAnsi="Arial"/>
                <w:sz w:val="14"/>
                <w:szCs w:val="14"/>
                <w:color w:val="auto"/>
              </w:rPr>
              <w:t>100%</w:t>
            </w:r>
          </w:p>
        </w:tc>
        <w:tc>
          <w:tcPr>
            <w:tcW w:w="134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35,385</w:t>
            </w:r>
          </w:p>
        </w:tc>
        <w:tc>
          <w:tcPr>
            <w:tcW w:w="1320" w:type="dxa"/>
            <w:vAlign w:val="bottom"/>
            <w:tcBorders>
              <w:bottom w:val="single" w:sz="8" w:color="F3F9FD"/>
            </w:tcBorders>
            <w:shd w:val="clear" w:color="auto" w:fill="F3F9FD"/>
          </w:tcPr>
          <w:p>
            <w:pPr>
              <w:jc w:val="right"/>
              <w:ind w:right="32"/>
              <w:spacing w:after="0"/>
              <w:rPr>
                <w:sz w:val="20"/>
                <w:szCs w:val="20"/>
                <w:color w:val="auto"/>
              </w:rPr>
            </w:pPr>
            <w:r>
              <w:rPr>
                <w:rFonts w:ascii="Arial" w:cs="Arial" w:eastAsia="Arial" w:hAnsi="Arial"/>
                <w:sz w:val="14"/>
                <w:szCs w:val="14"/>
                <w:color w:val="auto"/>
              </w:rPr>
              <w:t>17,693</w:t>
            </w:r>
          </w:p>
        </w:tc>
        <w:tc>
          <w:tcPr>
            <w:tcW w:w="20" w:type="dxa"/>
            <w:vAlign w:val="bottom"/>
          </w:tcPr>
          <w:p>
            <w:pPr>
              <w:spacing w:after="0"/>
              <w:rPr>
                <w:sz w:val="24"/>
                <w:szCs w:val="24"/>
                <w:color w:val="auto"/>
              </w:rPr>
            </w:pPr>
          </w:p>
        </w:tc>
      </w:tr>
      <w:tr>
        <w:trPr>
          <w:trHeight w:val="241"/>
        </w:trPr>
        <w:tc>
          <w:tcPr>
            <w:tcW w:w="390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Threshold - 2%</w:t>
            </w:r>
          </w:p>
        </w:tc>
        <w:tc>
          <w:tcPr>
            <w:tcW w:w="1360" w:type="dxa"/>
            <w:vAlign w:val="bottom"/>
            <w:tcBorders>
              <w:top w:val="single" w:sz="8" w:color="EBF7FC"/>
              <w:right w:val="single" w:sz="8" w:color="EBF7FC"/>
            </w:tcBorders>
          </w:tcPr>
          <w:p>
            <w:pPr>
              <w:ind w:left="460"/>
              <w:spacing w:after="0"/>
              <w:rPr>
                <w:sz w:val="20"/>
                <w:szCs w:val="20"/>
                <w:color w:val="auto"/>
              </w:rPr>
            </w:pPr>
            <w:r>
              <w:rPr>
                <w:rFonts w:ascii="Arial" w:cs="Arial" w:eastAsia="Arial" w:hAnsi="Arial"/>
                <w:sz w:val="14"/>
                <w:szCs w:val="14"/>
                <w:color w:val="auto"/>
              </w:rPr>
              <w:t>190,912,380</w:t>
            </w:r>
          </w:p>
        </w:tc>
        <w:tc>
          <w:tcPr>
            <w:tcW w:w="1340" w:type="dxa"/>
            <w:vAlign w:val="bottom"/>
            <w:tcBorders>
              <w:top w:val="single" w:sz="8" w:color="EBF7FC"/>
              <w:right w:val="single" w:sz="8" w:color="EBF7FC"/>
            </w:tcBorders>
          </w:tcPr>
          <w:p>
            <w:pPr>
              <w:jc w:val="right"/>
              <w:ind w:right="72"/>
              <w:spacing w:after="0"/>
              <w:rPr>
                <w:sz w:val="20"/>
                <w:szCs w:val="20"/>
                <w:color w:val="auto"/>
              </w:rPr>
            </w:pPr>
            <w:r>
              <w:rPr>
                <w:rFonts w:ascii="Arial" w:cs="Arial" w:eastAsia="Arial" w:hAnsi="Arial"/>
                <w:sz w:val="14"/>
                <w:szCs w:val="14"/>
                <w:color w:val="auto"/>
              </w:rPr>
              <w:t>50%</w:t>
            </w:r>
          </w:p>
        </w:tc>
        <w:tc>
          <w:tcPr>
            <w:tcW w:w="1340" w:type="dxa"/>
            <w:vAlign w:val="bottom"/>
            <w:tcBorders>
              <w:top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17,693</w:t>
            </w:r>
          </w:p>
        </w:tc>
        <w:tc>
          <w:tcPr>
            <w:tcW w:w="132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8,846</w:t>
            </w:r>
          </w:p>
        </w:tc>
        <w:tc>
          <w:tcPr>
            <w:tcW w:w="20" w:type="dxa"/>
            <w:vAlign w:val="bottom"/>
          </w:tcPr>
          <w:p>
            <w:pPr>
              <w:spacing w:after="0"/>
              <w:rPr>
                <w:sz w:val="20"/>
                <w:szCs w:val="20"/>
                <w:color w:val="auto"/>
              </w:rPr>
            </w:pPr>
          </w:p>
        </w:tc>
      </w:tr>
      <w:tr>
        <w:trPr>
          <w:trHeight w:val="58"/>
        </w:trPr>
        <w:tc>
          <w:tcPr>
            <w:tcW w:w="3900" w:type="dxa"/>
            <w:vAlign w:val="bottom"/>
            <w:tcBorders>
              <w:bottom w:val="single" w:sz="8" w:color="EBF7FC"/>
              <w:right w:val="single" w:sz="8" w:color="EBF7FC"/>
            </w:tcBorders>
          </w:tcPr>
          <w:p>
            <w:pPr>
              <w:spacing w:after="0"/>
              <w:rPr>
                <w:sz w:val="5"/>
                <w:szCs w:val="5"/>
                <w:color w:val="auto"/>
              </w:rPr>
            </w:pPr>
          </w:p>
        </w:tc>
        <w:tc>
          <w:tcPr>
            <w:tcW w:w="136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40" w:type="dxa"/>
            <w:vAlign w:val="bottom"/>
            <w:tcBorders>
              <w:bottom w:val="single" w:sz="8" w:color="EBF7FC"/>
              <w:right w:val="single" w:sz="8" w:color="EBF7FC"/>
            </w:tcBorders>
          </w:tcPr>
          <w:p>
            <w:pPr>
              <w:spacing w:after="0"/>
              <w:rPr>
                <w:sz w:val="5"/>
                <w:szCs w:val="5"/>
                <w:color w:val="auto"/>
              </w:rPr>
            </w:pPr>
          </w:p>
        </w:tc>
        <w:tc>
          <w:tcPr>
            <w:tcW w:w="132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Restricted Share Awards</w:t>
      </w:r>
    </w:p>
    <w:p>
      <w:pPr>
        <w:spacing w:after="0" w:line="103"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Restricted Share Awards are up-front annual time-based restricted share awards granted during the first quarter of the fiscal year. The dollar value is generally based on market data and incorporates a two to three (2-3) year glide path to move NEOs and Company Vice Presidents toward the 50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percentile. The Compensation Committee reviews and approves the dollar value after analyzing the Company’s financial performance, budget, and strategic plan. The Compensation Committee believes that Restricted Share Awards are an effective retention tool for our NEOs and create long-term alignment of interests between NEOs and stockholders. The target number of restricted shares are based on the Company’s closing stock price on the first day of the fiscal year. Granted restricted shares vest in three (3) equal tranches on the anniversary of the grant date of the Restricted Share Award.</w:t>
      </w:r>
    </w:p>
    <w:p>
      <w:pPr>
        <w:spacing w:after="0" w:line="115" w:lineRule="exact"/>
        <w:rPr>
          <w:sz w:val="20"/>
          <w:szCs w:val="20"/>
          <w:color w:val="auto"/>
        </w:rPr>
      </w:pPr>
    </w:p>
    <w:p>
      <w:pPr>
        <w:ind w:right="320"/>
        <w:spacing w:after="0" w:line="304" w:lineRule="auto"/>
        <w:rPr>
          <w:sz w:val="20"/>
          <w:szCs w:val="20"/>
          <w:color w:val="auto"/>
        </w:rPr>
      </w:pPr>
      <w:r>
        <w:rPr>
          <w:rFonts w:ascii="Arial" w:cs="Arial" w:eastAsia="Arial" w:hAnsi="Arial"/>
          <w:sz w:val="15"/>
          <w:szCs w:val="15"/>
          <w:color w:val="auto"/>
        </w:rPr>
        <w:t>For fiscal year 2024, Mr. Edwards received the equivalent of $500,000 or 35,385 restricted shares. Mr. Palamountain received the equivalent of $250,000 or 17,693 restricted shares. The number of restricted shares granted was calculated using the market closing price of $14.13 on November 1, 2023. See “Grants of Plan Based Awards” for additional details.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Strategic Special Project Bonus</w:t>
      </w:r>
    </w:p>
    <w:p>
      <w:pPr>
        <w:spacing w:after="0" w:line="9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February 2022, the Board approved a strategic plan and roadmap for the next five (5) years with the goal of transitioning the Company to an “asset light” model by monetizing specific assets and rightsizing the Company’s balance sheet. The incentive plans approved by the Compensation Committee during the first quarter of fiscal year 2022, however, were not designed to compensate the NEOs for implementation of the subsequently approved strategic plan. Accordingly, during fiscal year 2022, the Compensation Committee engaged Pearl Meyer to assist in developing an incentive program designed to align with the asset-light strategic plan. The Compensation Committee and Pearl Meyer designed the Strategic Special Project Bonus Program (“SSP Bonus Program”), and, in October 2022, the Compensation Committee recommended, and the Board approved, the SSP Bonus Program and related Retention Bonus Agreements (“Retention Bonus Agreement”) for Messrs. Edwards and Palamountain. Pursuant to the Retention Bonus Agreements, Messrs. Edwards and Palamountain are eligible to receive cash and restricted stock awards totalling five percent (5%) and three percent (3%), respectively, of gains on asset sales or development earnings received from the sale of certain land or water assets of the Company or real estate development after the date of the Retention Bonus Agreement through December 31, 2027 (each a ”SSP Bonus” and collectively, the “SSP Bonuses”). The SSP Bonuses payable to Messrs. Edwards and Palamountain are capped at $3.0 million and $2.1 million annually, and $7.5 million and $4.5 million in total, respectively.</w:t>
      </w:r>
    </w:p>
    <w:p>
      <w:pPr>
        <w:spacing w:after="0" w:line="111"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In connection with adopting the SSP Bonus Program, the Compensation Committee approved amendments to the Retention Bonus Agreements for Messrs. Edwards and Palamountain to eliminate the possible “double-counting” of the gain on asset sales and development earnings subject to the SSP Bonus Program. The Retention Bonus Agreements were amended to deduct the earnings that are eligible for a SSP Bonus from the EBITDA calculation that is the subject of such awards.</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42" w:name="page43"/>
    <w:bookmarkEnd w:id="42"/>
    <w:p>
      <w:pPr>
        <w:ind w:right="20"/>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For fiscal year 2024, each of our NEOs received two (2) SSP Bonuses. In June 2024, Mr. Edwards received a SSP Bonus of $499,947 and Mr. Palamountain received a SSP Bonus of $333,298, each payable in 50% cash and 50% restricted stock, in connection with equity earnings from the joint venture with Lewis for the Harvest real estate development project (“Harvest Equity Earnings”), primarily related to the sale of Phase 2. In December 2024, Mr. Edwards received a SSP Bonus of $78,162 and Mr. Palamountain received a SSP Bonus of $46,896, each payable in 50% cash and 50% restricted stock, in connection with additional fiscal year 2024 Harvest Equity Earnings. See “Grant of Plan Based Awards” for additional details.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Change in Control, Separation or Severance Benefits</w:t>
      </w:r>
    </w:p>
    <w:p>
      <w:pPr>
        <w:spacing w:after="0" w:line="103"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On July 23, 2024, the Board approved a Change in Control Retention Program and related change in control agreements (the “Change in Control Agreements”) to be entered into with each of the Company’s NEOs, as well as certain other members of management who are not NEOs.</w:t>
      </w:r>
    </w:p>
    <w:p>
      <w:pPr>
        <w:spacing w:after="0" w:line="8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Change in Control Agreements are “double-trigger” change in control agreements, which provide that if the NEO is terminated without cause or resigns for good reason during the period (a) commencing upon the earlier of (i) the execution by the Company of a definitive agreement, the consummation of which would constitute a change in control of the Company or (ii) ninety (90) days prior to a change in control of the Company, and (b) ending twelve (12) months after a change in control of the Company, and subject to the NEO’s execution of a release in favor of the Company, the NEO will receive: (x) a payment equal to 200% of the NEO’s base salary at the time of the change in control of the Company, to be paid in a single cash payment, and (y) COBRA continuation coverage for up to twenty-four (24) months following the separation.</w:t>
      </w:r>
    </w:p>
    <w:p>
      <w:pPr>
        <w:spacing w:after="0" w:line="10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Other than any award in connection with the Change in Control Agreements or Transaction Bonus Agreements, as described below, none of our NEOs are entitled to receive payments or other benefits upon termination of employment except equity acceleration for certain outstanding equity awards pursuant to the 2022 Plan. The 2022 Plan contains provisions that provide for the vesting of options and stock appreciation rights awarded thereunder, if any, as well as the lapse of restrictions on and vesting of all incentive awards issued thereunder upon a change in control or certain termination events.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Transaction Bonus Program</w:t>
      </w:r>
    </w:p>
    <w:p>
      <w:pPr>
        <w:spacing w:after="0" w:line="91" w:lineRule="exact"/>
        <w:rPr>
          <w:sz w:val="20"/>
          <w:szCs w:val="20"/>
          <w:color w:val="auto"/>
        </w:rPr>
      </w:pPr>
    </w:p>
    <w:p>
      <w:pPr>
        <w:ind w:right="600"/>
        <w:spacing w:after="0" w:line="324" w:lineRule="auto"/>
        <w:rPr>
          <w:sz w:val="20"/>
          <w:szCs w:val="20"/>
          <w:color w:val="auto"/>
        </w:rPr>
      </w:pPr>
      <w:r>
        <w:rPr>
          <w:rFonts w:ascii="Arial" w:cs="Arial" w:eastAsia="Arial" w:hAnsi="Arial"/>
          <w:sz w:val="15"/>
          <w:szCs w:val="15"/>
          <w:color w:val="auto"/>
        </w:rPr>
        <w:t>On August 22, 2024, the Board approved, and the Company entered into transaction bonus agreements (“the Transaction Bonus Agreements”) with its NEOs.</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Transaction Bonus Agreements provide that each NEO will receive a Transaction Bonus, payable in one lump sum, if the NEO is employed on the closing date of a transaction (a “Transaction”) resulting in (i) the sale, lease, transfer, conveyance or other disposition, in one or a series of related transactions, of 80% or more of the assets of the Company to any “person” or related “group” of “persons” (as such terms are used in Sections 13(d) and 14(d)(2) of the Exchange Act); (ii) any person or group becoming the beneficial owner of more than 50% of the total voting power or the Company; or (iii) a change in the majority of the Board in office during any period of two (2) consecutive years during the term of the Transaction Bonus Agreements. The Transaction Bonus Agreements further provide that if the NEO is terminated without cause (as defined the Transaction Bonus Agreements) within 180 days of the closing of a transaction, the NEO will remain eligible to receive the Transaction Bonus. If the NEOs are terminated (i) by the Company for cause, (ii) by the Company without cause and the closing date of the Transaction occurs after 180 days following separation from service, or (iii) by the NEO for any reason prior to the closing date, the NEO’s eligibility to receive the Transaction Bonus will be cancelled and forfeited in all respects.</w:t>
      </w:r>
    </w:p>
    <w:p>
      <w:pPr>
        <w:spacing w:after="0" w:line="9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Transaction Bonus Agreement for Mr. Edwards provides for a base amount of $3,750,000 provided that the price per share of Company Common Stock received in any transaction is at least $28.00 per share (the “Base Share Price”). Mr. Edwards will receive a greater Transaction Bonus for any increase in share price above the Base Share Price in $0.25 increments up to, but not including $40.00 per share (the “Target Share Price”). If the price per share is equal to the Target Share Price, Mr. Edwards will receive a Transaction Bonus of $5,250,000 (the “Edwards Target Transaction Bonus Amount”). For every $1.00 increase above the Target Share Price, the Edwards Target Transaction Bonus Amount will be increased by $62,500.</w:t>
      </w:r>
    </w:p>
    <w:p>
      <w:pPr>
        <w:spacing w:after="0" w:line="110"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The Transaction Bonus Agreement between the Company and Mr. Palamountain provides for a base amount of $2,225,000 provided that the price per share of Common Stock received in any transaction is at least equal to the Base Share Price. Mr. Palamountain will receive a greater Transaction Bonus for any increase in share price above the Base Share Price in $0.25 increments up to, but not including the Target Share Price. If the price per share is equal to the Target Share Price, Mr. Edwards will receive a Transaction Bonus of $3,150,000 (the “Palamountain Target Transaction Amount”). For every $1.00 increase above the Target Share Price, the Palamountain Target Transaction Bonus Amount will be increased by $37,500.</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39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43" w:name="page44"/>
    <w:bookmarkEnd w:id="43"/>
    <w:p>
      <w:pPr>
        <w:ind w:right="6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If the Transaction Bonuses become payable, the NEOs will lose their eligibility to receive any SSP Bonuses pursuant to the Retention Bonus Agreements, dated October 26, 2022, between the NEOs and the Company. If any SSP Bonuses are paid during the term of the Transaction Bonus Agreements, any Transaction Bonuses that become payable to the NEOs will be reduced by the amount of such SSP Bonuses.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Retirement Plans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Compensation Committee believes that retirement programs are important to the Company as they contribute to the Company’s ability to be competitive with its peers and reward our NEOs based on long-term performance of the Company and, therefore, are an important piece of the overall compensation package for the NEOs. For all eligible employees, including our NEOs, the Company sponsors a defined contribution retirement plan maintained under section 401(k) of the Code (the “401(k) Plan”). Under the terms of the 401(k) Plan, eligible employees may elect, beginning the first day of the month following their first day of employment, to defer compensation up to a specified amount of their annual earnings permitted to be deferred under the applicable provisions of the Code. In addition to any deferral contributions made by our employees, the Company contributes to the account of each eligible employee a matching contribution of up to 4% of such employee’s annual compensation. Participant deferral contributions are 100% vested at the time of contribution, employer matching contributions vest 20% after completion of year one and vest 20% each year until they are 100% vested upon completion of five (5) years of employment. During fiscal year 2024, there were no changes made to our defined contribution plan related to contribution limitations, vesting schedules or eligibility requirements.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Nonqualified Deferred Compensation</w:t>
      </w:r>
    </w:p>
    <w:p>
      <w:pPr>
        <w:spacing w:after="0" w:line="103"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color w:val="auto"/>
        </w:rPr>
        <w:t>None of our NEOs participate in or has account balances in nonqualified defined contribution or other deferred compensation plans maintained by the Company.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Options and Stock Appreciation Rights</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Except as otherwise provided in an any award agreement pursuant to the 2022 Plan (an “Award Agreement”) or by a committee in a written resolution at the date of grant or thereafter to the extent outstanding awards granted under the 2022 Plan are either assumed, converted or replaced by the resulting entity in the event of a change in control, if a participant’s employment or service is terminated without Cause (as defined below) by the Company or an affiliate or a participant terminates his or her employment or service with the Company or an affiliate for Good Reason (as defined below) if applicable, in either case, during the 12-month period following a change in control, all outstanding Options and Stock Appreciation Rights held by a participant shall become fully exercisable and all restrictions with respect to outstanding Awards shall lapse and become vested and non-forfeitable. In fiscal year 2024, we did not grant any stock options or stock appreciation rights to our NEOs nor do our NEOs hold any stock options or stock appreciation rights.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Performance-Based Awards</w:t>
      </w:r>
    </w:p>
    <w:p>
      <w:pPr>
        <w:spacing w:after="0" w:line="103"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Except as provided in an Award Agreement or by a committee in a written resolution at the date of grant or thereafter, to the extent outstanding awards granted under the 2022 Plan are assumed, converted, or replaced by the resulting entity in the event of a change in control: (i) any outstanding awards that are subject to performance share-based goals shall be converted by the resulting entity as if target performance had been achieved as of the date of the change in control; (ii) each performance-based award with service requirements shall continue to vest with respect to such requirements during the remaining period set forth in the Award Agreement; and</w:t>
      </w:r>
    </w:p>
    <w:p>
      <w:pPr>
        <w:spacing w:after="0" w:line="3" w:lineRule="exact"/>
        <w:rPr>
          <w:sz w:val="20"/>
          <w:szCs w:val="20"/>
          <w:color w:val="auto"/>
        </w:rPr>
      </w:pPr>
    </w:p>
    <w:p>
      <w:pPr>
        <w:ind w:right="40" w:firstLine="5"/>
        <w:spacing w:after="0" w:line="324" w:lineRule="auto"/>
        <w:tabs>
          <w:tab w:leader="none" w:pos="247"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 other awards shall continue to vest (and/or the restrictions thereon shall continue to lapse) during the remaining periods set forth in the Award Agreement.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Restricted Stock Awards</w:t>
      </w:r>
    </w:p>
    <w:p>
      <w:pPr>
        <w:spacing w:after="0" w:line="103"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Pursuant to Award Agreements for restricted stock, in the event that the employment of a NEO with the Company is terminated by the Company on or after the issue date of an award, other than for Cause, any unvested restricted stock shall become fully vested only in the sole discretion of the Company. The Compensation Committee (or its designee, to the extent permitted under the 2022 Plan) has sole discretion to determine if a NEO’s rights have terminated pursuant to the 2022 Plan and any Award Agreement, including but not limited to the authority to determine the basis for the NEO’s termination of employment. In the event that a NEO remains in continuous employment with the Company or an Affiliate from the issue date of an Award until a NEO’s termination due to (i) death, (ii) Disability or</w:t>
      </w:r>
    </w:p>
    <w:p>
      <w:pPr>
        <w:spacing w:after="0" w:line="3" w:lineRule="exact"/>
        <w:rPr>
          <w:sz w:val="20"/>
          <w:szCs w:val="20"/>
          <w:color w:val="auto"/>
        </w:rPr>
      </w:pPr>
    </w:p>
    <w:p>
      <w:pPr>
        <w:ind w:right="120" w:firstLine="5"/>
        <w:spacing w:after="0" w:line="324" w:lineRule="auto"/>
        <w:tabs>
          <w:tab w:leader="none" w:pos="247"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retirement (if the NEO has been employed by the Company for a period of at least the five (5) years immediately preceding the grant date and is age 65 or older), any unvested restricted stock previously issued shall become fully vested.</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For purposes of the above, “Cause” means:</w:t>
      </w:r>
    </w:p>
    <w:p>
      <w:pPr>
        <w:spacing w:after="0" w:line="160" w:lineRule="exact"/>
        <w:rPr>
          <w:sz w:val="20"/>
          <w:szCs w:val="20"/>
          <w:color w:val="auto"/>
        </w:rPr>
      </w:pPr>
    </w:p>
    <w:p>
      <w:pPr>
        <w:ind w:left="120" w:right="320" w:hanging="115"/>
        <w:spacing w:after="0" w:line="304" w:lineRule="auto"/>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intentional engagement in any acts or omissions constituting dishonesty, breach of a fiduciary obligation, wrongdoing, or misfeasance, in each case, in connection with a Participant’s duties or otherwise during the course of a Participant’s employment or service with the Company of an Affiliate;</w:t>
      </w:r>
    </w:p>
    <w:p>
      <w:pPr>
        <w:spacing w:after="0" w:line="99" w:lineRule="exact"/>
        <w:rPr>
          <w:rFonts w:ascii="Arial" w:cs="Arial" w:eastAsia="Arial" w:hAnsi="Arial"/>
          <w:sz w:val="15"/>
          <w:szCs w:val="15"/>
          <w:color w:val="auto"/>
        </w:rPr>
      </w:pPr>
    </w:p>
    <w:p>
      <w:pPr>
        <w:ind w:left="120" w:hanging="115"/>
        <w:spacing w:after="0" w:line="324" w:lineRule="auto"/>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commission of a felony or the indictment for any felony, including, but not limited to, any felony involving fraud, embezzlement, moral turpitude, or theft;</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intentional and wrongful damaging of property, contractual interests, or business relationships of the Company or an Affiliate;</w:t>
      </w:r>
    </w:p>
    <w:p>
      <w:pPr>
        <w:spacing w:after="0" w:line="160" w:lineRule="exact"/>
        <w:rPr>
          <w:rFonts w:ascii="Arial" w:cs="Arial" w:eastAsia="Arial" w:hAnsi="Arial"/>
          <w:sz w:val="15"/>
          <w:szCs w:val="15"/>
          <w:color w:val="auto"/>
        </w:rPr>
      </w:pPr>
    </w:p>
    <w:p>
      <w:pPr>
        <w:ind w:left="120" w:right="220" w:hanging="115"/>
        <w:spacing w:after="0" w:line="324" w:lineRule="auto"/>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intentional and wrongful disclosure of secret processes or confidential information of the Company or an Affiliate in violation of an agreement with, or a policy of, the Company or an Affiliate;</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continued failure to substantially perform the Participant’s duties for the Company or an Affiliate;</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current alcohol or prescription drug abuse affecting work performance;</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current illegal use of drugs; or</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intentional conduct contrary to the Company’s or an Affiliate’s written policies or practices.</w:t>
      </w:r>
    </w:p>
    <w:p>
      <w:pPr>
        <w:spacing w:after="0" w:line="173" w:lineRule="exact"/>
        <w:rPr>
          <w:sz w:val="20"/>
          <w:szCs w:val="20"/>
          <w:color w:val="auto"/>
        </w:rPr>
      </w:pPr>
    </w:p>
    <w:p>
      <w:pPr>
        <w:ind w:right="700"/>
        <w:spacing w:after="0" w:line="324" w:lineRule="auto"/>
        <w:rPr>
          <w:sz w:val="20"/>
          <w:szCs w:val="20"/>
          <w:color w:val="auto"/>
        </w:rPr>
      </w:pPr>
      <w:r>
        <w:rPr>
          <w:rFonts w:ascii="Arial" w:cs="Arial" w:eastAsia="Arial" w:hAnsi="Arial"/>
          <w:sz w:val="15"/>
          <w:szCs w:val="15"/>
          <w:color w:val="auto"/>
        </w:rPr>
        <w:t>Because the applicable Award Agreements of our NEOs do not define “Good Reason”, and such persons are not a party to any employment-related agreement, no NEO is entitled to terminate his or her employment or service for Good Reason.</w:t>
      </w:r>
    </w:p>
    <w:p>
      <w:pPr>
        <w:spacing w:after="0" w:line="72"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For purposes of the above, “Disability” means a NEO is unable to engage in his or her profession due to any medically determinable physical or mental impairment that can be expected to result in death or can be expected to last for a continuous period of not less than twelve (12) months. The Compensation Committee shall certify Disability after consultation with a qualified medical examiner, and shall determine a NEO’s date of termination after considering the Participant’s position and all applicable laws.</w:t>
      </w:r>
    </w:p>
    <w:p>
      <w:pPr>
        <w:spacing w:after="0" w:line="106"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In the event that Section 409A of the Code and the guidance issued thereunder (collectively, “Section 409A”) applies and any award would be paid to a NEO upon a “separation from service” within the meaning of Section 409A, and no exemption or exclusion from Section 409A shall apply, no award shall be released to any NEO who is a “specified employee” within the meaning of Section 409A until the earlier of the first day of the seventh month after the month of such NEO’s separation from service or the NEO’s death.</w:t>
      </w:r>
    </w:p>
    <w:p>
      <w:pPr>
        <w:spacing w:after="0" w:line="106"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auto"/>
        </w:rPr>
        <w:t>The amounts shown in the following table reflect the potential value to the NEOs, as of the end of fiscal year 2024, of full acceleration of all unvested restricted stock awards upon a change in control of the Company and upon certain termination events. The amounts shown assume that a change in control or termination event was effective as of the last business day of fiscal year 2024 having been October 31, 2024. The closing market price of the Common Stock on October 31, 2024, was $25.64. The amounts below are estimates of the incremental, lump sum amounts that would be received upon a change in control or certain termination events; we can determine the actual amount only at the time of any actual change in control or termination event.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Estimated Potential Incremental Payments Upon Change in Control or Certain Termination Events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Borders>
              <w:right w:val="single" w:sz="8" w:color="E5E9ED"/>
            </w:tcBorders>
            <w:shd w:val="clear" w:color="auto" w:fill="E5E9ED"/>
          </w:tcPr>
          <w:p>
            <w:pPr>
              <w:spacing w:after="0"/>
              <w:rPr>
                <w:sz w:val="19"/>
                <w:szCs w:val="19"/>
                <w:color w:val="auto"/>
              </w:rPr>
            </w:pPr>
          </w:p>
        </w:tc>
        <w:tc>
          <w:tcPr>
            <w:tcW w:w="22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Number of Shares or</w:t>
            </w:r>
          </w:p>
        </w:tc>
        <w:tc>
          <w:tcPr>
            <w:tcW w:w="22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Market Value of Shares or</w:t>
            </w:r>
          </w:p>
        </w:tc>
        <w:tc>
          <w:tcPr>
            <w:tcW w:w="20" w:type="dxa"/>
            <w:vAlign w:val="bottom"/>
          </w:tcPr>
          <w:p>
            <w:pPr>
              <w:spacing w:after="0"/>
              <w:rPr>
                <w:sz w:val="19"/>
                <w:szCs w:val="19"/>
                <w:color w:val="auto"/>
              </w:rPr>
            </w:pPr>
          </w:p>
        </w:tc>
      </w:tr>
      <w:tr>
        <w:trPr>
          <w:trHeight w:val="175"/>
        </w:trPr>
        <w:tc>
          <w:tcPr>
            <w:tcW w:w="4780" w:type="dxa"/>
            <w:vAlign w:val="bottom"/>
            <w:tcBorders>
              <w:right w:val="single" w:sz="8" w:color="E5E9ED"/>
            </w:tcBorders>
            <w:shd w:val="clear" w:color="auto" w:fill="E5E9ED"/>
          </w:tcPr>
          <w:p>
            <w:pPr>
              <w:spacing w:after="0"/>
              <w:rPr>
                <w:sz w:val="15"/>
                <w:szCs w:val="15"/>
                <w:color w:val="auto"/>
              </w:rPr>
            </w:pPr>
          </w:p>
        </w:tc>
        <w:tc>
          <w:tcPr>
            <w:tcW w:w="22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Units of Stock That</w:t>
            </w:r>
          </w:p>
        </w:tc>
        <w:tc>
          <w:tcPr>
            <w:tcW w:w="22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Units of Stock That</w:t>
            </w:r>
          </w:p>
        </w:tc>
        <w:tc>
          <w:tcPr>
            <w:tcW w:w="20" w:type="dxa"/>
            <w:vAlign w:val="bottom"/>
          </w:tcPr>
          <w:p>
            <w:pPr>
              <w:spacing w:after="0"/>
              <w:rPr>
                <w:sz w:val="15"/>
                <w:szCs w:val="15"/>
                <w:color w:val="auto"/>
              </w:rPr>
            </w:pPr>
          </w:p>
        </w:tc>
      </w:tr>
      <w:tr>
        <w:trPr>
          <w:trHeight w:val="208"/>
        </w:trPr>
        <w:tc>
          <w:tcPr>
            <w:tcW w:w="4780" w:type="dxa"/>
            <w:vAlign w:val="bottom"/>
            <w:tcBorders>
              <w:right w:val="single" w:sz="8" w:color="E5E9ED"/>
            </w:tcBorders>
            <w:shd w:val="clear" w:color="auto" w:fill="E5E9ED"/>
          </w:tcPr>
          <w:p>
            <w:pPr>
              <w:spacing w:after="0"/>
              <w:rPr>
                <w:sz w:val="18"/>
                <w:szCs w:val="18"/>
                <w:color w:val="auto"/>
              </w:rPr>
            </w:pPr>
          </w:p>
        </w:tc>
        <w:tc>
          <w:tcPr>
            <w:tcW w:w="226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2"/>
              </w:rPr>
              <w:t>Have Not Vested</w:t>
            </w:r>
            <w:r>
              <w:rPr>
                <w:rFonts w:ascii="Arial" w:cs="Arial" w:eastAsia="Arial" w:hAnsi="Arial"/>
                <w:sz w:val="20"/>
                <w:szCs w:val="20"/>
                <w:b w:val="1"/>
                <w:bCs w:val="1"/>
                <w:color w:val="auto"/>
                <w:w w:val="92"/>
                <w:vertAlign w:val="superscript"/>
              </w:rPr>
              <w:t>(1)(2)</w:t>
            </w:r>
          </w:p>
        </w:tc>
        <w:tc>
          <w:tcPr>
            <w:tcW w:w="2220" w:type="dxa"/>
            <w:vAlign w:val="bottom"/>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4"/>
              </w:rPr>
              <w:t>Have Not Yet Vested</w:t>
            </w:r>
            <w:r>
              <w:rPr>
                <w:rFonts w:ascii="Arial" w:cs="Arial" w:eastAsia="Arial" w:hAnsi="Arial"/>
                <w:sz w:val="20"/>
                <w:szCs w:val="20"/>
                <w:b w:val="1"/>
                <w:bCs w:val="1"/>
                <w:color w:val="auto"/>
                <w:w w:val="94"/>
                <w:vertAlign w:val="superscript"/>
              </w:rPr>
              <w:t>(3)</w:t>
            </w:r>
          </w:p>
        </w:tc>
        <w:tc>
          <w:tcPr>
            <w:tcW w:w="20" w:type="dxa"/>
            <w:vAlign w:val="bottom"/>
          </w:tcPr>
          <w:p>
            <w:pPr>
              <w:spacing w:after="0"/>
              <w:rPr>
                <w:sz w:val="18"/>
                <w:szCs w:val="18"/>
                <w:color w:val="auto"/>
              </w:rPr>
            </w:pPr>
          </w:p>
        </w:tc>
      </w:tr>
      <w:tr>
        <w:trPr>
          <w:trHeight w:val="214"/>
        </w:trPr>
        <w:tc>
          <w:tcPr>
            <w:tcW w:w="4780" w:type="dxa"/>
            <w:vAlign w:val="bottom"/>
            <w:tcBorders>
              <w:bottom w:val="single" w:sz="8" w:color="E5E9ED"/>
              <w:right w:val="single" w:sz="8" w:color="E5E9ED"/>
            </w:tcBorders>
            <w:shd w:val="clear" w:color="auto" w:fill="E5E9ED"/>
          </w:tcPr>
          <w:p>
            <w:pPr>
              <w:spacing w:after="0"/>
              <w:rPr>
                <w:sz w:val="18"/>
                <w:szCs w:val="18"/>
                <w:color w:val="auto"/>
              </w:rPr>
            </w:pPr>
          </w:p>
        </w:tc>
        <w:tc>
          <w:tcPr>
            <w:tcW w:w="226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22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8"/>
                <w:szCs w:val="18"/>
                <w:color w:val="auto"/>
              </w:rPr>
            </w:pPr>
          </w:p>
        </w:tc>
      </w:tr>
      <w:tr>
        <w:trPr>
          <w:trHeight w:val="300"/>
        </w:trPr>
        <w:tc>
          <w:tcPr>
            <w:tcW w:w="4780" w:type="dxa"/>
            <w:vAlign w:val="bottom"/>
            <w:tcBorders>
              <w:top w:val="single" w:sz="8" w:color="EBF7FC"/>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Harold S. Edwards</w:t>
            </w:r>
            <w:r>
              <w:rPr>
                <w:rFonts w:ascii="Arial" w:cs="Arial" w:eastAsia="Arial" w:hAnsi="Arial"/>
                <w:sz w:val="20"/>
                <w:szCs w:val="20"/>
                <w:color w:val="auto"/>
                <w:vertAlign w:val="superscript"/>
              </w:rPr>
              <w:t>(4)</w:t>
            </w:r>
          </w:p>
        </w:tc>
        <w:tc>
          <w:tcPr>
            <w:tcW w:w="2260" w:type="dxa"/>
            <w:vAlign w:val="bottom"/>
            <w:tcBorders>
              <w:top w:val="single" w:sz="8" w:color="EBF7FC"/>
              <w:bottom w:val="single" w:sz="8" w:color="EBF7FC"/>
              <w:right w:val="single" w:sz="8" w:color="EBF7FC"/>
            </w:tcBorders>
          </w:tcPr>
          <w:p>
            <w:pPr>
              <w:jc w:val="right"/>
              <w:ind w:right="712"/>
              <w:spacing w:after="0"/>
              <w:rPr>
                <w:sz w:val="20"/>
                <w:szCs w:val="20"/>
                <w:color w:val="auto"/>
              </w:rPr>
            </w:pPr>
            <w:r>
              <w:rPr>
                <w:rFonts w:ascii="Arial" w:cs="Arial" w:eastAsia="Arial" w:hAnsi="Arial"/>
                <w:sz w:val="14"/>
                <w:szCs w:val="14"/>
                <w:color w:val="auto"/>
              </w:rPr>
              <w:t>206,893</w:t>
            </w:r>
          </w:p>
        </w:tc>
        <w:tc>
          <w:tcPr>
            <w:tcW w:w="2220" w:type="dxa"/>
            <w:vAlign w:val="bottom"/>
            <w:tcBorders>
              <w:top w:val="single" w:sz="8" w:color="EBF7FC"/>
              <w:bottom w:val="single" w:sz="8" w:color="EBF7FC"/>
            </w:tcBorders>
          </w:tcPr>
          <w:p>
            <w:pPr>
              <w:jc w:val="right"/>
              <w:ind w:right="692"/>
              <w:spacing w:after="0"/>
              <w:rPr>
                <w:sz w:val="20"/>
                <w:szCs w:val="20"/>
                <w:color w:val="auto"/>
              </w:rPr>
            </w:pPr>
            <w:r>
              <w:rPr>
                <w:rFonts w:ascii="Arial" w:cs="Arial" w:eastAsia="Arial" w:hAnsi="Arial"/>
                <w:sz w:val="14"/>
                <w:szCs w:val="14"/>
                <w:color w:val="auto"/>
              </w:rPr>
              <w:t>5,304,737</w:t>
            </w:r>
          </w:p>
        </w:tc>
        <w:tc>
          <w:tcPr>
            <w:tcW w:w="20" w:type="dxa"/>
            <w:vAlign w:val="bottom"/>
            <w:tcBorders>
              <w:top w:val="single" w:sz="8" w:color="EBF7FC"/>
            </w:tcBorders>
          </w:tcPr>
          <w:p>
            <w:pPr>
              <w:spacing w:after="0"/>
              <w:rPr>
                <w:sz w:val="24"/>
                <w:szCs w:val="24"/>
                <w:color w:val="auto"/>
              </w:rPr>
            </w:pPr>
          </w:p>
        </w:tc>
      </w:tr>
      <w:tr>
        <w:trPr>
          <w:trHeight w:val="300"/>
        </w:trPr>
        <w:tc>
          <w:tcPr>
            <w:tcW w:w="478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Mark Palamountain</w:t>
            </w:r>
            <w:r>
              <w:rPr>
                <w:rFonts w:ascii="Arial" w:cs="Arial" w:eastAsia="Arial" w:hAnsi="Arial"/>
                <w:sz w:val="20"/>
                <w:szCs w:val="20"/>
                <w:color w:val="auto"/>
                <w:vertAlign w:val="superscript"/>
              </w:rPr>
              <w:t>(5)</w:t>
            </w:r>
          </w:p>
        </w:tc>
        <w:tc>
          <w:tcPr>
            <w:tcW w:w="2260" w:type="dxa"/>
            <w:vAlign w:val="bottom"/>
            <w:tcBorders>
              <w:bottom w:val="single" w:sz="8" w:color="EBF7FC"/>
              <w:right w:val="single" w:sz="8" w:color="EBF7FC"/>
            </w:tcBorders>
            <w:shd w:val="clear" w:color="auto" w:fill="F3F9FD"/>
          </w:tcPr>
          <w:p>
            <w:pPr>
              <w:jc w:val="right"/>
              <w:ind w:right="712"/>
              <w:spacing w:after="0"/>
              <w:rPr>
                <w:sz w:val="20"/>
                <w:szCs w:val="20"/>
                <w:color w:val="auto"/>
              </w:rPr>
            </w:pPr>
            <w:r>
              <w:rPr>
                <w:rFonts w:ascii="Arial" w:cs="Arial" w:eastAsia="Arial" w:hAnsi="Arial"/>
                <w:sz w:val="14"/>
                <w:szCs w:val="14"/>
                <w:color w:val="auto"/>
              </w:rPr>
              <w:t>122,717</w:t>
            </w:r>
          </w:p>
        </w:tc>
        <w:tc>
          <w:tcPr>
            <w:tcW w:w="2220" w:type="dxa"/>
            <w:vAlign w:val="bottom"/>
            <w:tcBorders>
              <w:bottom w:val="single" w:sz="8" w:color="EBF7FC"/>
            </w:tcBorders>
            <w:shd w:val="clear" w:color="auto" w:fill="F3F9FD"/>
          </w:tcPr>
          <w:p>
            <w:pPr>
              <w:jc w:val="right"/>
              <w:ind w:right="692"/>
              <w:spacing w:after="0"/>
              <w:rPr>
                <w:sz w:val="20"/>
                <w:szCs w:val="20"/>
                <w:color w:val="auto"/>
              </w:rPr>
            </w:pPr>
            <w:r>
              <w:rPr>
                <w:rFonts w:ascii="Arial" w:cs="Arial" w:eastAsia="Arial" w:hAnsi="Arial"/>
                <w:sz w:val="14"/>
                <w:szCs w:val="14"/>
                <w:color w:val="auto"/>
              </w:rPr>
              <w:t>3,146,464</w:t>
            </w:r>
          </w:p>
        </w:tc>
        <w:tc>
          <w:tcPr>
            <w:tcW w:w="20" w:type="dxa"/>
            <w:vAlign w:val="bottom"/>
          </w:tcPr>
          <w:p>
            <w:pPr>
              <w:spacing w:after="0"/>
              <w:rPr>
                <w:sz w:val="24"/>
                <w:szCs w:val="24"/>
                <w:color w:val="auto"/>
              </w:rPr>
            </w:pPr>
          </w:p>
        </w:tc>
      </w:tr>
    </w:tbl>
    <w:p>
      <w:pPr>
        <w:spacing w:after="0" w:line="123" w:lineRule="exact"/>
        <w:rPr>
          <w:sz w:val="20"/>
          <w:szCs w:val="20"/>
          <w:color w:val="auto"/>
        </w:rPr>
      </w:pPr>
    </w:p>
    <w:p>
      <w:pPr>
        <w:ind w:left="220" w:hanging="215"/>
        <w:spacing w:after="0"/>
        <w:tabs>
          <w:tab w:leader="none" w:pos="2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Information regarding unvested restricted stock held by each NEO is set forth in the Outstanding Equity Awards table below.</w:t>
      </w:r>
    </w:p>
    <w:p>
      <w:pPr>
        <w:spacing w:after="0" w:line="156" w:lineRule="exact"/>
        <w:rPr>
          <w:rFonts w:ascii="Arial" w:cs="Arial" w:eastAsia="Arial" w:hAnsi="Arial"/>
          <w:sz w:val="12"/>
          <w:szCs w:val="12"/>
          <w:color w:val="auto"/>
        </w:rPr>
      </w:pPr>
    </w:p>
    <w:p>
      <w:pPr>
        <w:ind w:left="220" w:right="100" w:hanging="215"/>
        <w:spacing w:after="0" w:line="301" w:lineRule="auto"/>
        <w:tabs>
          <w:tab w:leader="none" w:pos="2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Termination events include death, disability, termination other than for cause (in the sole discretion of the Company), retirement, or change of control (in the case of awards granted pursuant to the 2022 Plan).</w:t>
      </w:r>
    </w:p>
    <w:p>
      <w:pPr>
        <w:spacing w:after="0" w:line="101" w:lineRule="exact"/>
        <w:rPr>
          <w:rFonts w:ascii="Arial" w:cs="Arial" w:eastAsia="Arial" w:hAnsi="Arial"/>
          <w:sz w:val="12"/>
          <w:szCs w:val="12"/>
          <w:color w:val="auto"/>
        </w:rPr>
      </w:pPr>
    </w:p>
    <w:p>
      <w:pPr>
        <w:ind w:left="220" w:hanging="215"/>
        <w:spacing w:after="0"/>
        <w:tabs>
          <w:tab w:leader="none" w:pos="2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Total value calculated assuming a change in control or termination event date as of October 31, 2024 using the closing market price on October 31, 2024 at $25.64.</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45" w:name="page46"/>
    <w:bookmarkEnd w:id="45"/>
    <w:p>
      <w:pPr>
        <w:ind w:left="220" w:right="200" w:hanging="215"/>
        <w:spacing w:after="0" w:line="301" w:lineRule="auto"/>
        <w:tabs>
          <w:tab w:leader="none" w:pos="220" w:val="left"/>
        </w:tabs>
        <w:numPr>
          <w:ilvl w:val="0"/>
          <w:numId w:val="3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Mr. Edwards had 97,284 shares of unvested restricted stock as of October 31, 2024. 20,000 of these restricted shares were equity-based discretionary retention awards. 77,284 of these restricted shares were equity-based incentive plan awards.</w:t>
      </w:r>
    </w:p>
    <w:p>
      <w:pPr>
        <w:spacing w:after="0" w:line="88"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Mr. Edwards had 109,609 shares of restricted stock vest during fiscal year 2024 on December 20, 2023; March 7, 2024; and October 31, 2024.</w:t>
      </w:r>
    </w:p>
    <w:p>
      <w:pPr>
        <w:spacing w:after="0" w:line="2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20,000 of these restricted shares were from equity-based discretionary retention awards granted December 13, 2021 and December 20, 2022.</w:t>
      </w:r>
    </w:p>
    <w:p>
      <w:pPr>
        <w:spacing w:after="0" w:line="15"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89,609 of these restricted shares were equity-based incentive plan awards granted December 20, 2022, March 7, 2023 and November 1, 2023.</w:t>
      </w:r>
    </w:p>
    <w:p>
      <w:pPr>
        <w:spacing w:after="0" w:line="151" w:lineRule="exact"/>
        <w:rPr>
          <w:rFonts w:ascii="Arial" w:cs="Arial" w:eastAsia="Arial" w:hAnsi="Arial"/>
          <w:sz w:val="12"/>
          <w:szCs w:val="12"/>
          <w:color w:val="auto"/>
        </w:rPr>
      </w:pPr>
    </w:p>
    <w:p>
      <w:pPr>
        <w:ind w:left="220" w:right="380" w:hanging="215"/>
        <w:spacing w:after="0" w:line="301" w:lineRule="auto"/>
        <w:tabs>
          <w:tab w:leader="none" w:pos="2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Mr. Palamountain had 53,570 shares of unvested restricted stock as of October 31, 2024. 10,000 of these restricted shares were equity-based discretionary retention awards. 43,570 of these restricted shares were equity-based incentive plan awards.</w:t>
      </w:r>
    </w:p>
    <w:p>
      <w:pPr>
        <w:spacing w:after="0" w:line="101" w:lineRule="exact"/>
        <w:rPr>
          <w:rFonts w:ascii="Arial" w:cs="Arial" w:eastAsia="Arial" w:hAnsi="Arial"/>
          <w:sz w:val="12"/>
          <w:szCs w:val="12"/>
          <w:color w:val="auto"/>
        </w:rPr>
      </w:pPr>
    </w:p>
    <w:p>
      <w:pPr>
        <w:ind w:left="220" w:right="1360"/>
        <w:spacing w:after="0" w:line="321" w:lineRule="auto"/>
        <w:rPr>
          <w:rFonts w:ascii="Arial" w:cs="Arial" w:eastAsia="Arial" w:hAnsi="Arial"/>
          <w:sz w:val="12"/>
          <w:szCs w:val="12"/>
          <w:color w:val="auto"/>
        </w:rPr>
      </w:pPr>
      <w:r>
        <w:rPr>
          <w:rFonts w:ascii="Arial" w:cs="Arial" w:eastAsia="Arial" w:hAnsi="Arial"/>
          <w:sz w:val="11"/>
          <w:szCs w:val="11"/>
          <w:color w:val="auto"/>
        </w:rPr>
        <w:t>Mr. Palamountain had 69,147 shares of restricted stock vest during fiscal year 2024 on December 20, 2023; March 7, 2024; and October 31, 2024. 10,000 of these restricted shares were from equity-based discretionary retention awards granted December 13, 2021 and December 20, 2022. 59,147 of these restricted shares were equity-based incentive plan awards granted December 20, 2022, March 7, 2023 and November 1, 2023.</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Perquisites and Other Personal Benefits</w:t>
      </w:r>
    </w:p>
    <w:p>
      <w:pPr>
        <w:spacing w:after="0" w:line="103"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The Compensation Committee annually reviews the perquisites that NEOs receive. The primary personal benefits for our NEOs are health and welfare benefits, including, medical, dental, vision and life insurance. The NEOs participate in these plans on the same terms as other Company employees. In addition, the Company provides vehicles to the NEOs and to other members of management.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Employment Agreements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During fiscal year 2024, the Company was not party to any employment agreements with any of our NEOs.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Hedging and Pledging Policies</w:t>
      </w:r>
    </w:p>
    <w:p>
      <w:pPr>
        <w:spacing w:after="0" w:line="103" w:lineRule="exact"/>
        <w:rPr>
          <w:sz w:val="20"/>
          <w:szCs w:val="20"/>
          <w:color w:val="auto"/>
        </w:rPr>
      </w:pPr>
    </w:p>
    <w:p>
      <w:pPr>
        <w:ind w:right="20"/>
        <w:spacing w:after="0" w:line="324" w:lineRule="auto"/>
        <w:rPr>
          <w:sz w:val="20"/>
          <w:szCs w:val="20"/>
          <w:color w:val="auto"/>
        </w:rPr>
      </w:pPr>
      <w:r>
        <w:rPr>
          <w:rFonts w:ascii="Arial" w:cs="Arial" w:eastAsia="Arial" w:hAnsi="Arial"/>
          <w:sz w:val="15"/>
          <w:szCs w:val="15"/>
          <w:color w:val="auto"/>
        </w:rPr>
        <w:t>Our Insider Trading Policy prohibits all Pre-Clearance Persons from engaging in certain short-term or speculative transactions in Covered Securities.</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Specifically, Pre-Clearance Persons are generally prohibited from engaging in hedging transactions with respect to Covered Securities, short sales of Covered Securities, short-term trading of Covered Securities (subject to certain exceptions), and transactions in put options or call options (or any derivative security that has similar characteristics to those options) on an exchange or in any other organized market. Unless a Pre-Clearance Person obtains advance approval from the compliance officer, these restrictions regarding short-term or speculative transactions also apply to such Pre-Clearance Person’s immediate family members (including his or her spouse), other persons living in such Pre-Clearance Person’s household, and entities over which such Pre-Clearance Person exercises control. The Company generally does not prohibit employees who are not Pre-Clearance Persons from engaging in the above transactions, but the Company strongly discourages all the Company’s employees (including part-time and temporary employees), officers, directors, consultants, and contractors from engaging in such transactions. In addition, Pre-Clearance Persons must obtain prior written approval from the compliance officer before holding Covered Securities in a margin account or pledging Covered Securities as collateral for a loan.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Ownership Requirement</w:t>
      </w:r>
    </w:p>
    <w:p>
      <w:pPr>
        <w:spacing w:after="0" w:line="91"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Pursuant to our Ownership Guidelines, our NEOs and directors are required to hold shares of our Common Stock having a value equal to the amount indicated in the table below rounded up to the nearest 500 shares (the “Ownership Requirement”).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60" w:type="dxa"/>
            <w:vAlign w:val="bottom"/>
            <w:tcBorders>
              <w:bottom w:val="single" w:sz="8" w:color="E5E9ED"/>
              <w:right w:val="single" w:sz="8" w:color="E5E9ED"/>
            </w:tcBorders>
            <w:shd w:val="clear" w:color="auto" w:fill="E5E9ED"/>
          </w:tcPr>
          <w:p>
            <w:pPr>
              <w:ind w:left="2060"/>
              <w:spacing w:after="0"/>
              <w:rPr>
                <w:sz w:val="20"/>
                <w:szCs w:val="20"/>
                <w:color w:val="auto"/>
              </w:rPr>
            </w:pPr>
            <w:r>
              <w:rPr>
                <w:rFonts w:ascii="Arial" w:cs="Arial" w:eastAsia="Arial" w:hAnsi="Arial"/>
                <w:sz w:val="14"/>
                <w:szCs w:val="14"/>
                <w:b w:val="1"/>
                <w:bCs w:val="1"/>
                <w:color w:val="auto"/>
              </w:rPr>
              <w:t>Position</w:t>
            </w:r>
          </w:p>
        </w:tc>
        <w:tc>
          <w:tcPr>
            <w:tcW w:w="4600" w:type="dxa"/>
            <w:vAlign w:val="bottom"/>
            <w:tcBorders>
              <w:bottom w:val="single" w:sz="8" w:color="E5E9ED"/>
            </w:tcBorders>
            <w:shd w:val="clear" w:color="auto" w:fill="E5E9ED"/>
          </w:tcPr>
          <w:p>
            <w:pPr>
              <w:ind w:left="2040"/>
              <w:spacing w:after="0"/>
              <w:rPr>
                <w:sz w:val="20"/>
                <w:szCs w:val="20"/>
                <w:color w:val="auto"/>
              </w:rPr>
            </w:pPr>
            <w:r>
              <w:rPr>
                <w:rFonts w:ascii="Arial" w:cs="Arial" w:eastAsia="Arial" w:hAnsi="Arial"/>
                <w:sz w:val="14"/>
                <w:szCs w:val="14"/>
                <w:b w:val="1"/>
                <w:bCs w:val="1"/>
                <w:color w:val="auto"/>
              </w:rPr>
              <w:t>Multiple</w:t>
            </w:r>
          </w:p>
        </w:tc>
        <w:tc>
          <w:tcPr>
            <w:tcW w:w="20" w:type="dxa"/>
            <w:vAlign w:val="bottom"/>
          </w:tcPr>
          <w:p>
            <w:pPr>
              <w:spacing w:after="0"/>
              <w:rPr>
                <w:sz w:val="22"/>
                <w:szCs w:val="22"/>
                <w:color w:val="auto"/>
              </w:rPr>
            </w:pPr>
          </w:p>
        </w:tc>
      </w:tr>
      <w:tr>
        <w:trPr>
          <w:trHeight w:val="241"/>
        </w:trPr>
        <w:tc>
          <w:tcPr>
            <w:tcW w:w="466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Chief Executive Officer</w:t>
            </w:r>
          </w:p>
        </w:tc>
        <w:tc>
          <w:tcPr>
            <w:tcW w:w="4600" w:type="dxa"/>
            <w:vAlign w:val="bottom"/>
            <w:tcBorders>
              <w:top w:val="single" w:sz="8" w:color="EBF7FC"/>
            </w:tcBorders>
          </w:tcPr>
          <w:p>
            <w:pPr>
              <w:jc w:val="center"/>
              <w:spacing w:after="0"/>
              <w:rPr>
                <w:sz w:val="20"/>
                <w:szCs w:val="20"/>
                <w:color w:val="auto"/>
              </w:rPr>
            </w:pPr>
            <w:r>
              <w:rPr>
                <w:rFonts w:ascii="Arial" w:cs="Arial" w:eastAsia="Arial" w:hAnsi="Arial"/>
                <w:sz w:val="14"/>
                <w:szCs w:val="14"/>
                <w:color w:val="auto"/>
                <w:w w:val="97"/>
              </w:rPr>
              <w:t>four (4) times base salary</w:t>
            </w:r>
          </w:p>
        </w:tc>
        <w:tc>
          <w:tcPr>
            <w:tcW w:w="20" w:type="dxa"/>
            <w:vAlign w:val="bottom"/>
            <w:tcBorders>
              <w:top w:val="single" w:sz="8" w:color="EBF7FC"/>
            </w:tcBorders>
          </w:tcPr>
          <w:p>
            <w:pPr>
              <w:spacing w:after="0"/>
              <w:rPr>
                <w:sz w:val="20"/>
                <w:szCs w:val="20"/>
                <w:color w:val="auto"/>
              </w:rPr>
            </w:pPr>
          </w:p>
        </w:tc>
      </w:tr>
      <w:tr>
        <w:trPr>
          <w:trHeight w:val="58"/>
        </w:trPr>
        <w:tc>
          <w:tcPr>
            <w:tcW w:w="4660" w:type="dxa"/>
            <w:vAlign w:val="bottom"/>
            <w:tcBorders>
              <w:bottom w:val="single" w:sz="8" w:color="EBF7FC"/>
              <w:right w:val="single" w:sz="8" w:color="EBF7FC"/>
            </w:tcBorders>
          </w:tcPr>
          <w:p>
            <w:pPr>
              <w:spacing w:after="0"/>
              <w:rPr>
                <w:sz w:val="5"/>
                <w:szCs w:val="5"/>
                <w:color w:val="auto"/>
              </w:rPr>
            </w:pPr>
          </w:p>
        </w:tc>
        <w:tc>
          <w:tcPr>
            <w:tcW w:w="460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46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Chief Financial Officer</w:t>
            </w:r>
          </w:p>
        </w:tc>
        <w:tc>
          <w:tcPr>
            <w:tcW w:w="4600" w:type="dxa"/>
            <w:vAlign w:val="bottom"/>
            <w:tcBorders>
              <w:bottom w:val="single" w:sz="8" w:color="F3F9FD"/>
            </w:tcBorders>
            <w:shd w:val="clear" w:color="auto" w:fill="F3F9FD"/>
          </w:tcPr>
          <w:p>
            <w:pPr>
              <w:jc w:val="center"/>
              <w:spacing w:after="0"/>
              <w:rPr>
                <w:sz w:val="20"/>
                <w:szCs w:val="20"/>
                <w:color w:val="auto"/>
              </w:rPr>
            </w:pPr>
            <w:r>
              <w:rPr>
                <w:rFonts w:ascii="Arial" w:cs="Arial" w:eastAsia="Arial" w:hAnsi="Arial"/>
                <w:sz w:val="14"/>
                <w:szCs w:val="14"/>
                <w:color w:val="auto"/>
                <w:w w:val="97"/>
              </w:rPr>
              <w:t>three (3) times base salary</w:t>
            </w:r>
          </w:p>
        </w:tc>
        <w:tc>
          <w:tcPr>
            <w:tcW w:w="20" w:type="dxa"/>
            <w:vAlign w:val="bottom"/>
          </w:tcPr>
          <w:p>
            <w:pPr>
              <w:spacing w:after="0"/>
              <w:rPr>
                <w:sz w:val="24"/>
                <w:szCs w:val="24"/>
                <w:color w:val="auto"/>
              </w:rPr>
            </w:pPr>
          </w:p>
        </w:tc>
      </w:tr>
      <w:tr>
        <w:trPr>
          <w:trHeight w:val="241"/>
        </w:trPr>
        <w:tc>
          <w:tcPr>
            <w:tcW w:w="466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Directors</w:t>
            </w:r>
          </w:p>
        </w:tc>
        <w:tc>
          <w:tcPr>
            <w:tcW w:w="4600" w:type="dxa"/>
            <w:vAlign w:val="bottom"/>
            <w:tcBorders>
              <w:top w:val="single" w:sz="8" w:color="EBF7FC"/>
            </w:tcBorders>
          </w:tcPr>
          <w:p>
            <w:pPr>
              <w:jc w:val="center"/>
              <w:spacing w:after="0"/>
              <w:rPr>
                <w:sz w:val="20"/>
                <w:szCs w:val="20"/>
                <w:color w:val="auto"/>
              </w:rPr>
            </w:pPr>
            <w:r>
              <w:rPr>
                <w:rFonts w:ascii="Arial" w:cs="Arial" w:eastAsia="Arial" w:hAnsi="Arial"/>
                <w:sz w:val="14"/>
                <w:szCs w:val="14"/>
                <w:color w:val="auto"/>
                <w:w w:val="95"/>
              </w:rPr>
              <w:t>$150,000</w:t>
            </w:r>
          </w:p>
        </w:tc>
        <w:tc>
          <w:tcPr>
            <w:tcW w:w="20" w:type="dxa"/>
            <w:vAlign w:val="bottom"/>
          </w:tcPr>
          <w:p>
            <w:pPr>
              <w:spacing w:after="0"/>
              <w:rPr>
                <w:sz w:val="20"/>
                <w:szCs w:val="20"/>
                <w:color w:val="auto"/>
              </w:rPr>
            </w:pPr>
          </w:p>
        </w:tc>
      </w:tr>
      <w:tr>
        <w:trPr>
          <w:trHeight w:val="58"/>
        </w:trPr>
        <w:tc>
          <w:tcPr>
            <w:tcW w:w="4660" w:type="dxa"/>
            <w:vAlign w:val="bottom"/>
            <w:tcBorders>
              <w:bottom w:val="single" w:sz="8" w:color="EBF7FC"/>
              <w:right w:val="single" w:sz="8" w:color="EBF7FC"/>
            </w:tcBorders>
          </w:tcPr>
          <w:p>
            <w:pPr>
              <w:spacing w:after="0"/>
              <w:rPr>
                <w:sz w:val="5"/>
                <w:szCs w:val="5"/>
                <w:color w:val="auto"/>
              </w:rPr>
            </w:pPr>
          </w:p>
        </w:tc>
        <w:tc>
          <w:tcPr>
            <w:tcW w:w="460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Common Stock holdings that count towards the Ownership Requirement include:</w:t>
      </w:r>
    </w:p>
    <w:p>
      <w:pPr>
        <w:spacing w:after="0" w:line="160" w:lineRule="exact"/>
        <w:rPr>
          <w:sz w:val="20"/>
          <w:szCs w:val="20"/>
          <w:color w:val="auto"/>
        </w:rPr>
      </w:pPr>
    </w:p>
    <w:p>
      <w:pPr>
        <w:ind w:left="120" w:hanging="115"/>
        <w:spacing w:after="0"/>
        <w:tabs>
          <w:tab w:leader="none" w:pos="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owned directly, including unvested service-based restricted shares and restricted stock units (RSUs);</w:t>
      </w:r>
    </w:p>
    <w:p>
      <w:pPr>
        <w:spacing w:after="0" w:line="172" w:lineRule="exact"/>
        <w:rPr>
          <w:rFonts w:ascii="Arial" w:cs="Arial" w:eastAsia="Arial" w:hAnsi="Arial"/>
          <w:sz w:val="15"/>
          <w:szCs w:val="15"/>
          <w:color w:val="auto"/>
        </w:rPr>
      </w:pPr>
    </w:p>
    <w:p>
      <w:pPr>
        <w:ind w:left="120" w:right="460" w:hanging="115"/>
        <w:spacing w:after="0" w:line="324" w:lineRule="auto"/>
        <w:tabs>
          <w:tab w:leader="none" w:pos="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held outright by the Covered Executives and Directors, whether acquired through open market purchase, vesting of stock awards or stock option exercise;</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Shares held by the spouse or dependent children of the Covered Executives and Directors; and</w:t>
      </w:r>
    </w:p>
    <w:p>
      <w:pPr>
        <w:sectPr>
          <w:pgSz w:w="11900" w:h="16838" w:orient="portrait"/>
          <w:cols w:equalWidth="0" w:num="1">
            <w:col w:w="9320"/>
          </w:cols>
          <w:pgMar w:left="1300" w:top="120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09" w:right="1279" w:bottom="1440" w:gutter="0" w:footer="0" w:header="0"/>
          <w:type w:val="continuous"/>
        </w:sectPr>
      </w:pPr>
    </w:p>
    <w:bookmarkStart w:id="46" w:name="page47"/>
    <w:bookmarkEnd w:id="46"/>
    <w:p>
      <w:pPr>
        <w:ind w:left="120" w:right="440" w:hanging="115"/>
        <w:spacing w:after="0" w:line="324" w:lineRule="auto"/>
        <w:tabs>
          <w:tab w:leader="none" w:pos="120" w:val="left"/>
        </w:tabs>
        <w:numPr>
          <w:ilvl w:val="0"/>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Shares held in trust for the economic benefit of the Covered Executives and Directors, or the spouse or dependent children of the Covered Executives and Directors.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Common stock holdings that do not count towards the Ownership Requirement include:</w:t>
      </w:r>
    </w:p>
    <w:p>
      <w:pPr>
        <w:spacing w:after="0" w:line="173" w:lineRule="exact"/>
        <w:rPr>
          <w:sz w:val="20"/>
          <w:szCs w:val="20"/>
          <w:color w:val="auto"/>
        </w:rPr>
      </w:pPr>
    </w:p>
    <w:p>
      <w:pPr>
        <w:ind w:left="120" w:right="400" w:hanging="115"/>
        <w:spacing w:after="0" w:line="324" w:lineRule="auto"/>
        <w:tabs>
          <w:tab w:leader="none" w:pos="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Unvested restricted shares or RSUs that remain subject to achievement of performance goals (Covered Executives only), such as performance share units;</w:t>
      </w:r>
    </w:p>
    <w:p>
      <w:pPr>
        <w:spacing w:after="0" w:line="84" w:lineRule="exact"/>
        <w:rPr>
          <w:rFonts w:ascii="Arial" w:cs="Arial" w:eastAsia="Arial" w:hAnsi="Arial"/>
          <w:sz w:val="15"/>
          <w:szCs w:val="15"/>
          <w:color w:val="auto"/>
        </w:rPr>
      </w:pPr>
    </w:p>
    <w:p>
      <w:pPr>
        <w:ind w:left="120" w:hanging="115"/>
        <w:spacing w:after="0"/>
        <w:tabs>
          <w:tab w:leader="none" w:pos="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Shares held in a margin account or pledged shares; and</w:t>
      </w:r>
    </w:p>
    <w:p>
      <w:pPr>
        <w:spacing w:after="0" w:line="160" w:lineRule="exact"/>
        <w:rPr>
          <w:rFonts w:ascii="Arial" w:cs="Arial" w:eastAsia="Arial" w:hAnsi="Arial"/>
          <w:sz w:val="15"/>
          <w:szCs w:val="15"/>
          <w:color w:val="auto"/>
        </w:rPr>
      </w:pPr>
    </w:p>
    <w:p>
      <w:pPr>
        <w:ind w:left="120" w:right="20" w:hanging="115"/>
        <w:spacing w:after="0" w:line="304" w:lineRule="auto"/>
        <w:tabs>
          <w:tab w:leader="none" w:pos="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Shares covered under an existing annual 10b5-1 trading plan established prior to the effective date of the Ownership Guidelines will not be counted toward meeting the Ownership Requirement. In addition, establishing any new 10b5-1 plans will not be permitted until the Covered Executive or Director has achieved the Ownership Requirement.</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Other</w:t>
      </w:r>
    </w:p>
    <w:p>
      <w:pPr>
        <w:spacing w:after="0" w:line="9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The Compensation Committee also considers the accounting, tax, and stockholder dilutive costs of specific compensation programs, and seeks to balance the earnings, tax, and dilutive impact of executive compensation plans with the need to attract, retain and motivate highly qualified executives.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Chief Executive Officer Pay Ratio</w:t>
      </w:r>
    </w:p>
    <w:p>
      <w:pPr>
        <w:spacing w:after="0" w:line="9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In connection with the Dodd-Frank Wall Street Reform and Consumer Protection Act, as amended, the SEC adopted a rule requiring annual disclosure of the ratio of the annual total compensation (“Total Compensation”) of the Company’s median employee (excluding the Chief Executive Officer), to the Total Compensation of the Company’s Chief Executive Officer (the “CEO Pay Ratio”).</w:t>
      </w:r>
    </w:p>
    <w:p>
      <w:pPr>
        <w:spacing w:after="0" w:line="99"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In identifying the median employee, the Company prepared a list of all employees of the Company, excluding the Chief Executive Officer, along with their annual base wages and salaries (“Annual Earnings”) as of October 31, 2024. The median employee was selected from this list. The median employee’s Total Compensation was then calculated by adding to their Annual Earnings all other compensation for fiscal year 2024, which includes equity incentive awards, annual cash incentives, the change in pension value and nonqualified deferred compensation earnings, Company-paid life insurance premiums, profit sharing and Company contributions made under the 401(k) Plan and personal usage of Company vehicles.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Based on the information above, the CEO Pay Ratio for fiscal year 2024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32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Median Employee Total Compensation for Fiscal Year 2024</w:t>
            </w:r>
          </w:p>
        </w:tc>
        <w:tc>
          <w:tcPr>
            <w:tcW w:w="98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$ 48,249</w:t>
            </w:r>
          </w:p>
        </w:tc>
      </w:tr>
      <w:tr>
        <w:trPr>
          <w:trHeight w:val="46"/>
        </w:trPr>
        <w:tc>
          <w:tcPr>
            <w:tcW w:w="8320" w:type="dxa"/>
            <w:vAlign w:val="bottom"/>
            <w:tcBorders>
              <w:bottom w:val="single" w:sz="8" w:color="EBF7FC"/>
              <w:right w:val="single" w:sz="8" w:color="EBF7FC"/>
            </w:tcBorders>
          </w:tcPr>
          <w:p>
            <w:pPr>
              <w:spacing w:after="0"/>
              <w:rPr>
                <w:sz w:val="3"/>
                <w:szCs w:val="3"/>
                <w:color w:val="auto"/>
              </w:rPr>
            </w:pPr>
          </w:p>
        </w:tc>
        <w:tc>
          <w:tcPr>
            <w:tcW w:w="980" w:type="dxa"/>
            <w:vAlign w:val="bottom"/>
            <w:tcBorders>
              <w:bottom w:val="single" w:sz="8" w:color="EBF7FC"/>
            </w:tcBorders>
          </w:tcPr>
          <w:p>
            <w:pPr>
              <w:spacing w:after="0"/>
              <w:rPr>
                <w:sz w:val="3"/>
                <w:szCs w:val="3"/>
                <w:color w:val="auto"/>
              </w:rPr>
            </w:pPr>
          </w:p>
        </w:tc>
      </w:tr>
      <w:tr>
        <w:trPr>
          <w:trHeight w:val="279"/>
        </w:trPr>
        <w:tc>
          <w:tcPr>
            <w:tcW w:w="832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CEO Total Compensation for Fiscal Year 2024</w:t>
            </w:r>
          </w:p>
        </w:tc>
        <w:tc>
          <w:tcPr>
            <w:tcW w:w="980" w:type="dxa"/>
            <w:vAlign w:val="bottom"/>
            <w:tcBorders>
              <w:bottom w:val="single" w:sz="8" w:color="F3F9FD"/>
            </w:tcBorders>
            <w:shd w:val="clear" w:color="auto" w:fill="F3F9FD"/>
          </w:tcPr>
          <w:p>
            <w:pPr>
              <w:jc w:val="right"/>
              <w:ind w:right="32"/>
              <w:spacing w:after="0"/>
              <w:rPr>
                <w:sz w:val="20"/>
                <w:szCs w:val="20"/>
                <w:color w:val="auto"/>
              </w:rPr>
            </w:pPr>
            <w:r>
              <w:rPr>
                <w:rFonts w:ascii="Arial" w:cs="Arial" w:eastAsia="Arial" w:hAnsi="Arial"/>
                <w:sz w:val="14"/>
                <w:szCs w:val="14"/>
                <w:color w:val="auto"/>
              </w:rPr>
              <w:t>$2,498,908</w:t>
            </w:r>
          </w:p>
        </w:tc>
      </w:tr>
      <w:tr>
        <w:trPr>
          <w:trHeight w:val="229"/>
        </w:trPr>
        <w:tc>
          <w:tcPr>
            <w:tcW w:w="832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Ratio of Median Employee Total Compensation to CEO Total Compensation for Fiscal Year 2024</w:t>
            </w:r>
          </w:p>
        </w:tc>
        <w:tc>
          <w:tcPr>
            <w:tcW w:w="980" w:type="dxa"/>
            <w:vAlign w:val="bottom"/>
            <w:tcBorders>
              <w:top w:val="single" w:sz="8" w:color="EBF7FC"/>
            </w:tcBorders>
          </w:tcPr>
          <w:p>
            <w:pPr>
              <w:jc w:val="right"/>
              <w:ind w:right="32"/>
              <w:spacing w:after="0"/>
              <w:rPr>
                <w:sz w:val="20"/>
                <w:szCs w:val="20"/>
                <w:color w:val="auto"/>
              </w:rPr>
            </w:pPr>
            <w:r>
              <w:rPr>
                <w:rFonts w:ascii="Arial" w:cs="Arial" w:eastAsia="Arial" w:hAnsi="Arial"/>
                <w:sz w:val="14"/>
                <w:szCs w:val="14"/>
                <w:color w:val="auto"/>
              </w:rPr>
              <w:t>52:1</w:t>
            </w:r>
          </w:p>
        </w:tc>
      </w:tr>
      <w:tr>
        <w:trPr>
          <w:trHeight w:val="46"/>
        </w:trPr>
        <w:tc>
          <w:tcPr>
            <w:tcW w:w="8320" w:type="dxa"/>
            <w:vAlign w:val="bottom"/>
            <w:tcBorders>
              <w:bottom w:val="single" w:sz="8" w:color="EBF7FC"/>
              <w:right w:val="single" w:sz="8" w:color="EBF7FC"/>
            </w:tcBorders>
          </w:tcPr>
          <w:p>
            <w:pPr>
              <w:spacing w:after="0"/>
              <w:rPr>
                <w:sz w:val="3"/>
                <w:szCs w:val="3"/>
                <w:color w:val="auto"/>
              </w:rPr>
            </w:pPr>
          </w:p>
        </w:tc>
        <w:tc>
          <w:tcPr>
            <w:tcW w:w="980" w:type="dxa"/>
            <w:vAlign w:val="bottom"/>
            <w:tcBorders>
              <w:bottom w:val="single" w:sz="8" w:color="EBF7FC"/>
            </w:tcBorders>
          </w:tcPr>
          <w:p>
            <w:pPr>
              <w:spacing w:after="0"/>
              <w:rPr>
                <w:sz w:val="3"/>
                <w:szCs w:val="3"/>
                <w:color w:val="auto"/>
              </w:rPr>
            </w:pPr>
          </w:p>
        </w:tc>
      </w:tr>
    </w:tbl>
    <w:p>
      <w:pPr>
        <w:spacing w:after="0" w:line="141"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The CEO Pay Ratio for fiscal year 2024 includes an annual performance compensation award, annual restricted share-based award, and two (2) SSP Bonuses. The SSP Bonuses were awarded as described above under “Strategic Special Project Bonus” primarily related to the sale of Phase 2 of our joint venture with Lewis. The CEO Pay Ratio for fiscal year 2024 is down from 80:1 for fiscal year 2023 primarily due to the $2,000,000 SSP Bonus awarded to Mr. Edwards in March 2023, in conjunction with the sale of our Northern Properties.</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438BCB"/>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Summary Compensation Table for Fiscal Years 2024, 2023 and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tcBorders>
              <w:right w:val="single" w:sz="8" w:color="E5E9ED"/>
            </w:tcBorders>
            <w:shd w:val="clear" w:color="auto" w:fill="E5E9ED"/>
          </w:tcPr>
          <w:p>
            <w:pPr>
              <w:spacing w:after="0"/>
              <w:rPr>
                <w:sz w:val="19"/>
                <w:szCs w:val="19"/>
                <w:color w:val="auto"/>
              </w:rPr>
            </w:pPr>
          </w:p>
        </w:tc>
        <w:tc>
          <w:tcPr>
            <w:tcW w:w="680" w:type="dxa"/>
            <w:vAlign w:val="bottom"/>
            <w:tcBorders>
              <w:right w:val="single" w:sz="8" w:color="E5E9ED"/>
            </w:tcBorders>
            <w:shd w:val="clear" w:color="auto" w:fill="E5E9ED"/>
          </w:tcPr>
          <w:p>
            <w:pPr>
              <w:spacing w:after="0"/>
              <w:rPr>
                <w:sz w:val="19"/>
                <w:szCs w:val="19"/>
                <w:color w:val="auto"/>
              </w:rPr>
            </w:pPr>
          </w:p>
        </w:tc>
        <w:tc>
          <w:tcPr>
            <w:tcW w:w="820" w:type="dxa"/>
            <w:vAlign w:val="bottom"/>
            <w:tcBorders>
              <w:right w:val="single" w:sz="8" w:color="E5E9ED"/>
            </w:tcBorders>
            <w:shd w:val="clear" w:color="auto" w:fill="E5E9ED"/>
          </w:tcPr>
          <w:p>
            <w:pPr>
              <w:spacing w:after="0"/>
              <w:rPr>
                <w:sz w:val="19"/>
                <w:szCs w:val="19"/>
                <w:color w:val="auto"/>
              </w:rPr>
            </w:pPr>
          </w:p>
        </w:tc>
        <w:tc>
          <w:tcPr>
            <w:tcW w:w="13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3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tcBorders>
              <w:right w:val="single" w:sz="8" w:color="E5E9ED"/>
            </w:tcBorders>
            <w:shd w:val="clear" w:color="auto" w:fill="E5E9ED"/>
          </w:tcPr>
          <w:p>
            <w:pPr>
              <w:spacing w:after="0"/>
              <w:rPr>
                <w:sz w:val="19"/>
                <w:szCs w:val="19"/>
                <w:color w:val="auto"/>
              </w:rPr>
            </w:pPr>
          </w:p>
        </w:tc>
        <w:tc>
          <w:tcPr>
            <w:tcW w:w="960" w:type="dxa"/>
            <w:vAlign w:val="bottom"/>
            <w:shd w:val="clear" w:color="auto" w:fill="E5E9ED"/>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20" w:type="dxa"/>
            <w:vAlign w:val="bottom"/>
            <w:tcBorders>
              <w:right w:val="single" w:sz="8" w:color="E5E9ED"/>
            </w:tcBorders>
            <w:shd w:val="clear" w:color="auto" w:fill="E5E9ED"/>
          </w:tcPr>
          <w:p>
            <w:pPr>
              <w:spacing w:after="0"/>
              <w:rPr>
                <w:sz w:val="14"/>
                <w:szCs w:val="14"/>
                <w:color w:val="auto"/>
              </w:rPr>
            </w:pPr>
          </w:p>
        </w:tc>
        <w:tc>
          <w:tcPr>
            <w:tcW w:w="680" w:type="dxa"/>
            <w:vAlign w:val="bottom"/>
            <w:tcBorders>
              <w:right w:val="single" w:sz="8" w:color="E5E9ED"/>
            </w:tcBorders>
            <w:shd w:val="clear" w:color="auto" w:fill="E5E9ED"/>
          </w:tcPr>
          <w:p>
            <w:pPr>
              <w:spacing w:after="0"/>
              <w:rPr>
                <w:sz w:val="14"/>
                <w:szCs w:val="14"/>
                <w:color w:val="auto"/>
              </w:rPr>
            </w:pPr>
          </w:p>
        </w:tc>
        <w:tc>
          <w:tcPr>
            <w:tcW w:w="820" w:type="dxa"/>
            <w:vAlign w:val="bottom"/>
            <w:tcBorders>
              <w:right w:val="single" w:sz="8" w:color="E5E9ED"/>
            </w:tcBorders>
            <w:shd w:val="clear" w:color="auto" w:fill="E5E9ED"/>
          </w:tcPr>
          <w:p>
            <w:pPr>
              <w:spacing w:after="0"/>
              <w:rPr>
                <w:sz w:val="14"/>
                <w:szCs w:val="14"/>
                <w:color w:val="auto"/>
              </w:rPr>
            </w:pPr>
          </w:p>
        </w:tc>
        <w:tc>
          <w:tcPr>
            <w:tcW w:w="13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Incentive Plan</w:t>
            </w:r>
          </w:p>
        </w:tc>
        <w:tc>
          <w:tcPr>
            <w:tcW w:w="13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Incentive Plan</w:t>
            </w:r>
          </w:p>
        </w:tc>
        <w:tc>
          <w:tcPr>
            <w:tcW w:w="13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960" w:type="dxa"/>
            <w:vAlign w:val="bottom"/>
            <w:shd w:val="clear" w:color="auto" w:fill="E5E9ED"/>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820" w:type="dxa"/>
            <w:vAlign w:val="bottom"/>
            <w:tcBorders>
              <w:right w:val="single" w:sz="8" w:color="E5E9ED"/>
            </w:tcBorders>
            <w:shd w:val="clear" w:color="auto" w:fill="E5E9ED"/>
          </w:tcPr>
          <w:p>
            <w:pPr>
              <w:spacing w:after="0"/>
              <w:rPr>
                <w:sz w:val="18"/>
                <w:szCs w:val="18"/>
                <w:color w:val="auto"/>
              </w:rPr>
            </w:pPr>
          </w:p>
        </w:tc>
        <w:tc>
          <w:tcPr>
            <w:tcW w:w="6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rPr>
              <w:t>Fiscal</w:t>
            </w:r>
          </w:p>
        </w:tc>
        <w:tc>
          <w:tcPr>
            <w:tcW w:w="820" w:type="dxa"/>
            <w:vAlign w:val="bottom"/>
            <w:tcBorders>
              <w:right w:val="single" w:sz="8" w:color="E5E9ED"/>
            </w:tcBorders>
            <w:shd w:val="clear" w:color="auto" w:fill="E5E9ED"/>
          </w:tcPr>
          <w:p>
            <w:pPr>
              <w:ind w:left="180"/>
              <w:spacing w:after="0"/>
              <w:rPr>
                <w:sz w:val="20"/>
                <w:szCs w:val="20"/>
                <w:color w:val="auto"/>
              </w:rPr>
            </w:pPr>
            <w:r>
              <w:rPr>
                <w:rFonts w:ascii="Arial" w:cs="Arial" w:eastAsia="Arial" w:hAnsi="Arial"/>
                <w:sz w:val="14"/>
                <w:szCs w:val="14"/>
                <w:b w:val="1"/>
                <w:bCs w:val="1"/>
                <w:color w:val="auto"/>
              </w:rPr>
              <w:t>Salary</w:t>
            </w:r>
          </w:p>
        </w:tc>
        <w:tc>
          <w:tcPr>
            <w:tcW w:w="134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20"/>
                <w:szCs w:val="20"/>
                <w:b w:val="1"/>
                <w:bCs w:val="1"/>
                <w:color w:val="auto"/>
                <w:w w:val="92"/>
                <w:vertAlign w:val="superscript"/>
              </w:rPr>
              <w:t>(1)(3)</w:t>
            </w:r>
          </w:p>
        </w:tc>
        <w:tc>
          <w:tcPr>
            <w:tcW w:w="136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5"/>
              </w:rPr>
              <w:t>Compensation</w:t>
            </w:r>
            <w:r>
              <w:rPr>
                <w:rFonts w:ascii="Arial" w:cs="Arial" w:eastAsia="Arial" w:hAnsi="Arial"/>
                <w:sz w:val="20"/>
                <w:szCs w:val="20"/>
                <w:b w:val="1"/>
                <w:bCs w:val="1"/>
                <w:color w:val="auto"/>
                <w:w w:val="95"/>
                <w:vertAlign w:val="superscript"/>
              </w:rPr>
              <w:t>(2)</w:t>
            </w:r>
          </w:p>
        </w:tc>
        <w:tc>
          <w:tcPr>
            <w:tcW w:w="132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5"/>
              </w:rPr>
              <w:t>Compensation</w:t>
            </w:r>
            <w:r>
              <w:rPr>
                <w:rFonts w:ascii="Arial" w:cs="Arial" w:eastAsia="Arial" w:hAnsi="Arial"/>
                <w:sz w:val="20"/>
                <w:szCs w:val="20"/>
                <w:b w:val="1"/>
                <w:bCs w:val="1"/>
                <w:color w:val="auto"/>
                <w:w w:val="95"/>
                <w:vertAlign w:val="superscript"/>
              </w:rPr>
              <w:t>(4)</w:t>
            </w:r>
          </w:p>
        </w:tc>
        <w:tc>
          <w:tcPr>
            <w:tcW w:w="960" w:type="dxa"/>
            <w:vAlign w:val="bottom"/>
            <w:shd w:val="clear" w:color="auto" w:fill="E5E9ED"/>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820" w:type="dxa"/>
            <w:vAlign w:val="bottom"/>
            <w:tcBorders>
              <w:bottom w:val="single" w:sz="8" w:color="EBF7FC"/>
              <w:right w:val="single" w:sz="8" w:color="E5E9ED"/>
            </w:tcBorders>
            <w:shd w:val="clear" w:color="auto" w:fill="E5E9ED"/>
          </w:tcPr>
          <w:p>
            <w:pPr>
              <w:spacing w:after="0"/>
              <w:rPr>
                <w:sz w:val="18"/>
                <w:szCs w:val="18"/>
                <w:color w:val="auto"/>
              </w:rPr>
            </w:pPr>
          </w:p>
        </w:tc>
        <w:tc>
          <w:tcPr>
            <w:tcW w:w="68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2"/>
              </w:rPr>
              <w:t>Year</w:t>
            </w:r>
          </w:p>
        </w:tc>
        <w:tc>
          <w:tcPr>
            <w:tcW w:w="820" w:type="dxa"/>
            <w:vAlign w:val="bottom"/>
            <w:tcBorders>
              <w:bottom w:val="single" w:sz="8" w:color="EBF7FC"/>
              <w:right w:val="single" w:sz="8" w:color="E5E9ED"/>
            </w:tcBorders>
            <w:shd w:val="clear" w:color="auto" w:fill="E5E9ED"/>
          </w:tcPr>
          <w:p>
            <w:pPr>
              <w:ind w:left="30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tcBorders>
              <w:bottom w:val="single" w:sz="8" w:color="EBF7FC"/>
            </w:tcBorders>
            <w:shd w:val="clear" w:color="auto" w:fill="E5E9ED"/>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20" w:type="dxa"/>
            <w:vAlign w:val="bottom"/>
            <w:tcBorders>
              <w:right w:val="single" w:sz="8" w:color="EBF7FC"/>
            </w:tcBorders>
          </w:tcPr>
          <w:p>
            <w:pPr>
              <w:ind w:left="80"/>
              <w:spacing w:after="0"/>
              <w:rPr>
                <w:sz w:val="20"/>
                <w:szCs w:val="20"/>
                <w:color w:val="auto"/>
              </w:rPr>
            </w:pPr>
            <w:r>
              <w:rPr>
                <w:rFonts w:ascii="Arial" w:cs="Arial" w:eastAsia="Arial" w:hAnsi="Arial"/>
                <w:sz w:val="14"/>
                <w:szCs w:val="14"/>
                <w:color w:val="auto"/>
              </w:rPr>
              <w:t>Harold Edwards</w:t>
            </w:r>
          </w:p>
        </w:tc>
        <w:tc>
          <w:tcPr>
            <w:tcW w:w="680" w:type="dxa"/>
            <w:vAlign w:val="bottom"/>
            <w:tcBorders>
              <w:right w:val="single" w:sz="8" w:color="EBF7FC"/>
            </w:tcBorders>
          </w:tcPr>
          <w:p>
            <w:pPr>
              <w:jc w:val="center"/>
              <w:spacing w:after="0"/>
              <w:rPr>
                <w:sz w:val="20"/>
                <w:szCs w:val="20"/>
                <w:color w:val="auto"/>
              </w:rPr>
            </w:pPr>
            <w:r>
              <w:rPr>
                <w:rFonts w:ascii="Arial" w:cs="Arial" w:eastAsia="Arial" w:hAnsi="Arial"/>
                <w:sz w:val="14"/>
                <w:szCs w:val="14"/>
                <w:color w:val="auto"/>
                <w:w w:val="96"/>
              </w:rPr>
              <w:t>2024</w:t>
            </w:r>
          </w:p>
        </w:tc>
        <w:tc>
          <w:tcPr>
            <w:tcW w:w="820" w:type="dxa"/>
            <w:vAlign w:val="bottom"/>
            <w:tcBorders>
              <w:right w:val="single" w:sz="8" w:color="EBF7FC"/>
            </w:tcBorders>
          </w:tcPr>
          <w:p>
            <w:pPr>
              <w:ind w:left="200"/>
              <w:spacing w:after="0"/>
              <w:rPr>
                <w:sz w:val="20"/>
                <w:szCs w:val="20"/>
                <w:color w:val="auto"/>
              </w:rPr>
            </w:pPr>
            <w:r>
              <w:rPr>
                <w:rFonts w:ascii="Arial" w:cs="Arial" w:eastAsia="Arial" w:hAnsi="Arial"/>
                <w:sz w:val="14"/>
                <w:szCs w:val="14"/>
                <w:color w:val="auto"/>
              </w:rPr>
              <w:t>719,250</w:t>
            </w:r>
          </w:p>
        </w:tc>
        <w:tc>
          <w:tcPr>
            <w:tcW w:w="1340" w:type="dxa"/>
            <w:vAlign w:val="bottom"/>
            <w:tcBorders>
              <w:right w:val="single" w:sz="8" w:color="EBF7FC"/>
            </w:tcBorders>
          </w:tcPr>
          <w:p>
            <w:pPr>
              <w:jc w:val="right"/>
              <w:ind w:right="252"/>
              <w:spacing w:after="0"/>
              <w:rPr>
                <w:sz w:val="20"/>
                <w:szCs w:val="20"/>
                <w:color w:val="auto"/>
              </w:rPr>
            </w:pPr>
            <w:r>
              <w:rPr>
                <w:rFonts w:ascii="Arial" w:cs="Arial" w:eastAsia="Arial" w:hAnsi="Arial"/>
                <w:sz w:val="14"/>
                <w:szCs w:val="14"/>
                <w:color w:val="auto"/>
              </w:rPr>
              <w:t>955,704</w:t>
            </w:r>
          </w:p>
        </w:tc>
        <w:tc>
          <w:tcPr>
            <w:tcW w:w="1360" w:type="dxa"/>
            <w:vAlign w:val="bottom"/>
            <w:tcBorders>
              <w:right w:val="single" w:sz="8" w:color="EBF7FC"/>
            </w:tcBorders>
          </w:tcPr>
          <w:p>
            <w:pPr>
              <w:jc w:val="right"/>
              <w:ind w:right="232"/>
              <w:spacing w:after="0"/>
              <w:rPr>
                <w:sz w:val="20"/>
                <w:szCs w:val="20"/>
                <w:color w:val="auto"/>
              </w:rPr>
            </w:pPr>
            <w:r>
              <w:rPr>
                <w:rFonts w:ascii="Arial" w:cs="Arial" w:eastAsia="Arial" w:hAnsi="Arial"/>
                <w:sz w:val="14"/>
                <w:szCs w:val="14"/>
                <w:color w:val="auto"/>
              </w:rPr>
              <w:t>751,483</w:t>
            </w:r>
          </w:p>
        </w:tc>
        <w:tc>
          <w:tcPr>
            <w:tcW w:w="1320" w:type="dxa"/>
            <w:vAlign w:val="bottom"/>
            <w:tcBorders>
              <w:right w:val="single" w:sz="8" w:color="EBF7FC"/>
            </w:tcBorders>
          </w:tcPr>
          <w:p>
            <w:pPr>
              <w:jc w:val="right"/>
              <w:ind w:right="252"/>
              <w:spacing w:after="0"/>
              <w:rPr>
                <w:sz w:val="20"/>
                <w:szCs w:val="20"/>
                <w:color w:val="auto"/>
              </w:rPr>
            </w:pPr>
            <w:r>
              <w:rPr>
                <w:rFonts w:ascii="Arial" w:cs="Arial" w:eastAsia="Arial" w:hAnsi="Arial"/>
                <w:sz w:val="14"/>
                <w:szCs w:val="14"/>
                <w:color w:val="auto"/>
              </w:rPr>
              <w:t>72,471</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2,498,908</w:t>
            </w:r>
          </w:p>
        </w:tc>
        <w:tc>
          <w:tcPr>
            <w:tcW w:w="0" w:type="dxa"/>
            <w:vAlign w:val="bottom"/>
          </w:tcPr>
          <w:p>
            <w:pPr>
              <w:spacing w:after="0"/>
              <w:rPr>
                <w:sz w:val="1"/>
                <w:szCs w:val="1"/>
                <w:color w:val="auto"/>
              </w:rPr>
            </w:pPr>
          </w:p>
        </w:tc>
      </w:tr>
      <w:tr>
        <w:trPr>
          <w:trHeight w:val="46"/>
        </w:trPr>
        <w:tc>
          <w:tcPr>
            <w:tcW w:w="2820" w:type="dxa"/>
            <w:vAlign w:val="bottom"/>
            <w:tcBorders>
              <w:right w:val="single" w:sz="8" w:color="EBF7FC"/>
            </w:tcBorders>
            <w:vMerge w:val="restart"/>
          </w:tcPr>
          <w:p>
            <w:pPr>
              <w:ind w:left="80"/>
              <w:spacing w:after="0"/>
              <w:rPr>
                <w:sz w:val="20"/>
                <w:szCs w:val="20"/>
                <w:color w:val="auto"/>
              </w:rPr>
            </w:pPr>
            <w:r>
              <w:rPr>
                <w:rFonts w:ascii="Arial" w:cs="Arial" w:eastAsia="Arial" w:hAnsi="Arial"/>
                <w:sz w:val="14"/>
                <w:szCs w:val="14"/>
                <w:color w:val="auto"/>
              </w:rPr>
              <w:t>President &amp; Chief Executive Officer</w:t>
            </w:r>
          </w:p>
        </w:tc>
        <w:tc>
          <w:tcPr>
            <w:tcW w:w="680" w:type="dxa"/>
            <w:vAlign w:val="bottom"/>
            <w:tcBorders>
              <w:bottom w:val="single" w:sz="8" w:color="EBF7FC"/>
              <w:right w:val="single" w:sz="8" w:color="EBF7FC"/>
            </w:tcBorders>
          </w:tcPr>
          <w:p>
            <w:pPr>
              <w:spacing w:after="0"/>
              <w:rPr>
                <w:sz w:val="3"/>
                <w:szCs w:val="3"/>
                <w:color w:val="auto"/>
              </w:rPr>
            </w:pPr>
          </w:p>
        </w:tc>
        <w:tc>
          <w:tcPr>
            <w:tcW w:w="820" w:type="dxa"/>
            <w:vAlign w:val="bottom"/>
            <w:tcBorders>
              <w:bottom w:val="single" w:sz="8" w:color="EBF7FC"/>
              <w:right w:val="single" w:sz="8" w:color="EBF7FC"/>
            </w:tcBorders>
          </w:tcPr>
          <w:p>
            <w:pPr>
              <w:spacing w:after="0"/>
              <w:rPr>
                <w:sz w:val="3"/>
                <w:szCs w:val="3"/>
                <w:color w:val="auto"/>
              </w:rPr>
            </w:pPr>
          </w:p>
        </w:tc>
        <w:tc>
          <w:tcPr>
            <w:tcW w:w="1340" w:type="dxa"/>
            <w:vAlign w:val="bottom"/>
            <w:tcBorders>
              <w:bottom w:val="single" w:sz="8" w:color="EBF7FC"/>
              <w:right w:val="single" w:sz="8" w:color="EBF7FC"/>
            </w:tcBorders>
          </w:tcPr>
          <w:p>
            <w:pPr>
              <w:spacing w:after="0"/>
              <w:rPr>
                <w:sz w:val="3"/>
                <w:szCs w:val="3"/>
                <w:color w:val="auto"/>
              </w:rPr>
            </w:pPr>
          </w:p>
        </w:tc>
        <w:tc>
          <w:tcPr>
            <w:tcW w:w="1360" w:type="dxa"/>
            <w:vAlign w:val="bottom"/>
            <w:tcBorders>
              <w:bottom w:val="single" w:sz="8" w:color="EBF7FC"/>
              <w:right w:val="single" w:sz="8" w:color="EBF7FC"/>
            </w:tcBorders>
          </w:tcPr>
          <w:p>
            <w:pPr>
              <w:spacing w:after="0"/>
              <w:rPr>
                <w:sz w:val="3"/>
                <w:szCs w:val="3"/>
                <w:color w:val="auto"/>
              </w:rPr>
            </w:pPr>
          </w:p>
        </w:tc>
        <w:tc>
          <w:tcPr>
            <w:tcW w:w="1320" w:type="dxa"/>
            <w:vAlign w:val="bottom"/>
            <w:tcBorders>
              <w:bottom w:val="single" w:sz="8" w:color="EBF7FC"/>
              <w:right w:val="single" w:sz="8" w:color="EBF7FC"/>
            </w:tcBorders>
          </w:tcPr>
          <w:p>
            <w:pPr>
              <w:spacing w:after="0"/>
              <w:rPr>
                <w:sz w:val="3"/>
                <w:szCs w:val="3"/>
                <w:color w:val="auto"/>
              </w:rPr>
            </w:pPr>
          </w:p>
        </w:tc>
        <w:tc>
          <w:tcPr>
            <w:tcW w:w="960" w:type="dxa"/>
            <w:vAlign w:val="bottom"/>
            <w:tcBorders>
              <w:bottom w:val="single" w:sz="8" w:color="EBF7FC"/>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EBF7FC"/>
            </w:tcBorders>
            <w:vMerge w:val="continue"/>
          </w:tcPr>
          <w:p>
            <w:pPr>
              <w:spacing w:after="0"/>
              <w:rPr>
                <w:sz w:val="10"/>
                <w:szCs w:val="10"/>
                <w:color w:val="auto"/>
              </w:rPr>
            </w:pPr>
          </w:p>
        </w:tc>
        <w:tc>
          <w:tcPr>
            <w:tcW w:w="680" w:type="dxa"/>
            <w:vAlign w:val="bottom"/>
            <w:tcBorders>
              <w:right w:val="single" w:sz="8" w:color="EBF7FC"/>
            </w:tcBorders>
            <w:vMerge w:val="restart"/>
            <w:shd w:val="clear" w:color="auto" w:fill="F3F9FD"/>
          </w:tcPr>
          <w:p>
            <w:pPr>
              <w:jc w:val="center"/>
              <w:spacing w:after="0"/>
              <w:rPr>
                <w:sz w:val="20"/>
                <w:szCs w:val="20"/>
                <w:color w:val="auto"/>
              </w:rPr>
            </w:pPr>
            <w:r>
              <w:rPr>
                <w:rFonts w:ascii="Arial" w:cs="Arial" w:eastAsia="Arial" w:hAnsi="Arial"/>
                <w:sz w:val="14"/>
                <w:szCs w:val="14"/>
                <w:color w:val="auto"/>
                <w:w w:val="96"/>
              </w:rPr>
              <w:t>2023</w:t>
            </w:r>
          </w:p>
        </w:tc>
        <w:tc>
          <w:tcPr>
            <w:tcW w:w="820" w:type="dxa"/>
            <w:vAlign w:val="bottom"/>
            <w:tcBorders>
              <w:right w:val="single" w:sz="8" w:color="EBF7FC"/>
            </w:tcBorders>
            <w:vMerge w:val="restart"/>
            <w:shd w:val="clear" w:color="auto" w:fill="F3F9FD"/>
          </w:tcPr>
          <w:p>
            <w:pPr>
              <w:ind w:left="200"/>
              <w:spacing w:after="0"/>
              <w:rPr>
                <w:sz w:val="20"/>
                <w:szCs w:val="20"/>
                <w:color w:val="auto"/>
              </w:rPr>
            </w:pPr>
            <w:r>
              <w:rPr>
                <w:rFonts w:ascii="Arial" w:cs="Arial" w:eastAsia="Arial" w:hAnsi="Arial"/>
                <w:sz w:val="14"/>
                <w:szCs w:val="14"/>
                <w:color w:val="auto"/>
              </w:rPr>
              <w:t>693,299</w:t>
            </w:r>
          </w:p>
        </w:tc>
        <w:tc>
          <w:tcPr>
            <w:tcW w:w="1340" w:type="dxa"/>
            <w:vAlign w:val="bottom"/>
            <w:tcBorders>
              <w:right w:val="single" w:sz="8" w:color="EBF7FC"/>
            </w:tcBorders>
            <w:vMerge w:val="restart"/>
            <w:shd w:val="clear" w:color="auto" w:fill="F3F9FD"/>
          </w:tcPr>
          <w:p>
            <w:pPr>
              <w:jc w:val="right"/>
              <w:ind w:right="252"/>
              <w:spacing w:after="0"/>
              <w:rPr>
                <w:sz w:val="20"/>
                <w:szCs w:val="20"/>
                <w:color w:val="auto"/>
              </w:rPr>
            </w:pPr>
            <w:r>
              <w:rPr>
                <w:rFonts w:ascii="Arial" w:cs="Arial" w:eastAsia="Arial" w:hAnsi="Arial"/>
                <w:sz w:val="14"/>
                <w:szCs w:val="14"/>
                <w:color w:val="auto"/>
              </w:rPr>
              <w:t>1,766,543</w:t>
            </w:r>
          </w:p>
        </w:tc>
        <w:tc>
          <w:tcPr>
            <w:tcW w:w="1360" w:type="dxa"/>
            <w:vAlign w:val="bottom"/>
            <w:tcBorders>
              <w:right w:val="single" w:sz="8" w:color="EBF7FC"/>
            </w:tcBorders>
            <w:vMerge w:val="restart"/>
            <w:shd w:val="clear" w:color="auto" w:fill="F3F9FD"/>
          </w:tcPr>
          <w:p>
            <w:pPr>
              <w:jc w:val="right"/>
              <w:ind w:right="232"/>
              <w:spacing w:after="0"/>
              <w:rPr>
                <w:sz w:val="20"/>
                <w:szCs w:val="20"/>
                <w:color w:val="auto"/>
              </w:rPr>
            </w:pPr>
            <w:r>
              <w:rPr>
                <w:rFonts w:ascii="Arial" w:cs="Arial" w:eastAsia="Arial" w:hAnsi="Arial"/>
                <w:sz w:val="14"/>
                <w:szCs w:val="14"/>
                <w:color w:val="auto"/>
              </w:rPr>
              <w:t>1,124,500</w:t>
            </w:r>
          </w:p>
        </w:tc>
        <w:tc>
          <w:tcPr>
            <w:tcW w:w="1320" w:type="dxa"/>
            <w:vAlign w:val="bottom"/>
            <w:tcBorders>
              <w:right w:val="single" w:sz="8" w:color="EBF7FC"/>
            </w:tcBorders>
            <w:vMerge w:val="restart"/>
            <w:shd w:val="clear" w:color="auto" w:fill="F3F9FD"/>
          </w:tcPr>
          <w:p>
            <w:pPr>
              <w:jc w:val="right"/>
              <w:ind w:right="252"/>
              <w:spacing w:after="0"/>
              <w:rPr>
                <w:sz w:val="20"/>
                <w:szCs w:val="20"/>
                <w:color w:val="auto"/>
              </w:rPr>
            </w:pPr>
            <w:r>
              <w:rPr>
                <w:rFonts w:ascii="Arial" w:cs="Arial" w:eastAsia="Arial" w:hAnsi="Arial"/>
                <w:sz w:val="14"/>
                <w:szCs w:val="14"/>
                <w:color w:val="auto"/>
              </w:rPr>
              <w:t>69,010</w:t>
            </w:r>
          </w:p>
        </w:tc>
        <w:tc>
          <w:tcPr>
            <w:tcW w:w="960" w:type="dxa"/>
            <w:vAlign w:val="bottom"/>
            <w:vMerge w:val="restart"/>
            <w:shd w:val="clear" w:color="auto" w:fill="F3F9FD"/>
          </w:tcPr>
          <w:p>
            <w:pPr>
              <w:jc w:val="right"/>
              <w:ind w:right="52"/>
              <w:spacing w:after="0"/>
              <w:rPr>
                <w:sz w:val="20"/>
                <w:szCs w:val="20"/>
                <w:color w:val="auto"/>
              </w:rPr>
            </w:pPr>
            <w:r>
              <w:rPr>
                <w:rFonts w:ascii="Arial" w:cs="Arial" w:eastAsia="Arial" w:hAnsi="Arial"/>
                <w:sz w:val="14"/>
                <w:szCs w:val="14"/>
                <w:color w:val="auto"/>
              </w:rPr>
              <w:t>3,653,352</w:t>
            </w:r>
          </w:p>
        </w:tc>
        <w:tc>
          <w:tcPr>
            <w:tcW w:w="0" w:type="dxa"/>
            <w:vAlign w:val="bottom"/>
          </w:tcPr>
          <w:p>
            <w:pPr>
              <w:spacing w:after="0"/>
              <w:rPr>
                <w:sz w:val="1"/>
                <w:szCs w:val="1"/>
                <w:color w:val="auto"/>
              </w:rPr>
            </w:pPr>
          </w:p>
        </w:tc>
      </w:tr>
      <w:tr>
        <w:trPr>
          <w:trHeight w:val="148"/>
        </w:trPr>
        <w:tc>
          <w:tcPr>
            <w:tcW w:w="2820" w:type="dxa"/>
            <w:vAlign w:val="bottom"/>
            <w:tcBorders>
              <w:right w:val="single" w:sz="8" w:color="EBF7FC"/>
            </w:tcBorders>
          </w:tcPr>
          <w:p>
            <w:pPr>
              <w:spacing w:after="0"/>
              <w:rPr>
                <w:sz w:val="12"/>
                <w:szCs w:val="12"/>
                <w:color w:val="auto"/>
              </w:rPr>
            </w:pPr>
          </w:p>
        </w:tc>
        <w:tc>
          <w:tcPr>
            <w:tcW w:w="680" w:type="dxa"/>
            <w:vAlign w:val="bottom"/>
            <w:tcBorders>
              <w:bottom w:val="single" w:sz="8" w:color="F3F9FD"/>
              <w:right w:val="single" w:sz="8" w:color="EBF7FC"/>
            </w:tcBorders>
            <w:vMerge w:val="continue"/>
            <w:shd w:val="clear" w:color="auto" w:fill="F3F9FD"/>
          </w:tcPr>
          <w:p>
            <w:pPr>
              <w:spacing w:after="0"/>
              <w:rPr>
                <w:sz w:val="12"/>
                <w:szCs w:val="12"/>
                <w:color w:val="auto"/>
              </w:rPr>
            </w:pPr>
          </w:p>
        </w:tc>
        <w:tc>
          <w:tcPr>
            <w:tcW w:w="820" w:type="dxa"/>
            <w:vAlign w:val="bottom"/>
            <w:tcBorders>
              <w:bottom w:val="single" w:sz="8" w:color="F3F9FD"/>
              <w:right w:val="single" w:sz="8" w:color="EBF7FC"/>
            </w:tcBorders>
            <w:vMerge w:val="continue"/>
            <w:shd w:val="clear" w:color="auto" w:fill="F3F9FD"/>
          </w:tcPr>
          <w:p>
            <w:pPr>
              <w:spacing w:after="0"/>
              <w:rPr>
                <w:sz w:val="12"/>
                <w:szCs w:val="12"/>
                <w:color w:val="auto"/>
              </w:rPr>
            </w:pPr>
          </w:p>
        </w:tc>
        <w:tc>
          <w:tcPr>
            <w:tcW w:w="1340" w:type="dxa"/>
            <w:vAlign w:val="bottom"/>
            <w:tcBorders>
              <w:bottom w:val="single" w:sz="8" w:color="F3F9FD"/>
              <w:right w:val="single" w:sz="8" w:color="EBF7FC"/>
            </w:tcBorders>
            <w:vMerge w:val="continue"/>
            <w:shd w:val="clear" w:color="auto" w:fill="F3F9FD"/>
          </w:tcPr>
          <w:p>
            <w:pPr>
              <w:spacing w:after="0"/>
              <w:rPr>
                <w:sz w:val="12"/>
                <w:szCs w:val="12"/>
                <w:color w:val="auto"/>
              </w:rPr>
            </w:pPr>
          </w:p>
        </w:tc>
        <w:tc>
          <w:tcPr>
            <w:tcW w:w="1360" w:type="dxa"/>
            <w:vAlign w:val="bottom"/>
            <w:tcBorders>
              <w:bottom w:val="single" w:sz="8" w:color="F3F9FD"/>
              <w:right w:val="single" w:sz="8" w:color="EBF7FC"/>
            </w:tcBorders>
            <w:vMerge w:val="continue"/>
            <w:shd w:val="clear" w:color="auto" w:fill="F3F9FD"/>
          </w:tcPr>
          <w:p>
            <w:pPr>
              <w:spacing w:after="0"/>
              <w:rPr>
                <w:sz w:val="12"/>
                <w:szCs w:val="12"/>
                <w:color w:val="auto"/>
              </w:rPr>
            </w:pPr>
          </w:p>
        </w:tc>
        <w:tc>
          <w:tcPr>
            <w:tcW w:w="1320" w:type="dxa"/>
            <w:vAlign w:val="bottom"/>
            <w:tcBorders>
              <w:bottom w:val="single" w:sz="8" w:color="F3F9FD"/>
              <w:right w:val="single" w:sz="8" w:color="EBF7FC"/>
            </w:tcBorders>
            <w:vMerge w:val="continue"/>
            <w:shd w:val="clear" w:color="auto" w:fill="F3F9FD"/>
          </w:tcPr>
          <w:p>
            <w:pPr>
              <w:spacing w:after="0"/>
              <w:rPr>
                <w:sz w:val="12"/>
                <w:szCs w:val="12"/>
                <w:color w:val="auto"/>
              </w:rPr>
            </w:pPr>
          </w:p>
        </w:tc>
        <w:tc>
          <w:tcPr>
            <w:tcW w:w="960" w:type="dxa"/>
            <w:vAlign w:val="bottom"/>
            <w:tcBorders>
              <w:bottom w:val="single" w:sz="8" w:color="F3F9FD"/>
            </w:tcBorders>
            <w:vMerge w:val="continue"/>
            <w:shd w:val="clear" w:color="auto" w:fill="F3F9FD"/>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820" w:type="dxa"/>
            <w:vAlign w:val="bottom"/>
            <w:tcBorders>
              <w:bottom w:val="single" w:sz="8" w:color="EBF7FC"/>
              <w:right w:val="single" w:sz="8" w:color="EBF7FC"/>
            </w:tcBorders>
          </w:tcPr>
          <w:p>
            <w:pPr>
              <w:spacing w:after="0"/>
              <w:rPr>
                <w:sz w:val="23"/>
                <w:szCs w:val="23"/>
                <w:color w:val="auto"/>
              </w:rPr>
            </w:pPr>
          </w:p>
        </w:tc>
        <w:tc>
          <w:tcPr>
            <w:tcW w:w="680" w:type="dxa"/>
            <w:vAlign w:val="bottom"/>
            <w:tcBorders>
              <w:top w:val="single" w:sz="8" w:color="EBF7FC"/>
              <w:bottom w:val="single" w:sz="8" w:color="EBF7FC"/>
              <w:right w:val="single" w:sz="8" w:color="EBF7FC"/>
            </w:tcBorders>
          </w:tcPr>
          <w:p>
            <w:pPr>
              <w:jc w:val="right"/>
              <w:ind w:right="112"/>
              <w:spacing w:after="0"/>
              <w:rPr>
                <w:sz w:val="20"/>
                <w:szCs w:val="20"/>
                <w:color w:val="auto"/>
              </w:rPr>
            </w:pPr>
            <w:r>
              <w:rPr>
                <w:rFonts w:ascii="Arial" w:cs="Arial" w:eastAsia="Arial" w:hAnsi="Arial"/>
                <w:sz w:val="14"/>
                <w:szCs w:val="14"/>
                <w:color w:val="auto"/>
              </w:rPr>
              <w:t>2022</w:t>
            </w:r>
            <w:r>
              <w:rPr>
                <w:rFonts w:ascii="Arial" w:cs="Arial" w:eastAsia="Arial" w:hAnsi="Arial"/>
                <w:sz w:val="20"/>
                <w:szCs w:val="20"/>
                <w:color w:val="auto"/>
                <w:vertAlign w:val="superscript"/>
              </w:rPr>
              <w:t>(5)</w:t>
            </w:r>
          </w:p>
        </w:tc>
        <w:tc>
          <w:tcPr>
            <w:tcW w:w="820" w:type="dxa"/>
            <w:vAlign w:val="bottom"/>
            <w:tcBorders>
              <w:top w:val="single" w:sz="8" w:color="EBF7FC"/>
              <w:bottom w:val="single" w:sz="8" w:color="EBF7FC"/>
              <w:right w:val="single" w:sz="8" w:color="EBF7FC"/>
            </w:tcBorders>
          </w:tcPr>
          <w:p>
            <w:pPr>
              <w:ind w:left="200"/>
              <w:spacing w:after="0"/>
              <w:rPr>
                <w:sz w:val="20"/>
                <w:szCs w:val="20"/>
                <w:color w:val="auto"/>
              </w:rPr>
            </w:pPr>
            <w:r>
              <w:rPr>
                <w:rFonts w:ascii="Arial" w:cs="Arial" w:eastAsia="Arial" w:hAnsi="Arial"/>
                <w:sz w:val="14"/>
                <w:szCs w:val="14"/>
                <w:color w:val="auto"/>
              </w:rPr>
              <w:t>679,762</w:t>
            </w:r>
          </w:p>
        </w:tc>
        <w:tc>
          <w:tcPr>
            <w:tcW w:w="1340" w:type="dxa"/>
            <w:vAlign w:val="bottom"/>
            <w:tcBorders>
              <w:top w:val="single" w:sz="8" w:color="EBF7FC"/>
              <w:bottom w:val="single" w:sz="8" w:color="EBF7FC"/>
              <w:right w:val="single" w:sz="8" w:color="EBF7FC"/>
            </w:tcBorders>
          </w:tcPr>
          <w:p>
            <w:pPr>
              <w:jc w:val="right"/>
              <w:ind w:right="252"/>
              <w:spacing w:after="0"/>
              <w:rPr>
                <w:sz w:val="20"/>
                <w:szCs w:val="20"/>
                <w:color w:val="auto"/>
              </w:rPr>
            </w:pPr>
            <w:r>
              <w:rPr>
                <w:rFonts w:ascii="Arial" w:cs="Arial" w:eastAsia="Arial" w:hAnsi="Arial"/>
                <w:sz w:val="14"/>
                <w:szCs w:val="14"/>
                <w:color w:val="auto"/>
              </w:rPr>
              <w:t>825,550</w:t>
            </w:r>
          </w:p>
        </w:tc>
        <w:tc>
          <w:tcPr>
            <w:tcW w:w="1360" w:type="dxa"/>
            <w:vAlign w:val="bottom"/>
            <w:tcBorders>
              <w:top w:val="single" w:sz="8" w:color="EBF7FC"/>
              <w:bottom w:val="single" w:sz="8" w:color="EBF7FC"/>
              <w:right w:val="single" w:sz="8" w:color="EBF7FC"/>
            </w:tcBorders>
          </w:tcPr>
          <w:p>
            <w:pPr>
              <w:jc w:val="right"/>
              <w:ind w:right="232"/>
              <w:spacing w:after="0"/>
              <w:rPr>
                <w:sz w:val="20"/>
                <w:szCs w:val="20"/>
                <w:color w:val="auto"/>
              </w:rPr>
            </w:pPr>
            <w:r>
              <w:rPr>
                <w:rFonts w:ascii="Arial" w:cs="Arial" w:eastAsia="Arial" w:hAnsi="Arial"/>
                <w:sz w:val="14"/>
                <w:szCs w:val="14"/>
                <w:color w:val="auto"/>
              </w:rPr>
              <w:t>435,550</w:t>
            </w:r>
          </w:p>
        </w:tc>
        <w:tc>
          <w:tcPr>
            <w:tcW w:w="1320" w:type="dxa"/>
            <w:vAlign w:val="bottom"/>
            <w:tcBorders>
              <w:top w:val="single" w:sz="8" w:color="EBF7FC"/>
              <w:bottom w:val="single" w:sz="8" w:color="EBF7FC"/>
              <w:right w:val="single" w:sz="8" w:color="EBF7FC"/>
            </w:tcBorders>
          </w:tcPr>
          <w:p>
            <w:pPr>
              <w:jc w:val="right"/>
              <w:ind w:right="252"/>
              <w:spacing w:after="0"/>
              <w:rPr>
                <w:sz w:val="20"/>
                <w:szCs w:val="20"/>
                <w:color w:val="auto"/>
              </w:rPr>
            </w:pPr>
            <w:r>
              <w:rPr>
                <w:rFonts w:ascii="Arial" w:cs="Arial" w:eastAsia="Arial" w:hAnsi="Arial"/>
                <w:sz w:val="14"/>
                <w:szCs w:val="14"/>
                <w:color w:val="auto"/>
              </w:rPr>
              <w:t>60,372</w:t>
            </w:r>
          </w:p>
        </w:tc>
        <w:tc>
          <w:tcPr>
            <w:tcW w:w="960" w:type="dxa"/>
            <w:vAlign w:val="bottom"/>
            <w:tcBorders>
              <w:top w:val="single" w:sz="8" w:color="EBF7FC"/>
              <w:bottom w:val="single" w:sz="8" w:color="EBF7FC"/>
            </w:tcBorders>
          </w:tcPr>
          <w:p>
            <w:pPr>
              <w:jc w:val="right"/>
              <w:ind w:right="52"/>
              <w:spacing w:after="0"/>
              <w:rPr>
                <w:sz w:val="20"/>
                <w:szCs w:val="20"/>
                <w:color w:val="auto"/>
              </w:rPr>
            </w:pPr>
            <w:r>
              <w:rPr>
                <w:rFonts w:ascii="Arial" w:cs="Arial" w:eastAsia="Arial" w:hAnsi="Arial"/>
                <w:sz w:val="14"/>
                <w:szCs w:val="14"/>
                <w:color w:val="auto"/>
              </w:rPr>
              <w:t>2,001,234</w:t>
            </w:r>
          </w:p>
        </w:tc>
        <w:tc>
          <w:tcPr>
            <w:tcW w:w="0" w:type="dxa"/>
            <w:vAlign w:val="bottom"/>
          </w:tcPr>
          <w:p>
            <w:pPr>
              <w:spacing w:after="0"/>
              <w:rPr>
                <w:sz w:val="1"/>
                <w:szCs w:val="1"/>
                <w:color w:val="auto"/>
              </w:rPr>
            </w:pPr>
          </w:p>
        </w:tc>
      </w:tr>
      <w:tr>
        <w:trPr>
          <w:trHeight w:val="279"/>
        </w:trPr>
        <w:tc>
          <w:tcPr>
            <w:tcW w:w="282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Mark Palamountain</w:t>
            </w:r>
          </w:p>
        </w:tc>
        <w:tc>
          <w:tcPr>
            <w:tcW w:w="680" w:type="dxa"/>
            <w:vAlign w:val="bottom"/>
            <w:tcBorders>
              <w:bottom w:val="single" w:sz="8" w:color="F3F9FD"/>
              <w:right w:val="single" w:sz="8" w:color="EBF7FC"/>
            </w:tcBorders>
            <w:shd w:val="clear" w:color="auto" w:fill="F3F9FD"/>
          </w:tcPr>
          <w:p>
            <w:pPr>
              <w:jc w:val="center"/>
              <w:spacing w:after="0"/>
              <w:rPr>
                <w:sz w:val="20"/>
                <w:szCs w:val="20"/>
                <w:color w:val="auto"/>
              </w:rPr>
            </w:pPr>
            <w:r>
              <w:rPr>
                <w:rFonts w:ascii="Arial" w:cs="Arial" w:eastAsia="Arial" w:hAnsi="Arial"/>
                <w:sz w:val="14"/>
                <w:szCs w:val="14"/>
                <w:color w:val="auto"/>
                <w:w w:val="96"/>
              </w:rPr>
              <w:t>2024</w:t>
            </w:r>
          </w:p>
        </w:tc>
        <w:tc>
          <w:tcPr>
            <w:tcW w:w="820" w:type="dxa"/>
            <w:vAlign w:val="bottom"/>
            <w:tcBorders>
              <w:bottom w:val="single" w:sz="8" w:color="F3F9FD"/>
              <w:right w:val="single" w:sz="8" w:color="EBF7FC"/>
            </w:tcBorders>
            <w:shd w:val="clear" w:color="auto" w:fill="F3F9FD"/>
          </w:tcPr>
          <w:p>
            <w:pPr>
              <w:ind w:left="200"/>
              <w:spacing w:after="0"/>
              <w:rPr>
                <w:sz w:val="20"/>
                <w:szCs w:val="20"/>
                <w:color w:val="auto"/>
              </w:rPr>
            </w:pPr>
            <w:r>
              <w:rPr>
                <w:rFonts w:ascii="Arial" w:cs="Arial" w:eastAsia="Arial" w:hAnsi="Arial"/>
                <w:sz w:val="14"/>
                <w:szCs w:val="14"/>
                <w:color w:val="auto"/>
              </w:rPr>
              <w:t>450,000</w:t>
            </w:r>
          </w:p>
        </w:tc>
        <w:tc>
          <w:tcPr>
            <w:tcW w:w="1340" w:type="dxa"/>
            <w:vAlign w:val="bottom"/>
            <w:tcBorders>
              <w:bottom w:val="single" w:sz="8" w:color="F3F9FD"/>
              <w:right w:val="single" w:sz="8" w:color="EBF7FC"/>
            </w:tcBorders>
            <w:shd w:val="clear" w:color="auto" w:fill="F3F9FD"/>
          </w:tcPr>
          <w:p>
            <w:pPr>
              <w:jc w:val="right"/>
              <w:ind w:right="252"/>
              <w:spacing w:after="0"/>
              <w:rPr>
                <w:sz w:val="20"/>
                <w:szCs w:val="20"/>
                <w:color w:val="auto"/>
              </w:rPr>
            </w:pPr>
            <w:r>
              <w:rPr>
                <w:rFonts w:ascii="Arial" w:cs="Arial" w:eastAsia="Arial" w:hAnsi="Arial"/>
                <w:sz w:val="14"/>
                <w:szCs w:val="14"/>
                <w:color w:val="auto"/>
              </w:rPr>
              <w:t>523,422</w:t>
            </w:r>
          </w:p>
        </w:tc>
        <w:tc>
          <w:tcPr>
            <w:tcW w:w="1360" w:type="dxa"/>
            <w:vAlign w:val="bottom"/>
            <w:tcBorders>
              <w:bottom w:val="single" w:sz="8" w:color="F3F9FD"/>
              <w:right w:val="single" w:sz="8" w:color="EBF7FC"/>
            </w:tcBorders>
            <w:shd w:val="clear" w:color="auto" w:fill="F3F9FD"/>
          </w:tcPr>
          <w:p>
            <w:pPr>
              <w:jc w:val="right"/>
              <w:ind w:right="232"/>
              <w:spacing w:after="0"/>
              <w:rPr>
                <w:sz w:val="20"/>
                <w:szCs w:val="20"/>
                <w:color w:val="auto"/>
              </w:rPr>
            </w:pPr>
            <w:r>
              <w:rPr>
                <w:rFonts w:ascii="Arial" w:cs="Arial" w:eastAsia="Arial" w:hAnsi="Arial"/>
                <w:sz w:val="14"/>
                <w:szCs w:val="14"/>
                <w:color w:val="auto"/>
              </w:rPr>
              <w:t>455,942</w:t>
            </w:r>
          </w:p>
        </w:tc>
        <w:tc>
          <w:tcPr>
            <w:tcW w:w="1320" w:type="dxa"/>
            <w:vAlign w:val="bottom"/>
            <w:tcBorders>
              <w:bottom w:val="single" w:sz="8" w:color="F3F9FD"/>
              <w:right w:val="single" w:sz="8" w:color="EBF7FC"/>
            </w:tcBorders>
            <w:shd w:val="clear" w:color="auto" w:fill="F3F9FD"/>
          </w:tcPr>
          <w:p>
            <w:pPr>
              <w:jc w:val="right"/>
              <w:ind w:right="252"/>
              <w:spacing w:after="0"/>
              <w:rPr>
                <w:sz w:val="20"/>
                <w:szCs w:val="20"/>
                <w:color w:val="auto"/>
              </w:rPr>
            </w:pPr>
            <w:r>
              <w:rPr>
                <w:rFonts w:ascii="Arial" w:cs="Arial" w:eastAsia="Arial" w:hAnsi="Arial"/>
                <w:sz w:val="14"/>
                <w:szCs w:val="14"/>
                <w:color w:val="auto"/>
              </w:rPr>
              <w:t>53,458</w:t>
            </w:r>
          </w:p>
        </w:tc>
        <w:tc>
          <w:tcPr>
            <w:tcW w:w="96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1,482,822</w:t>
            </w:r>
          </w:p>
        </w:tc>
        <w:tc>
          <w:tcPr>
            <w:tcW w:w="0" w:type="dxa"/>
            <w:vAlign w:val="bottom"/>
          </w:tcPr>
          <w:p>
            <w:pPr>
              <w:spacing w:after="0"/>
              <w:rPr>
                <w:sz w:val="1"/>
                <w:szCs w:val="1"/>
                <w:color w:val="auto"/>
              </w:rPr>
            </w:pPr>
          </w:p>
        </w:tc>
      </w:tr>
      <w:tr>
        <w:trPr>
          <w:trHeight w:val="126"/>
        </w:trPr>
        <w:tc>
          <w:tcPr>
            <w:tcW w:w="2820" w:type="dxa"/>
            <w:vAlign w:val="bottom"/>
            <w:tcBorders>
              <w:top w:val="single" w:sz="8" w:color="F3F9FD"/>
              <w:right w:val="single" w:sz="8" w:color="EBF7FC"/>
            </w:tcBorders>
            <w:shd w:val="clear" w:color="auto" w:fill="F3F9FD"/>
          </w:tcPr>
          <w:p>
            <w:pPr>
              <w:ind w:left="80"/>
              <w:spacing w:after="0" w:line="126" w:lineRule="exact"/>
              <w:rPr>
                <w:sz w:val="20"/>
                <w:szCs w:val="20"/>
                <w:color w:val="auto"/>
              </w:rPr>
            </w:pPr>
            <w:r>
              <w:rPr>
                <w:rFonts w:ascii="Arial" w:cs="Arial" w:eastAsia="Arial" w:hAnsi="Arial"/>
                <w:sz w:val="14"/>
                <w:szCs w:val="14"/>
                <w:color w:val="auto"/>
              </w:rPr>
              <w:t>Executive Vice President</w:t>
            </w:r>
          </w:p>
        </w:tc>
        <w:tc>
          <w:tcPr>
            <w:tcW w:w="680" w:type="dxa"/>
            <w:vAlign w:val="bottom"/>
            <w:tcBorders>
              <w:top w:val="single" w:sz="8" w:color="EBF7FC"/>
              <w:right w:val="single" w:sz="8" w:color="EBF7FC"/>
            </w:tcBorders>
            <w:vMerge w:val="restart"/>
          </w:tcPr>
          <w:p>
            <w:pPr>
              <w:jc w:val="center"/>
              <w:spacing w:after="0"/>
              <w:rPr>
                <w:sz w:val="20"/>
                <w:szCs w:val="20"/>
                <w:color w:val="auto"/>
              </w:rPr>
            </w:pPr>
            <w:r>
              <w:rPr>
                <w:rFonts w:ascii="Arial" w:cs="Arial" w:eastAsia="Arial" w:hAnsi="Arial"/>
                <w:sz w:val="14"/>
                <w:szCs w:val="14"/>
                <w:color w:val="auto"/>
                <w:w w:val="96"/>
              </w:rPr>
              <w:t>2023</w:t>
            </w:r>
          </w:p>
        </w:tc>
        <w:tc>
          <w:tcPr>
            <w:tcW w:w="820" w:type="dxa"/>
            <w:vAlign w:val="bottom"/>
            <w:tcBorders>
              <w:top w:val="single" w:sz="8" w:color="EBF7FC"/>
              <w:right w:val="single" w:sz="8" w:color="EBF7FC"/>
            </w:tcBorders>
            <w:vMerge w:val="restart"/>
          </w:tcPr>
          <w:p>
            <w:pPr>
              <w:ind w:left="200"/>
              <w:spacing w:after="0"/>
              <w:rPr>
                <w:sz w:val="20"/>
                <w:szCs w:val="20"/>
                <w:color w:val="auto"/>
              </w:rPr>
            </w:pPr>
            <w:r>
              <w:rPr>
                <w:rFonts w:ascii="Arial" w:cs="Arial" w:eastAsia="Arial" w:hAnsi="Arial"/>
                <w:sz w:val="14"/>
                <w:szCs w:val="14"/>
                <w:color w:val="auto"/>
              </w:rPr>
              <w:t>419,231</w:t>
            </w:r>
          </w:p>
        </w:tc>
        <w:tc>
          <w:tcPr>
            <w:tcW w:w="1340" w:type="dxa"/>
            <w:vAlign w:val="bottom"/>
            <w:tcBorders>
              <w:top w:val="single" w:sz="8" w:color="EBF7FC"/>
              <w:right w:val="single" w:sz="8" w:color="EBF7FC"/>
            </w:tcBorders>
            <w:vMerge w:val="restart"/>
          </w:tcPr>
          <w:p>
            <w:pPr>
              <w:jc w:val="right"/>
              <w:ind w:right="252"/>
              <w:spacing w:after="0"/>
              <w:rPr>
                <w:sz w:val="20"/>
                <w:szCs w:val="20"/>
                <w:color w:val="auto"/>
              </w:rPr>
            </w:pPr>
            <w:r>
              <w:rPr>
                <w:rFonts w:ascii="Arial" w:cs="Arial" w:eastAsia="Arial" w:hAnsi="Arial"/>
                <w:sz w:val="14"/>
                <w:szCs w:val="14"/>
                <w:color w:val="auto"/>
              </w:rPr>
              <w:t>1,016,200</w:t>
            </w:r>
          </w:p>
        </w:tc>
        <w:tc>
          <w:tcPr>
            <w:tcW w:w="1360" w:type="dxa"/>
            <w:vAlign w:val="bottom"/>
            <w:tcBorders>
              <w:top w:val="single" w:sz="8" w:color="EBF7FC"/>
              <w:right w:val="single" w:sz="8" w:color="EBF7FC"/>
            </w:tcBorders>
            <w:vMerge w:val="restart"/>
          </w:tcPr>
          <w:p>
            <w:pPr>
              <w:jc w:val="right"/>
              <w:ind w:right="232"/>
              <w:spacing w:after="0"/>
              <w:rPr>
                <w:sz w:val="20"/>
                <w:szCs w:val="20"/>
                <w:color w:val="auto"/>
              </w:rPr>
            </w:pPr>
            <w:r>
              <w:rPr>
                <w:rFonts w:ascii="Arial" w:cs="Arial" w:eastAsia="Arial" w:hAnsi="Arial"/>
                <w:sz w:val="14"/>
                <w:szCs w:val="14"/>
                <w:color w:val="auto"/>
              </w:rPr>
              <w:t>674,500</w:t>
            </w:r>
          </w:p>
        </w:tc>
        <w:tc>
          <w:tcPr>
            <w:tcW w:w="1320" w:type="dxa"/>
            <w:vAlign w:val="bottom"/>
            <w:tcBorders>
              <w:top w:val="single" w:sz="8" w:color="EBF7FC"/>
              <w:right w:val="single" w:sz="8" w:color="EBF7FC"/>
            </w:tcBorders>
            <w:vMerge w:val="restart"/>
          </w:tcPr>
          <w:p>
            <w:pPr>
              <w:jc w:val="right"/>
              <w:ind w:right="252"/>
              <w:spacing w:after="0"/>
              <w:rPr>
                <w:sz w:val="20"/>
                <w:szCs w:val="20"/>
                <w:color w:val="auto"/>
              </w:rPr>
            </w:pPr>
            <w:r>
              <w:rPr>
                <w:rFonts w:ascii="Arial" w:cs="Arial" w:eastAsia="Arial" w:hAnsi="Arial"/>
                <w:sz w:val="14"/>
                <w:szCs w:val="14"/>
                <w:color w:val="auto"/>
              </w:rPr>
              <w:t>50,739</w:t>
            </w:r>
          </w:p>
        </w:tc>
        <w:tc>
          <w:tcPr>
            <w:tcW w:w="960" w:type="dxa"/>
            <w:vAlign w:val="bottom"/>
            <w:tcBorders>
              <w:top w:val="single" w:sz="8" w:color="EBF7FC"/>
            </w:tcBorders>
            <w:vMerge w:val="restart"/>
          </w:tcPr>
          <w:p>
            <w:pPr>
              <w:jc w:val="right"/>
              <w:ind w:right="52"/>
              <w:spacing w:after="0"/>
              <w:rPr>
                <w:sz w:val="20"/>
                <w:szCs w:val="20"/>
                <w:color w:val="auto"/>
              </w:rPr>
            </w:pPr>
            <w:r>
              <w:rPr>
                <w:rFonts w:ascii="Arial" w:cs="Arial" w:eastAsia="Arial" w:hAnsi="Arial"/>
                <w:sz w:val="14"/>
                <w:szCs w:val="14"/>
                <w:color w:val="auto"/>
              </w:rPr>
              <w:t>2,160,670</w:t>
            </w:r>
          </w:p>
        </w:tc>
        <w:tc>
          <w:tcPr>
            <w:tcW w:w="0" w:type="dxa"/>
            <w:vAlign w:val="bottom"/>
          </w:tcPr>
          <w:p>
            <w:pPr>
              <w:spacing w:after="0"/>
              <w:rPr>
                <w:sz w:val="1"/>
                <w:szCs w:val="1"/>
                <w:color w:val="auto"/>
              </w:rPr>
            </w:pPr>
          </w:p>
        </w:tc>
      </w:tr>
      <w:tr>
        <w:trPr>
          <w:trHeight w:val="103"/>
        </w:trPr>
        <w:tc>
          <w:tcPr>
            <w:tcW w:w="2820" w:type="dxa"/>
            <w:vAlign w:val="bottom"/>
            <w:tcBorders>
              <w:right w:val="single" w:sz="8" w:color="EBF7FC"/>
            </w:tcBorders>
            <w:vMerge w:val="restart"/>
            <w:shd w:val="clear" w:color="auto" w:fill="F3F9FD"/>
          </w:tcPr>
          <w:p>
            <w:pPr>
              <w:ind w:left="80"/>
              <w:spacing w:after="0" w:line="148" w:lineRule="exact"/>
              <w:rPr>
                <w:sz w:val="20"/>
                <w:szCs w:val="20"/>
                <w:color w:val="auto"/>
              </w:rPr>
            </w:pPr>
            <w:r>
              <w:rPr>
                <w:rFonts w:ascii="Arial" w:cs="Arial" w:eastAsia="Arial" w:hAnsi="Arial"/>
                <w:sz w:val="14"/>
                <w:szCs w:val="14"/>
                <w:color w:val="auto"/>
              </w:rPr>
              <w:t>Chief Financial Officer &amp; Treasurer</w:t>
            </w:r>
          </w:p>
        </w:tc>
        <w:tc>
          <w:tcPr>
            <w:tcW w:w="680" w:type="dxa"/>
            <w:vAlign w:val="bottom"/>
            <w:tcBorders>
              <w:right w:val="single" w:sz="8" w:color="EBF7FC"/>
            </w:tcBorders>
            <w:vMerge w:val="continue"/>
          </w:tcPr>
          <w:p>
            <w:pPr>
              <w:spacing w:after="0"/>
              <w:rPr>
                <w:sz w:val="8"/>
                <w:szCs w:val="8"/>
                <w:color w:val="auto"/>
              </w:rPr>
            </w:pPr>
          </w:p>
        </w:tc>
        <w:tc>
          <w:tcPr>
            <w:tcW w:w="820" w:type="dxa"/>
            <w:vAlign w:val="bottom"/>
            <w:tcBorders>
              <w:right w:val="single" w:sz="8" w:color="EBF7FC"/>
            </w:tcBorders>
            <w:vMerge w:val="continue"/>
          </w:tcPr>
          <w:p>
            <w:pPr>
              <w:spacing w:after="0"/>
              <w:rPr>
                <w:sz w:val="8"/>
                <w:szCs w:val="8"/>
                <w:color w:val="auto"/>
              </w:rPr>
            </w:pPr>
          </w:p>
        </w:tc>
        <w:tc>
          <w:tcPr>
            <w:tcW w:w="1340" w:type="dxa"/>
            <w:vAlign w:val="bottom"/>
            <w:tcBorders>
              <w:right w:val="single" w:sz="8" w:color="EBF7FC"/>
            </w:tcBorders>
            <w:vMerge w:val="continue"/>
          </w:tcPr>
          <w:p>
            <w:pPr>
              <w:spacing w:after="0"/>
              <w:rPr>
                <w:sz w:val="8"/>
                <w:szCs w:val="8"/>
                <w:color w:val="auto"/>
              </w:rPr>
            </w:pPr>
          </w:p>
        </w:tc>
        <w:tc>
          <w:tcPr>
            <w:tcW w:w="1360" w:type="dxa"/>
            <w:vAlign w:val="bottom"/>
            <w:tcBorders>
              <w:right w:val="single" w:sz="8" w:color="EBF7FC"/>
            </w:tcBorders>
            <w:vMerge w:val="continue"/>
          </w:tcPr>
          <w:p>
            <w:pPr>
              <w:spacing w:after="0"/>
              <w:rPr>
                <w:sz w:val="8"/>
                <w:szCs w:val="8"/>
                <w:color w:val="auto"/>
              </w:rPr>
            </w:pPr>
          </w:p>
        </w:tc>
        <w:tc>
          <w:tcPr>
            <w:tcW w:w="1320" w:type="dxa"/>
            <w:vAlign w:val="bottom"/>
            <w:tcBorders>
              <w:right w:val="single" w:sz="8" w:color="EBF7FC"/>
            </w:tcBorders>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820" w:type="dxa"/>
            <w:vAlign w:val="bottom"/>
            <w:tcBorders>
              <w:bottom w:val="single" w:sz="8" w:color="F3F9FD"/>
              <w:right w:val="single" w:sz="8" w:color="EBF7FC"/>
            </w:tcBorders>
            <w:vMerge w:val="continue"/>
            <w:shd w:val="clear" w:color="auto" w:fill="F3F9FD"/>
          </w:tcPr>
          <w:p>
            <w:pPr>
              <w:spacing w:after="0"/>
              <w:rPr>
                <w:sz w:val="3"/>
                <w:szCs w:val="3"/>
                <w:color w:val="auto"/>
              </w:rPr>
            </w:pPr>
          </w:p>
        </w:tc>
        <w:tc>
          <w:tcPr>
            <w:tcW w:w="680" w:type="dxa"/>
            <w:vAlign w:val="bottom"/>
            <w:tcBorders>
              <w:bottom w:val="single" w:sz="8" w:color="EBF7FC"/>
              <w:right w:val="single" w:sz="8" w:color="EBF7FC"/>
            </w:tcBorders>
          </w:tcPr>
          <w:p>
            <w:pPr>
              <w:spacing w:after="0"/>
              <w:rPr>
                <w:sz w:val="3"/>
                <w:szCs w:val="3"/>
                <w:color w:val="auto"/>
              </w:rPr>
            </w:pPr>
          </w:p>
        </w:tc>
        <w:tc>
          <w:tcPr>
            <w:tcW w:w="820" w:type="dxa"/>
            <w:vAlign w:val="bottom"/>
            <w:tcBorders>
              <w:bottom w:val="single" w:sz="8" w:color="EBF7FC"/>
              <w:right w:val="single" w:sz="8" w:color="EBF7FC"/>
            </w:tcBorders>
          </w:tcPr>
          <w:p>
            <w:pPr>
              <w:spacing w:after="0"/>
              <w:rPr>
                <w:sz w:val="3"/>
                <w:szCs w:val="3"/>
                <w:color w:val="auto"/>
              </w:rPr>
            </w:pPr>
          </w:p>
        </w:tc>
        <w:tc>
          <w:tcPr>
            <w:tcW w:w="1340" w:type="dxa"/>
            <w:vAlign w:val="bottom"/>
            <w:tcBorders>
              <w:bottom w:val="single" w:sz="8" w:color="EBF7FC"/>
              <w:right w:val="single" w:sz="8" w:color="EBF7FC"/>
            </w:tcBorders>
          </w:tcPr>
          <w:p>
            <w:pPr>
              <w:spacing w:after="0"/>
              <w:rPr>
                <w:sz w:val="3"/>
                <w:szCs w:val="3"/>
                <w:color w:val="auto"/>
              </w:rPr>
            </w:pPr>
          </w:p>
        </w:tc>
        <w:tc>
          <w:tcPr>
            <w:tcW w:w="1360" w:type="dxa"/>
            <w:vAlign w:val="bottom"/>
            <w:tcBorders>
              <w:bottom w:val="single" w:sz="8" w:color="EBF7FC"/>
              <w:right w:val="single" w:sz="8" w:color="EBF7FC"/>
            </w:tcBorders>
          </w:tcPr>
          <w:p>
            <w:pPr>
              <w:spacing w:after="0"/>
              <w:rPr>
                <w:sz w:val="3"/>
                <w:szCs w:val="3"/>
                <w:color w:val="auto"/>
              </w:rPr>
            </w:pPr>
          </w:p>
        </w:tc>
        <w:tc>
          <w:tcPr>
            <w:tcW w:w="1320" w:type="dxa"/>
            <w:vAlign w:val="bottom"/>
            <w:tcBorders>
              <w:bottom w:val="single" w:sz="8" w:color="EBF7FC"/>
              <w:right w:val="single" w:sz="8" w:color="EBF7FC"/>
            </w:tcBorders>
          </w:tcPr>
          <w:p>
            <w:pPr>
              <w:spacing w:after="0"/>
              <w:rPr>
                <w:sz w:val="3"/>
                <w:szCs w:val="3"/>
                <w:color w:val="auto"/>
              </w:rPr>
            </w:pPr>
          </w:p>
        </w:tc>
        <w:tc>
          <w:tcPr>
            <w:tcW w:w="960" w:type="dxa"/>
            <w:vAlign w:val="bottom"/>
            <w:tcBorders>
              <w:bottom w:val="single" w:sz="8" w:color="EBF7FC"/>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820" w:type="dxa"/>
            <w:vAlign w:val="bottom"/>
            <w:tcBorders>
              <w:bottom w:val="single" w:sz="8" w:color="F3F9FD"/>
              <w:right w:val="single" w:sz="8" w:color="EBF7FC"/>
            </w:tcBorders>
            <w:shd w:val="clear" w:color="auto" w:fill="F3F9FD"/>
          </w:tcPr>
          <w:p>
            <w:pPr>
              <w:spacing w:after="0"/>
              <w:rPr>
                <w:sz w:val="22"/>
                <w:szCs w:val="22"/>
                <w:color w:val="auto"/>
              </w:rPr>
            </w:pPr>
          </w:p>
        </w:tc>
        <w:tc>
          <w:tcPr>
            <w:tcW w:w="680" w:type="dxa"/>
            <w:vAlign w:val="bottom"/>
            <w:tcBorders>
              <w:bottom w:val="single" w:sz="8" w:color="F3F9FD"/>
              <w:right w:val="single" w:sz="8" w:color="EBF7FC"/>
            </w:tcBorders>
            <w:shd w:val="clear" w:color="auto" w:fill="F3F9FD"/>
          </w:tcPr>
          <w:p>
            <w:pPr>
              <w:jc w:val="center"/>
              <w:spacing w:after="0"/>
              <w:rPr>
                <w:sz w:val="20"/>
                <w:szCs w:val="20"/>
                <w:color w:val="auto"/>
              </w:rPr>
            </w:pPr>
            <w:r>
              <w:rPr>
                <w:rFonts w:ascii="Arial" w:cs="Arial" w:eastAsia="Arial" w:hAnsi="Arial"/>
                <w:sz w:val="14"/>
                <w:szCs w:val="14"/>
                <w:color w:val="auto"/>
                <w:w w:val="96"/>
              </w:rPr>
              <w:t>2022</w:t>
            </w:r>
          </w:p>
        </w:tc>
        <w:tc>
          <w:tcPr>
            <w:tcW w:w="820" w:type="dxa"/>
            <w:vAlign w:val="bottom"/>
            <w:tcBorders>
              <w:bottom w:val="single" w:sz="8" w:color="F3F9FD"/>
              <w:right w:val="single" w:sz="8" w:color="EBF7FC"/>
            </w:tcBorders>
            <w:shd w:val="clear" w:color="auto" w:fill="F3F9FD"/>
          </w:tcPr>
          <w:p>
            <w:pPr>
              <w:ind w:left="200"/>
              <w:spacing w:after="0"/>
              <w:rPr>
                <w:sz w:val="20"/>
                <w:szCs w:val="20"/>
                <w:color w:val="auto"/>
              </w:rPr>
            </w:pPr>
            <w:r>
              <w:rPr>
                <w:rFonts w:ascii="Arial" w:cs="Arial" w:eastAsia="Arial" w:hAnsi="Arial"/>
                <w:sz w:val="14"/>
                <w:szCs w:val="14"/>
                <w:color w:val="auto"/>
              </w:rPr>
              <w:t>395,846</w:t>
            </w:r>
          </w:p>
        </w:tc>
        <w:tc>
          <w:tcPr>
            <w:tcW w:w="1340" w:type="dxa"/>
            <w:vAlign w:val="bottom"/>
            <w:tcBorders>
              <w:bottom w:val="single" w:sz="8" w:color="F3F9FD"/>
              <w:right w:val="single" w:sz="8" w:color="EBF7FC"/>
            </w:tcBorders>
            <w:shd w:val="clear" w:color="auto" w:fill="F3F9FD"/>
          </w:tcPr>
          <w:p>
            <w:pPr>
              <w:jc w:val="right"/>
              <w:ind w:right="252"/>
              <w:spacing w:after="0"/>
              <w:rPr>
                <w:sz w:val="20"/>
                <w:szCs w:val="20"/>
                <w:color w:val="auto"/>
              </w:rPr>
            </w:pPr>
            <w:r>
              <w:rPr>
                <w:rFonts w:ascii="Arial" w:cs="Arial" w:eastAsia="Arial" w:hAnsi="Arial"/>
                <w:sz w:val="14"/>
                <w:szCs w:val="14"/>
                <w:color w:val="auto"/>
              </w:rPr>
              <w:t>533,965</w:t>
            </w:r>
          </w:p>
        </w:tc>
        <w:tc>
          <w:tcPr>
            <w:tcW w:w="1360" w:type="dxa"/>
            <w:vAlign w:val="bottom"/>
            <w:tcBorders>
              <w:bottom w:val="single" w:sz="8" w:color="F3F9FD"/>
              <w:right w:val="single" w:sz="8" w:color="EBF7FC"/>
            </w:tcBorders>
            <w:shd w:val="clear" w:color="auto" w:fill="F3F9FD"/>
          </w:tcPr>
          <w:p>
            <w:pPr>
              <w:jc w:val="right"/>
              <w:ind w:right="232"/>
              <w:spacing w:after="0"/>
              <w:rPr>
                <w:sz w:val="20"/>
                <w:szCs w:val="20"/>
                <w:color w:val="auto"/>
              </w:rPr>
            </w:pPr>
            <w:r>
              <w:rPr>
                <w:rFonts w:ascii="Arial" w:cs="Arial" w:eastAsia="Arial" w:hAnsi="Arial"/>
                <w:sz w:val="14"/>
                <w:szCs w:val="14"/>
                <w:color w:val="auto"/>
              </w:rPr>
              <w:t>169,565</w:t>
            </w:r>
          </w:p>
        </w:tc>
        <w:tc>
          <w:tcPr>
            <w:tcW w:w="1320" w:type="dxa"/>
            <w:vAlign w:val="bottom"/>
            <w:tcBorders>
              <w:bottom w:val="single" w:sz="8" w:color="F3F9FD"/>
              <w:right w:val="single" w:sz="8" w:color="EBF7FC"/>
            </w:tcBorders>
            <w:shd w:val="clear" w:color="auto" w:fill="F3F9FD"/>
          </w:tcPr>
          <w:p>
            <w:pPr>
              <w:jc w:val="right"/>
              <w:ind w:right="252"/>
              <w:spacing w:after="0"/>
              <w:rPr>
                <w:sz w:val="20"/>
                <w:szCs w:val="20"/>
                <w:color w:val="auto"/>
              </w:rPr>
            </w:pPr>
            <w:r>
              <w:rPr>
                <w:rFonts w:ascii="Arial" w:cs="Arial" w:eastAsia="Arial" w:hAnsi="Arial"/>
                <w:sz w:val="14"/>
                <w:szCs w:val="14"/>
                <w:color w:val="auto"/>
              </w:rPr>
              <w:t>30,039</w:t>
            </w:r>
          </w:p>
        </w:tc>
        <w:tc>
          <w:tcPr>
            <w:tcW w:w="96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1,129,415</w:t>
            </w:r>
          </w:p>
        </w:tc>
        <w:tc>
          <w:tcPr>
            <w:tcW w:w="0" w:type="dxa"/>
            <w:vAlign w:val="bottom"/>
          </w:tcPr>
          <w:p>
            <w:pPr>
              <w:spacing w:after="0"/>
              <w:rPr>
                <w:sz w:val="1"/>
                <w:szCs w:val="1"/>
                <w:color w:val="auto"/>
              </w:rPr>
            </w:pPr>
          </w:p>
        </w:tc>
      </w:tr>
      <w:tr>
        <w:trPr>
          <w:trHeight w:val="20"/>
        </w:trPr>
        <w:tc>
          <w:tcPr>
            <w:tcW w:w="2820" w:type="dxa"/>
            <w:vAlign w:val="bottom"/>
            <w:tcBorders>
              <w:right w:val="single" w:sz="8" w:color="EBF7FC"/>
            </w:tcBorders>
            <w:shd w:val="clear" w:color="auto" w:fill="EBF7FC"/>
          </w:tcPr>
          <w:p>
            <w:pPr>
              <w:spacing w:after="0" w:line="20" w:lineRule="exact"/>
              <w:rPr>
                <w:sz w:val="1"/>
                <w:szCs w:val="1"/>
                <w:color w:val="auto"/>
              </w:rPr>
            </w:pPr>
          </w:p>
        </w:tc>
        <w:tc>
          <w:tcPr>
            <w:tcW w:w="680" w:type="dxa"/>
            <w:vAlign w:val="bottom"/>
            <w:tcBorders>
              <w:right w:val="single" w:sz="8" w:color="EBF7FC"/>
            </w:tcBorders>
            <w:shd w:val="clear" w:color="auto" w:fill="EBF7FC"/>
          </w:tcPr>
          <w:p>
            <w:pPr>
              <w:spacing w:after="0" w:line="20" w:lineRule="exact"/>
              <w:rPr>
                <w:sz w:val="1"/>
                <w:szCs w:val="1"/>
                <w:color w:val="auto"/>
              </w:rPr>
            </w:pPr>
          </w:p>
        </w:tc>
        <w:tc>
          <w:tcPr>
            <w:tcW w:w="820" w:type="dxa"/>
            <w:vAlign w:val="bottom"/>
            <w:tcBorders>
              <w:right w:val="single" w:sz="8" w:color="EBF7FC"/>
            </w:tcBorders>
            <w:shd w:val="clear" w:color="auto" w:fill="EBF7FC"/>
          </w:tcPr>
          <w:p>
            <w:pPr>
              <w:spacing w:after="0" w:line="20" w:lineRule="exact"/>
              <w:rPr>
                <w:sz w:val="1"/>
                <w:szCs w:val="1"/>
                <w:color w:val="auto"/>
              </w:rPr>
            </w:pPr>
          </w:p>
        </w:tc>
        <w:tc>
          <w:tcPr>
            <w:tcW w:w="1340" w:type="dxa"/>
            <w:vAlign w:val="bottom"/>
            <w:tcBorders>
              <w:right w:val="single" w:sz="8" w:color="EBF7FC"/>
            </w:tcBorders>
            <w:shd w:val="clear" w:color="auto" w:fill="EBF7FC"/>
          </w:tcPr>
          <w:p>
            <w:pPr>
              <w:spacing w:after="0" w:line="20" w:lineRule="exact"/>
              <w:rPr>
                <w:sz w:val="1"/>
                <w:szCs w:val="1"/>
                <w:color w:val="auto"/>
              </w:rPr>
            </w:pPr>
          </w:p>
        </w:tc>
        <w:tc>
          <w:tcPr>
            <w:tcW w:w="1360" w:type="dxa"/>
            <w:vAlign w:val="bottom"/>
            <w:tcBorders>
              <w:right w:val="single" w:sz="8" w:color="EBF7FC"/>
            </w:tcBorders>
            <w:shd w:val="clear" w:color="auto" w:fill="EBF7FC"/>
          </w:tcPr>
          <w:p>
            <w:pPr>
              <w:spacing w:after="0" w:line="20" w:lineRule="exact"/>
              <w:rPr>
                <w:sz w:val="1"/>
                <w:szCs w:val="1"/>
                <w:color w:val="auto"/>
              </w:rPr>
            </w:pPr>
          </w:p>
        </w:tc>
        <w:tc>
          <w:tcPr>
            <w:tcW w:w="1320" w:type="dxa"/>
            <w:vAlign w:val="bottom"/>
            <w:tcBorders>
              <w:right w:val="single" w:sz="8" w:color="EBF7FC"/>
            </w:tcBorders>
            <w:shd w:val="clear" w:color="auto" w:fill="EBF7FC"/>
          </w:tcPr>
          <w:p>
            <w:pPr>
              <w:spacing w:after="0" w:line="20" w:lineRule="exact"/>
              <w:rPr>
                <w:sz w:val="1"/>
                <w:szCs w:val="1"/>
                <w:color w:val="auto"/>
              </w:rPr>
            </w:pPr>
          </w:p>
        </w:tc>
        <w:tc>
          <w:tcPr>
            <w:tcW w:w="960" w:type="dxa"/>
            <w:vAlign w:val="bottom"/>
            <w:shd w:val="clear" w:color="auto" w:fill="EB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220" w:right="140" w:hanging="215"/>
        <w:spacing w:after="0" w:line="500" w:lineRule="auto"/>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The value of equity incentive plan awards is the aggregate grant date fair value computed in accordance with FASB ASC Topic 718, </w:t>
      </w:r>
      <w:r>
        <w:rPr>
          <w:rFonts w:ascii="Arial" w:cs="Arial" w:eastAsia="Arial" w:hAnsi="Arial"/>
          <w:sz w:val="12"/>
          <w:szCs w:val="12"/>
          <w:i w:val="1"/>
          <w:iCs w:val="1"/>
          <w:color w:val="auto"/>
        </w:rPr>
        <w:t>Compensation - Stock Compensation</w:t>
      </w:r>
      <w:r>
        <w:rPr>
          <w:rFonts w:ascii="Arial" w:cs="Arial" w:eastAsia="Arial" w:hAnsi="Arial"/>
          <w:sz w:val="12"/>
          <w:szCs w:val="12"/>
          <w:color w:val="auto"/>
        </w:rPr>
        <w:t>. See footnote 3 for fiscal year 2022, 2023 and 2024 details.</w:t>
      </w:r>
    </w:p>
    <w:p>
      <w:pPr>
        <w:ind w:left="220" w:hanging="215"/>
        <w:spacing w:after="0"/>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b w:val="1"/>
          <w:bCs w:val="1"/>
          <w:color w:val="auto"/>
        </w:rPr>
        <w:t>2022 Non-Equity Incentive Plan Compensation includes:</w:t>
      </w:r>
    </w:p>
    <w:p>
      <w:pPr>
        <w:spacing w:after="0" w:line="15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Annual performance-based incentives earned for fiscal year 2022, paid in fiscal year 2023.</w:t>
      </w:r>
    </w:p>
    <w:p>
      <w:pPr>
        <w:spacing w:after="0" w:line="143"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SSP Bonus earned for fiscal year 2022, paid in fiscal year 2023, in connection with equity earnings on the sale of two properties and Harvest Equity Earnings.</w:t>
      </w:r>
    </w:p>
    <w:p>
      <w:pPr>
        <w:spacing w:after="0" w:line="15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b w:val="1"/>
          <w:bCs w:val="1"/>
          <w:color w:val="auto"/>
        </w:rPr>
        <w:t>2023 Non-Equity Incentive Plan Compensation includes:</w:t>
      </w:r>
    </w:p>
    <w:p>
      <w:pPr>
        <w:spacing w:after="0" w:line="156" w:lineRule="exact"/>
        <w:rPr>
          <w:rFonts w:ascii="Arial" w:cs="Arial" w:eastAsia="Arial" w:hAnsi="Arial"/>
          <w:sz w:val="12"/>
          <w:szCs w:val="12"/>
          <w:color w:val="auto"/>
        </w:rPr>
      </w:pPr>
    </w:p>
    <w:p>
      <w:pPr>
        <w:ind w:left="220" w:right="2860"/>
        <w:spacing w:after="0" w:line="546" w:lineRule="auto"/>
        <w:rPr>
          <w:rFonts w:ascii="Arial" w:cs="Arial" w:eastAsia="Arial" w:hAnsi="Arial"/>
          <w:sz w:val="12"/>
          <w:szCs w:val="12"/>
          <w:color w:val="auto"/>
        </w:rPr>
      </w:pPr>
      <w:r>
        <w:rPr>
          <w:rFonts w:ascii="Arial" w:cs="Arial" w:eastAsia="Arial" w:hAnsi="Arial"/>
          <w:sz w:val="11"/>
          <w:szCs w:val="11"/>
          <w:color w:val="auto"/>
        </w:rPr>
        <w:t>SSP Bonus earned for fiscal year 2023, paid in fiscal year 2023, in connection with the sale of our Northern Properties. SSP Bonus earned for fiscal year 2023, paid in fiscal year 2023, in connection with Harvest Equity Earnings.</w:t>
      </w:r>
    </w:p>
    <w:p>
      <w:pPr>
        <w:ind w:left="220"/>
        <w:spacing w:after="0"/>
        <w:rPr>
          <w:rFonts w:ascii="Arial" w:cs="Arial" w:eastAsia="Arial" w:hAnsi="Arial"/>
          <w:sz w:val="12"/>
          <w:szCs w:val="12"/>
          <w:color w:val="auto"/>
        </w:rPr>
      </w:pPr>
      <w:r>
        <w:rPr>
          <w:rFonts w:ascii="Arial" w:cs="Arial" w:eastAsia="Arial" w:hAnsi="Arial"/>
          <w:sz w:val="12"/>
          <w:szCs w:val="12"/>
          <w:b w:val="1"/>
          <w:bCs w:val="1"/>
          <w:color w:val="auto"/>
        </w:rPr>
        <w:t>2024 Non-Equity Incentive Plan Compensation includes:</w:t>
      </w:r>
    </w:p>
    <w:p>
      <w:pPr>
        <w:spacing w:after="0" w:line="15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Annual Performance Compensation Award earned for fiscal year 2024, paid in fiscal year 2025.</w:t>
      </w:r>
    </w:p>
    <w:p>
      <w:pPr>
        <w:spacing w:after="0" w:line="143" w:lineRule="exact"/>
        <w:rPr>
          <w:rFonts w:ascii="Arial" w:cs="Arial" w:eastAsia="Arial" w:hAnsi="Arial"/>
          <w:sz w:val="12"/>
          <w:szCs w:val="12"/>
          <w:color w:val="auto"/>
        </w:rPr>
      </w:pPr>
    </w:p>
    <w:p>
      <w:pPr>
        <w:jc w:val="both"/>
        <w:ind w:left="220" w:right="3400"/>
        <w:spacing w:after="0" w:line="558" w:lineRule="auto"/>
        <w:rPr>
          <w:rFonts w:ascii="Arial" w:cs="Arial" w:eastAsia="Arial" w:hAnsi="Arial"/>
          <w:sz w:val="12"/>
          <w:szCs w:val="12"/>
          <w:color w:val="auto"/>
        </w:rPr>
      </w:pPr>
      <w:r>
        <w:rPr>
          <w:rFonts w:ascii="Arial" w:cs="Arial" w:eastAsia="Arial" w:hAnsi="Arial"/>
          <w:sz w:val="11"/>
          <w:szCs w:val="11"/>
          <w:color w:val="auto"/>
        </w:rPr>
        <w:t>SSP Bonus earned for fiscal year 2024, paid in fiscal year 2024, in connection with Harvest Equity Earnings. SSP Bonus earned for fiscal year 2024, paid in fiscal year 2025, in connection with Harvest Equity Earnings.</w:t>
      </w:r>
    </w:p>
    <w:p>
      <w:pPr>
        <w:ind w:left="220" w:hanging="215"/>
        <w:spacing w:after="0"/>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b w:val="1"/>
          <w:bCs w:val="1"/>
          <w:color w:val="auto"/>
        </w:rPr>
        <w:t>2022 Equity Incentive Plan Compensation includes:</w:t>
      </w:r>
    </w:p>
    <w:p>
      <w:pPr>
        <w:spacing w:after="0" w:line="143"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Equity-based discretionary retention awards issued on December 13, 2021, calculated at the market close share price of $14.96.</w:t>
      </w:r>
    </w:p>
    <w:p>
      <w:pPr>
        <w:spacing w:after="0" w:line="15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Equity-based incentive awards earned for fiscal year 2022, issued during fiscal year 2023, calculated at the market close share price of $13.19 on December 20, 2022.</w:t>
      </w:r>
    </w:p>
    <w:p>
      <w:pPr>
        <w:spacing w:after="0" w:line="156" w:lineRule="exact"/>
        <w:rPr>
          <w:rFonts w:ascii="Arial" w:cs="Arial" w:eastAsia="Arial" w:hAnsi="Arial"/>
          <w:sz w:val="12"/>
          <w:szCs w:val="12"/>
          <w:color w:val="auto"/>
        </w:rPr>
      </w:pPr>
    </w:p>
    <w:p>
      <w:pPr>
        <w:ind w:left="220" w:right="40"/>
        <w:spacing w:after="0" w:line="301" w:lineRule="auto"/>
        <w:rPr>
          <w:rFonts w:ascii="Arial" w:cs="Arial" w:eastAsia="Arial" w:hAnsi="Arial"/>
          <w:sz w:val="12"/>
          <w:szCs w:val="12"/>
          <w:color w:val="auto"/>
        </w:rPr>
      </w:pPr>
      <w:r>
        <w:rPr>
          <w:rFonts w:ascii="Arial" w:cs="Arial" w:eastAsia="Arial" w:hAnsi="Arial"/>
          <w:sz w:val="12"/>
          <w:szCs w:val="12"/>
          <w:color w:val="auto"/>
        </w:rPr>
        <w:t>SSP Bonus earned for fiscal year 2022, issued in fiscal year 2023, in connection with equity earnings on the sale of two properties and Harvest Equity Earnings. The Shares were calculated at the market close share price of $13.19 of December 20, 2022.</w:t>
      </w:r>
    </w:p>
    <w:p>
      <w:pPr>
        <w:spacing w:after="0" w:line="88"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b w:val="1"/>
          <w:bCs w:val="1"/>
          <w:color w:val="auto"/>
        </w:rPr>
        <w:t>2023 Equity Incentive Plan Compensation includes:</w:t>
      </w:r>
    </w:p>
    <w:p>
      <w:pPr>
        <w:spacing w:after="0" w:line="15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Equity-based discretionary retention awards issued on December 20, 2022, calculated a the market close share price of $13.19.</w:t>
      </w:r>
    </w:p>
    <w:p>
      <w:pPr>
        <w:spacing w:after="0" w:line="156" w:lineRule="exact"/>
        <w:rPr>
          <w:rFonts w:ascii="Arial" w:cs="Arial" w:eastAsia="Arial" w:hAnsi="Arial"/>
          <w:sz w:val="12"/>
          <w:szCs w:val="12"/>
          <w:color w:val="auto"/>
        </w:rPr>
      </w:pPr>
    </w:p>
    <w:p>
      <w:pPr>
        <w:ind w:left="220" w:right="200"/>
        <w:spacing w:after="0" w:line="301" w:lineRule="auto"/>
        <w:rPr>
          <w:rFonts w:ascii="Arial" w:cs="Arial" w:eastAsia="Arial" w:hAnsi="Arial"/>
          <w:sz w:val="12"/>
          <w:szCs w:val="12"/>
          <w:color w:val="auto"/>
        </w:rPr>
      </w:pPr>
      <w:r>
        <w:rPr>
          <w:rFonts w:ascii="Arial" w:cs="Arial" w:eastAsia="Arial" w:hAnsi="Arial"/>
          <w:sz w:val="12"/>
          <w:szCs w:val="12"/>
          <w:color w:val="auto"/>
        </w:rPr>
        <w:t>SSP Bonus earned for fiscal year 2023, issued in fiscal year 2023, in connection with the sale of our Northern Properties. The shares were calculated at the market close share price of $15.74 of March 7, 2023.</w:t>
      </w:r>
    </w:p>
    <w:p>
      <w:pPr>
        <w:spacing w:after="0" w:line="88"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Equity-based incentive earned for fiscal year 2023, issued during fiscal year 2024, calculated at the market close share price of $19.57 on December 18, 2023.</w:t>
      </w:r>
    </w:p>
    <w:p>
      <w:pPr>
        <w:spacing w:after="0" w:line="156" w:lineRule="exact"/>
        <w:rPr>
          <w:rFonts w:ascii="Arial" w:cs="Arial" w:eastAsia="Arial" w:hAnsi="Arial"/>
          <w:sz w:val="12"/>
          <w:szCs w:val="12"/>
          <w:color w:val="auto"/>
        </w:rPr>
      </w:pPr>
    </w:p>
    <w:p>
      <w:pPr>
        <w:ind w:left="220"/>
        <w:spacing w:after="0" w:line="301" w:lineRule="auto"/>
        <w:rPr>
          <w:rFonts w:ascii="Arial" w:cs="Arial" w:eastAsia="Arial" w:hAnsi="Arial"/>
          <w:sz w:val="12"/>
          <w:szCs w:val="12"/>
          <w:color w:val="auto"/>
        </w:rPr>
      </w:pPr>
      <w:r>
        <w:rPr>
          <w:rFonts w:ascii="Arial" w:cs="Arial" w:eastAsia="Arial" w:hAnsi="Arial"/>
          <w:sz w:val="12"/>
          <w:szCs w:val="12"/>
          <w:color w:val="auto"/>
        </w:rPr>
        <w:t>SSP Bonus earned for fiscal year 2023, issued in fiscal year 2023, in connection with Harvest Equity Earnings. The shares were calculated at the market close share price of $19.57 of December 18, 2023.</w:t>
      </w:r>
    </w:p>
    <w:p>
      <w:pPr>
        <w:spacing w:after="0" w:line="101"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b w:val="1"/>
          <w:bCs w:val="1"/>
          <w:color w:val="auto"/>
        </w:rPr>
        <w:t>2024 Equity Incentive Plan Compensation includes:</w:t>
      </w:r>
    </w:p>
    <w:p>
      <w:pPr>
        <w:spacing w:after="0" w:line="143"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Restricted Share Award for fiscal year 2024, issued in fiscal year 2024. The shares were calculated at the market close share price of $14.13 on November 1, 2023.</w:t>
      </w:r>
    </w:p>
    <w:p>
      <w:pPr>
        <w:spacing w:after="0" w:line="156" w:lineRule="exact"/>
        <w:rPr>
          <w:rFonts w:ascii="Arial" w:cs="Arial" w:eastAsia="Arial" w:hAnsi="Arial"/>
          <w:sz w:val="12"/>
          <w:szCs w:val="12"/>
          <w:color w:val="auto"/>
        </w:rPr>
      </w:pPr>
    </w:p>
    <w:p>
      <w:pPr>
        <w:ind w:left="220"/>
        <w:spacing w:after="0" w:line="301" w:lineRule="auto"/>
        <w:rPr>
          <w:rFonts w:ascii="Arial" w:cs="Arial" w:eastAsia="Arial" w:hAnsi="Arial"/>
          <w:sz w:val="12"/>
          <w:szCs w:val="12"/>
          <w:color w:val="auto"/>
        </w:rPr>
      </w:pPr>
      <w:r>
        <w:rPr>
          <w:rFonts w:ascii="Arial" w:cs="Arial" w:eastAsia="Arial" w:hAnsi="Arial"/>
          <w:sz w:val="12"/>
          <w:szCs w:val="12"/>
          <w:color w:val="auto"/>
        </w:rPr>
        <w:t>SSP Bonus earned for fiscal year 2024, issued in fiscal year 2024, in connection with Harvest Equity Earnings. The shares were calculated at the market close share price of $20.36 on June 6, 2024.</w:t>
      </w:r>
    </w:p>
    <w:p>
      <w:pPr>
        <w:spacing w:after="0" w:line="101" w:lineRule="exact"/>
        <w:rPr>
          <w:rFonts w:ascii="Arial" w:cs="Arial" w:eastAsia="Arial" w:hAnsi="Arial"/>
          <w:sz w:val="12"/>
          <w:szCs w:val="12"/>
          <w:color w:val="auto"/>
        </w:rPr>
      </w:pPr>
    </w:p>
    <w:p>
      <w:pPr>
        <w:ind w:left="220"/>
        <w:spacing w:after="0" w:line="301" w:lineRule="auto"/>
        <w:rPr>
          <w:rFonts w:ascii="Arial" w:cs="Arial" w:eastAsia="Arial" w:hAnsi="Arial"/>
          <w:sz w:val="12"/>
          <w:szCs w:val="12"/>
          <w:color w:val="auto"/>
        </w:rPr>
      </w:pPr>
      <w:r>
        <w:rPr>
          <w:rFonts w:ascii="Arial" w:cs="Arial" w:eastAsia="Arial" w:hAnsi="Arial"/>
          <w:sz w:val="12"/>
          <w:szCs w:val="12"/>
          <w:color w:val="auto"/>
        </w:rPr>
        <w:t>SSP Bonus earned for fiscal year 2024, issued in fiscal year 2025, in connection with Harvest Equity Earnings. The shares were calculated at the market close share price of $26.30 on December 20, 2024.</w:t>
      </w:r>
    </w:p>
    <w:p>
      <w:pPr>
        <w:spacing w:after="0" w:line="88" w:lineRule="exact"/>
        <w:rPr>
          <w:rFonts w:ascii="Arial" w:cs="Arial" w:eastAsia="Arial" w:hAnsi="Arial"/>
          <w:sz w:val="12"/>
          <w:szCs w:val="12"/>
          <w:color w:val="auto"/>
        </w:rPr>
      </w:pPr>
    </w:p>
    <w:p>
      <w:pPr>
        <w:ind w:left="220" w:right="40" w:hanging="215"/>
        <w:spacing w:after="0" w:line="301" w:lineRule="auto"/>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Other Compensation consists of, for each of our NEOs, life insurance premiums, profit sharing and matching contributions under our 401(k) plan, dividends paid on stock awards, and personal use of Company vehicles. See Chart of All Other Compensation for details.</w:t>
      </w:r>
    </w:p>
    <w:p>
      <w:pPr>
        <w:spacing w:after="0" w:line="101" w:lineRule="exact"/>
        <w:rPr>
          <w:rFonts w:ascii="Arial" w:cs="Arial" w:eastAsia="Arial" w:hAnsi="Arial"/>
          <w:sz w:val="12"/>
          <w:szCs w:val="12"/>
          <w:color w:val="auto"/>
        </w:rPr>
      </w:pPr>
    </w:p>
    <w:p>
      <w:pPr>
        <w:ind w:left="220" w:hanging="215"/>
        <w:spacing w:after="0"/>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Mr. Edwards received a SSP Bonus of $298,550 in December 2022. He received approval from the Board to convert the stock portion of the award to cash.</w:t>
      </w:r>
    </w:p>
    <w:p>
      <w:pPr>
        <w:sectPr>
          <w:pgSz w:w="11900" w:h="16838" w:orient="portrait"/>
          <w:cols w:equalWidth="0" w:num="1">
            <w:col w:w="9340"/>
          </w:cols>
          <w:pgMar w:left="1300" w:top="118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88" w:right="12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The following charts reflect the fiscal year 2024 compensation mix for our Chief Executive Officer and other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Chart of All Other Compensation in Fiscal Year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Borders>
              <w:right w:val="single" w:sz="8" w:color="E5E9ED"/>
            </w:tcBorders>
            <w:shd w:val="clear" w:color="auto" w:fill="E5E9ED"/>
          </w:tcPr>
          <w:p>
            <w:pPr>
              <w:spacing w:after="0"/>
              <w:rPr>
                <w:sz w:val="19"/>
                <w:szCs w:val="19"/>
                <w:color w:val="auto"/>
              </w:rPr>
            </w:pPr>
          </w:p>
        </w:tc>
        <w:tc>
          <w:tcPr>
            <w:tcW w:w="1020" w:type="dxa"/>
            <w:vAlign w:val="bottom"/>
            <w:tcBorders>
              <w:right w:val="single" w:sz="8" w:color="E5E9ED"/>
            </w:tcBorders>
            <w:shd w:val="clear" w:color="auto" w:fill="E5E9ED"/>
          </w:tcPr>
          <w:p>
            <w:pPr>
              <w:spacing w:after="0"/>
              <w:rPr>
                <w:sz w:val="19"/>
                <w:szCs w:val="19"/>
                <w:color w:val="auto"/>
              </w:rPr>
            </w:pPr>
          </w:p>
        </w:tc>
        <w:tc>
          <w:tcPr>
            <w:tcW w:w="1180" w:type="dxa"/>
            <w:vAlign w:val="bottom"/>
            <w:tcBorders>
              <w:right w:val="single" w:sz="8" w:color="E5E9ED"/>
            </w:tcBorders>
            <w:vMerge w:val="restart"/>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Company</w:t>
            </w:r>
          </w:p>
        </w:tc>
        <w:tc>
          <w:tcPr>
            <w:tcW w:w="11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Perquisites</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Insurance</w:t>
            </w:r>
          </w:p>
        </w:tc>
        <w:tc>
          <w:tcPr>
            <w:tcW w:w="1000" w:type="dxa"/>
            <w:vAlign w:val="bottom"/>
            <w:shd w:val="clear" w:color="auto" w:fill="E5E9ED"/>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20" w:type="dxa"/>
            <w:vAlign w:val="bottom"/>
            <w:tcBorders>
              <w:right w:val="single" w:sz="8" w:color="E5E9ED"/>
            </w:tcBorders>
            <w:shd w:val="clear" w:color="auto" w:fill="E5E9ED"/>
          </w:tcPr>
          <w:p>
            <w:pPr>
              <w:spacing w:after="0"/>
              <w:rPr>
                <w:sz w:val="15"/>
                <w:szCs w:val="15"/>
                <w:color w:val="auto"/>
              </w:rPr>
            </w:pPr>
          </w:p>
        </w:tc>
        <w:tc>
          <w:tcPr>
            <w:tcW w:w="1020" w:type="dxa"/>
            <w:vAlign w:val="bottom"/>
            <w:tcBorders>
              <w:right w:val="single" w:sz="8" w:color="E5E9ED"/>
            </w:tcBorders>
            <w:shd w:val="clear" w:color="auto" w:fill="E5E9ED"/>
          </w:tcPr>
          <w:p>
            <w:pPr>
              <w:spacing w:after="0"/>
              <w:rPr>
                <w:sz w:val="15"/>
                <w:szCs w:val="15"/>
                <w:color w:val="auto"/>
              </w:rPr>
            </w:pPr>
          </w:p>
        </w:tc>
        <w:tc>
          <w:tcPr>
            <w:tcW w:w="1180" w:type="dxa"/>
            <w:vAlign w:val="bottom"/>
            <w:tcBorders>
              <w:right w:val="single" w:sz="8" w:color="E5E9ED"/>
            </w:tcBorders>
            <w:vMerge w:val="continue"/>
            <w:shd w:val="clear" w:color="auto" w:fill="E5E9ED"/>
          </w:tcPr>
          <w:p>
            <w:pPr>
              <w:spacing w:after="0"/>
              <w:rPr>
                <w:sz w:val="15"/>
                <w:szCs w:val="15"/>
                <w:color w:val="auto"/>
              </w:rPr>
            </w:pPr>
          </w:p>
        </w:tc>
        <w:tc>
          <w:tcPr>
            <w:tcW w:w="11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and</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Premiums</w:t>
            </w:r>
          </w:p>
        </w:tc>
        <w:tc>
          <w:tcPr>
            <w:tcW w:w="1000" w:type="dxa"/>
            <w:vAlign w:val="bottom"/>
            <w:shd w:val="clear" w:color="auto" w:fill="E5E9ED"/>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20" w:type="dxa"/>
            <w:vAlign w:val="bottom"/>
            <w:tcBorders>
              <w:right w:val="single" w:sz="8" w:color="E5E9ED"/>
            </w:tcBorders>
            <w:shd w:val="clear" w:color="auto" w:fill="E5E9ED"/>
          </w:tcPr>
          <w:p>
            <w:pPr>
              <w:spacing w:after="0"/>
              <w:rPr>
                <w:sz w:val="16"/>
                <w:szCs w:val="16"/>
                <w:color w:val="auto"/>
              </w:rPr>
            </w:pPr>
          </w:p>
        </w:tc>
        <w:tc>
          <w:tcPr>
            <w:tcW w:w="1020" w:type="dxa"/>
            <w:vAlign w:val="bottom"/>
            <w:tcBorders>
              <w:right w:val="single" w:sz="8" w:color="E5E9ED"/>
            </w:tcBorders>
            <w:shd w:val="clear" w:color="auto" w:fill="E5E9ED"/>
          </w:tcPr>
          <w:p>
            <w:pPr>
              <w:jc w:val="right"/>
              <w:ind w:right="272"/>
              <w:spacing w:after="0"/>
              <w:rPr>
                <w:sz w:val="20"/>
                <w:szCs w:val="20"/>
                <w:color w:val="auto"/>
              </w:rPr>
            </w:pPr>
            <w:r>
              <w:rPr>
                <w:rFonts w:ascii="Arial" w:cs="Arial" w:eastAsia="Arial" w:hAnsi="Arial"/>
                <w:sz w:val="14"/>
                <w:szCs w:val="14"/>
                <w:b w:val="1"/>
                <w:bCs w:val="1"/>
                <w:color w:val="auto"/>
              </w:rPr>
              <w:t>Stock</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Contributions</w:t>
            </w:r>
          </w:p>
        </w:tc>
        <w:tc>
          <w:tcPr>
            <w:tcW w:w="11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Personal</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Paid by the</w:t>
            </w:r>
          </w:p>
        </w:tc>
        <w:tc>
          <w:tcPr>
            <w:tcW w:w="1000" w:type="dxa"/>
            <w:vAlign w:val="bottom"/>
            <w:shd w:val="clear" w:color="auto" w:fill="E5E9ED"/>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720" w:type="dxa"/>
            <w:vAlign w:val="bottom"/>
            <w:tcBorders>
              <w:right w:val="single" w:sz="8" w:color="E5E9ED"/>
            </w:tcBorders>
            <w:shd w:val="clear" w:color="auto" w:fill="E5E9ED"/>
          </w:tcPr>
          <w:p>
            <w:pPr>
              <w:spacing w:after="0"/>
              <w:rPr>
                <w:sz w:val="15"/>
                <w:szCs w:val="15"/>
                <w:color w:val="auto"/>
              </w:rPr>
            </w:pPr>
          </w:p>
        </w:tc>
        <w:tc>
          <w:tcPr>
            <w:tcW w:w="1020" w:type="dxa"/>
            <w:vAlign w:val="bottom"/>
            <w:tcBorders>
              <w:right w:val="single" w:sz="8" w:color="E5E9ED"/>
            </w:tcBorders>
            <w:shd w:val="clear" w:color="auto" w:fill="E5E9ED"/>
          </w:tcPr>
          <w:p>
            <w:pPr>
              <w:jc w:val="right"/>
              <w:ind w:right="132"/>
              <w:spacing w:after="0"/>
              <w:rPr>
                <w:sz w:val="20"/>
                <w:szCs w:val="20"/>
                <w:color w:val="auto"/>
              </w:rPr>
            </w:pPr>
            <w:r>
              <w:rPr>
                <w:rFonts w:ascii="Arial" w:cs="Arial" w:eastAsia="Arial" w:hAnsi="Arial"/>
                <w:sz w:val="14"/>
                <w:szCs w:val="14"/>
                <w:b w:val="1"/>
                <w:bCs w:val="1"/>
                <w:color w:val="auto"/>
              </w:rPr>
              <w:t>Dividends</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to 401(k)</w:t>
            </w:r>
          </w:p>
        </w:tc>
        <w:tc>
          <w:tcPr>
            <w:tcW w:w="11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Benefits</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rPr>
              <w:t>Company</w:t>
            </w:r>
          </w:p>
        </w:tc>
        <w:tc>
          <w:tcPr>
            <w:tcW w:w="1000" w:type="dxa"/>
            <w:vAlign w:val="bottom"/>
            <w:shd w:val="clear" w:color="auto" w:fill="E5E9ED"/>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7"/>
        </w:trPr>
        <w:tc>
          <w:tcPr>
            <w:tcW w:w="3720" w:type="dxa"/>
            <w:vAlign w:val="bottom"/>
            <w:tcBorders>
              <w:bottom w:val="single" w:sz="8" w:color="EBF7FC"/>
              <w:right w:val="single" w:sz="8" w:color="E5E9ED"/>
            </w:tcBorders>
            <w:shd w:val="clear" w:color="auto" w:fill="E5E9ED"/>
          </w:tcPr>
          <w:p>
            <w:pPr>
              <w:spacing w:after="0"/>
              <w:rPr>
                <w:sz w:val="18"/>
                <w:szCs w:val="18"/>
                <w:color w:val="auto"/>
              </w:rPr>
            </w:pPr>
          </w:p>
        </w:tc>
        <w:tc>
          <w:tcPr>
            <w:tcW w:w="1020" w:type="dxa"/>
            <w:vAlign w:val="bottom"/>
            <w:tcBorders>
              <w:bottom w:val="single" w:sz="8" w:color="EBF7FC"/>
              <w:right w:val="single" w:sz="8" w:color="E5E9ED"/>
            </w:tcBorders>
            <w:shd w:val="clear" w:color="auto" w:fill="E5E9ED"/>
          </w:tcPr>
          <w:p>
            <w:pPr>
              <w:jc w:val="right"/>
              <w:ind w:right="39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16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EBF7FC"/>
            </w:tcBorders>
            <w:shd w:val="clear" w:color="auto" w:fill="E5E9ED"/>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3720" w:type="dxa"/>
            <w:vAlign w:val="bottom"/>
            <w:tcBorders>
              <w:right w:val="single" w:sz="8" w:color="EBF7FC"/>
            </w:tcBorders>
          </w:tcPr>
          <w:p>
            <w:pPr>
              <w:ind w:left="80"/>
              <w:spacing w:after="0"/>
              <w:rPr>
                <w:sz w:val="20"/>
                <w:szCs w:val="20"/>
                <w:color w:val="auto"/>
              </w:rPr>
            </w:pPr>
            <w:r>
              <w:rPr>
                <w:rFonts w:ascii="Arial" w:cs="Arial" w:eastAsia="Arial" w:hAnsi="Arial"/>
                <w:sz w:val="14"/>
                <w:szCs w:val="14"/>
                <w:color w:val="auto"/>
              </w:rPr>
              <w:t>Harold Edwards</w:t>
            </w:r>
          </w:p>
        </w:tc>
        <w:tc>
          <w:tcPr>
            <w:tcW w:w="1020" w:type="dxa"/>
            <w:vAlign w:val="bottom"/>
            <w:tcBorders>
              <w:right w:val="single" w:sz="8" w:color="EBF7FC"/>
            </w:tcBorders>
            <w:vMerge w:val="restart"/>
          </w:tcPr>
          <w:p>
            <w:pPr>
              <w:jc w:val="right"/>
              <w:ind w:right="272"/>
              <w:spacing w:after="0"/>
              <w:rPr>
                <w:sz w:val="20"/>
                <w:szCs w:val="20"/>
                <w:color w:val="auto"/>
              </w:rPr>
            </w:pPr>
            <w:r>
              <w:rPr>
                <w:rFonts w:ascii="Arial" w:cs="Arial" w:eastAsia="Arial" w:hAnsi="Arial"/>
                <w:sz w:val="14"/>
                <w:szCs w:val="14"/>
                <w:color w:val="auto"/>
              </w:rPr>
              <w:t>38,215</w:t>
            </w:r>
          </w:p>
        </w:tc>
        <w:tc>
          <w:tcPr>
            <w:tcW w:w="1180" w:type="dxa"/>
            <w:vAlign w:val="bottom"/>
            <w:tcBorders>
              <w:right w:val="single" w:sz="8" w:color="EBF7FC"/>
            </w:tcBorders>
            <w:vMerge w:val="restart"/>
          </w:tcPr>
          <w:p>
            <w:pPr>
              <w:jc w:val="right"/>
              <w:ind w:right="352"/>
              <w:spacing w:after="0"/>
              <w:rPr>
                <w:sz w:val="20"/>
                <w:szCs w:val="20"/>
                <w:color w:val="auto"/>
              </w:rPr>
            </w:pPr>
            <w:r>
              <w:rPr>
                <w:rFonts w:ascii="Arial" w:cs="Arial" w:eastAsia="Arial" w:hAnsi="Arial"/>
                <w:sz w:val="14"/>
                <w:szCs w:val="14"/>
                <w:color w:val="auto"/>
              </w:rPr>
              <w:t>28,187</w:t>
            </w:r>
          </w:p>
        </w:tc>
        <w:tc>
          <w:tcPr>
            <w:tcW w:w="1160" w:type="dxa"/>
            <w:vAlign w:val="bottom"/>
            <w:tcBorders>
              <w:right w:val="single" w:sz="8" w:color="EBF7FC"/>
            </w:tcBorders>
            <w:vMerge w:val="restart"/>
          </w:tcPr>
          <w:p>
            <w:pPr>
              <w:jc w:val="right"/>
              <w:ind w:right="372"/>
              <w:spacing w:after="0"/>
              <w:rPr>
                <w:sz w:val="20"/>
                <w:szCs w:val="20"/>
                <w:color w:val="auto"/>
              </w:rPr>
            </w:pPr>
            <w:r>
              <w:rPr>
                <w:rFonts w:ascii="Arial" w:cs="Arial" w:eastAsia="Arial" w:hAnsi="Arial"/>
                <w:sz w:val="14"/>
                <w:szCs w:val="14"/>
                <w:color w:val="auto"/>
              </w:rPr>
              <w:t>2,809</w:t>
            </w:r>
          </w:p>
        </w:tc>
        <w:tc>
          <w:tcPr>
            <w:tcW w:w="1180" w:type="dxa"/>
            <w:vAlign w:val="bottom"/>
            <w:tcBorders>
              <w:right w:val="single" w:sz="8" w:color="EBF7FC"/>
            </w:tcBorders>
            <w:vMerge w:val="restart"/>
          </w:tcPr>
          <w:p>
            <w:pPr>
              <w:jc w:val="right"/>
              <w:ind w:right="392"/>
              <w:spacing w:after="0"/>
              <w:rPr>
                <w:sz w:val="20"/>
                <w:szCs w:val="20"/>
                <w:color w:val="auto"/>
              </w:rPr>
            </w:pPr>
            <w:r>
              <w:rPr>
                <w:rFonts w:ascii="Arial" w:cs="Arial" w:eastAsia="Arial" w:hAnsi="Arial"/>
                <w:sz w:val="14"/>
                <w:szCs w:val="14"/>
                <w:color w:val="auto"/>
              </w:rPr>
              <w:t>3,260</w:t>
            </w: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color w:val="auto"/>
              </w:rPr>
              <w:t>72,471</w:t>
            </w:r>
          </w:p>
        </w:tc>
        <w:tc>
          <w:tcPr>
            <w:tcW w:w="0" w:type="dxa"/>
            <w:vAlign w:val="bottom"/>
          </w:tcPr>
          <w:p>
            <w:pPr>
              <w:spacing w:after="0"/>
              <w:rPr>
                <w:sz w:val="1"/>
                <w:szCs w:val="1"/>
                <w:color w:val="auto"/>
              </w:rPr>
            </w:pPr>
          </w:p>
        </w:tc>
      </w:tr>
      <w:tr>
        <w:trPr>
          <w:trHeight w:val="192"/>
        </w:trPr>
        <w:tc>
          <w:tcPr>
            <w:tcW w:w="3720" w:type="dxa"/>
            <w:vAlign w:val="bottom"/>
            <w:tcBorders>
              <w:right w:val="single" w:sz="8" w:color="EBF7FC"/>
            </w:tcBorders>
          </w:tcPr>
          <w:p>
            <w:pPr>
              <w:ind w:left="80"/>
              <w:spacing w:after="0"/>
              <w:rPr>
                <w:sz w:val="20"/>
                <w:szCs w:val="20"/>
                <w:color w:val="auto"/>
              </w:rPr>
            </w:pPr>
            <w:r>
              <w:rPr>
                <w:rFonts w:ascii="Arial" w:cs="Arial" w:eastAsia="Arial" w:hAnsi="Arial"/>
                <w:sz w:val="14"/>
                <w:szCs w:val="14"/>
                <w:color w:val="auto"/>
              </w:rPr>
              <w:t>President &amp; Chief Executive Officer</w:t>
            </w:r>
          </w:p>
        </w:tc>
        <w:tc>
          <w:tcPr>
            <w:tcW w:w="1020" w:type="dxa"/>
            <w:vAlign w:val="bottom"/>
            <w:tcBorders>
              <w:right w:val="single" w:sz="8" w:color="EBF7FC"/>
            </w:tcBorders>
            <w:vMerge w:val="continue"/>
          </w:tcPr>
          <w:p>
            <w:pPr>
              <w:spacing w:after="0"/>
              <w:rPr>
                <w:sz w:val="16"/>
                <w:szCs w:val="16"/>
                <w:color w:val="auto"/>
              </w:rPr>
            </w:pPr>
          </w:p>
        </w:tc>
        <w:tc>
          <w:tcPr>
            <w:tcW w:w="1180" w:type="dxa"/>
            <w:vAlign w:val="bottom"/>
            <w:tcBorders>
              <w:right w:val="single" w:sz="8" w:color="EBF7FC"/>
            </w:tcBorders>
            <w:vMerge w:val="continue"/>
          </w:tcPr>
          <w:p>
            <w:pPr>
              <w:spacing w:after="0"/>
              <w:rPr>
                <w:sz w:val="16"/>
                <w:szCs w:val="16"/>
                <w:color w:val="auto"/>
              </w:rPr>
            </w:pPr>
          </w:p>
        </w:tc>
        <w:tc>
          <w:tcPr>
            <w:tcW w:w="1160" w:type="dxa"/>
            <w:vAlign w:val="bottom"/>
            <w:tcBorders>
              <w:right w:val="single" w:sz="8" w:color="EBF7FC"/>
            </w:tcBorders>
            <w:vMerge w:val="continue"/>
          </w:tcPr>
          <w:p>
            <w:pPr>
              <w:spacing w:after="0"/>
              <w:rPr>
                <w:sz w:val="16"/>
                <w:szCs w:val="16"/>
                <w:color w:val="auto"/>
              </w:rPr>
            </w:pPr>
          </w:p>
        </w:tc>
        <w:tc>
          <w:tcPr>
            <w:tcW w:w="1180" w:type="dxa"/>
            <w:vAlign w:val="bottom"/>
            <w:tcBorders>
              <w:right w:val="single" w:sz="8" w:color="EBF7FC"/>
            </w:tcBorders>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EBF7FC"/>
              <w:right w:val="single" w:sz="8" w:color="EBF7FC"/>
            </w:tcBorders>
          </w:tcPr>
          <w:p>
            <w:pPr>
              <w:spacing w:after="0"/>
              <w:rPr>
                <w:sz w:val="3"/>
                <w:szCs w:val="3"/>
                <w:color w:val="auto"/>
              </w:rPr>
            </w:pPr>
          </w:p>
        </w:tc>
        <w:tc>
          <w:tcPr>
            <w:tcW w:w="1020" w:type="dxa"/>
            <w:vAlign w:val="bottom"/>
            <w:tcBorders>
              <w:bottom w:val="single" w:sz="8" w:color="EBF7FC"/>
              <w:right w:val="single" w:sz="8" w:color="EBF7FC"/>
            </w:tcBorders>
          </w:tcPr>
          <w:p>
            <w:pPr>
              <w:spacing w:after="0"/>
              <w:rPr>
                <w:sz w:val="3"/>
                <w:szCs w:val="3"/>
                <w:color w:val="auto"/>
              </w:rPr>
            </w:pPr>
          </w:p>
        </w:tc>
        <w:tc>
          <w:tcPr>
            <w:tcW w:w="1180" w:type="dxa"/>
            <w:vAlign w:val="bottom"/>
            <w:tcBorders>
              <w:bottom w:val="single" w:sz="8" w:color="EBF7FC"/>
              <w:right w:val="single" w:sz="8" w:color="EBF7FC"/>
            </w:tcBorders>
          </w:tcPr>
          <w:p>
            <w:pPr>
              <w:spacing w:after="0"/>
              <w:rPr>
                <w:sz w:val="3"/>
                <w:szCs w:val="3"/>
                <w:color w:val="auto"/>
              </w:rPr>
            </w:pPr>
          </w:p>
        </w:tc>
        <w:tc>
          <w:tcPr>
            <w:tcW w:w="1160" w:type="dxa"/>
            <w:vAlign w:val="bottom"/>
            <w:tcBorders>
              <w:bottom w:val="single" w:sz="8" w:color="EBF7FC"/>
              <w:right w:val="single" w:sz="8" w:color="EBF7FC"/>
            </w:tcBorders>
          </w:tcPr>
          <w:p>
            <w:pPr>
              <w:spacing w:after="0"/>
              <w:rPr>
                <w:sz w:val="3"/>
                <w:szCs w:val="3"/>
                <w:color w:val="auto"/>
              </w:rPr>
            </w:pPr>
          </w:p>
        </w:tc>
        <w:tc>
          <w:tcPr>
            <w:tcW w:w="1180" w:type="dxa"/>
            <w:vAlign w:val="bottom"/>
            <w:tcBorders>
              <w:bottom w:val="single" w:sz="8" w:color="EBF7FC"/>
              <w:right w:val="single" w:sz="8" w:color="EBF7FC"/>
            </w:tcBorders>
          </w:tcPr>
          <w:p>
            <w:pPr>
              <w:spacing w:after="0"/>
              <w:rPr>
                <w:sz w:val="3"/>
                <w:szCs w:val="3"/>
                <w:color w:val="auto"/>
              </w:rPr>
            </w:pPr>
          </w:p>
        </w:tc>
        <w:tc>
          <w:tcPr>
            <w:tcW w:w="1000" w:type="dxa"/>
            <w:vAlign w:val="bottom"/>
            <w:tcBorders>
              <w:bottom w:val="single" w:sz="8" w:color="EBF7F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2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Mark Palamountain</w:t>
            </w:r>
          </w:p>
        </w:tc>
        <w:tc>
          <w:tcPr>
            <w:tcW w:w="1020" w:type="dxa"/>
            <w:vAlign w:val="bottom"/>
            <w:tcBorders>
              <w:right w:val="single" w:sz="8" w:color="EBF7FC"/>
            </w:tcBorders>
            <w:shd w:val="clear" w:color="auto" w:fill="F3F9FD"/>
          </w:tcPr>
          <w:p>
            <w:pPr>
              <w:spacing w:after="0"/>
              <w:rPr>
                <w:sz w:val="19"/>
                <w:szCs w:val="19"/>
                <w:color w:val="auto"/>
              </w:rPr>
            </w:pPr>
          </w:p>
        </w:tc>
        <w:tc>
          <w:tcPr>
            <w:tcW w:w="1180" w:type="dxa"/>
            <w:vAlign w:val="bottom"/>
            <w:tcBorders>
              <w:right w:val="single" w:sz="8" w:color="EBF7FC"/>
            </w:tcBorders>
            <w:shd w:val="clear" w:color="auto" w:fill="F3F9FD"/>
          </w:tcPr>
          <w:p>
            <w:pPr>
              <w:spacing w:after="0"/>
              <w:rPr>
                <w:sz w:val="19"/>
                <w:szCs w:val="19"/>
                <w:color w:val="auto"/>
              </w:rPr>
            </w:pPr>
          </w:p>
        </w:tc>
        <w:tc>
          <w:tcPr>
            <w:tcW w:w="1160" w:type="dxa"/>
            <w:vAlign w:val="bottom"/>
            <w:tcBorders>
              <w:right w:val="single" w:sz="8" w:color="EBF7FC"/>
            </w:tcBorders>
            <w:shd w:val="clear" w:color="auto" w:fill="F3F9FD"/>
          </w:tcPr>
          <w:p>
            <w:pPr>
              <w:spacing w:after="0"/>
              <w:rPr>
                <w:sz w:val="19"/>
                <w:szCs w:val="19"/>
                <w:color w:val="auto"/>
              </w:rPr>
            </w:pPr>
          </w:p>
        </w:tc>
        <w:tc>
          <w:tcPr>
            <w:tcW w:w="1180" w:type="dxa"/>
            <w:vAlign w:val="bottom"/>
            <w:tcBorders>
              <w:right w:val="single" w:sz="8" w:color="EBF7FC"/>
            </w:tcBorders>
            <w:shd w:val="clear" w:color="auto" w:fill="F3F9FD"/>
          </w:tcPr>
          <w:p>
            <w:pPr>
              <w:spacing w:after="0"/>
              <w:rPr>
                <w:sz w:val="19"/>
                <w:szCs w:val="19"/>
                <w:color w:val="auto"/>
              </w:rPr>
            </w:pPr>
          </w:p>
        </w:tc>
        <w:tc>
          <w:tcPr>
            <w:tcW w:w="1000" w:type="dxa"/>
            <w:vAlign w:val="bottom"/>
            <w:shd w:val="clear" w:color="auto" w:fill="F3F9FD"/>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72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Executive Vice President,</w:t>
            </w:r>
          </w:p>
        </w:tc>
        <w:tc>
          <w:tcPr>
            <w:tcW w:w="1020" w:type="dxa"/>
            <w:vAlign w:val="bottom"/>
            <w:tcBorders>
              <w:right w:val="single" w:sz="8" w:color="EBF7FC"/>
            </w:tcBorders>
            <w:vMerge w:val="restart"/>
            <w:shd w:val="clear" w:color="auto" w:fill="F3F9FD"/>
          </w:tcPr>
          <w:p>
            <w:pPr>
              <w:jc w:val="right"/>
              <w:ind w:right="272"/>
              <w:spacing w:after="0"/>
              <w:rPr>
                <w:sz w:val="20"/>
                <w:szCs w:val="20"/>
                <w:color w:val="auto"/>
              </w:rPr>
            </w:pPr>
            <w:r>
              <w:rPr>
                <w:rFonts w:ascii="Arial" w:cs="Arial" w:eastAsia="Arial" w:hAnsi="Arial"/>
                <w:sz w:val="14"/>
                <w:szCs w:val="14"/>
                <w:color w:val="auto"/>
              </w:rPr>
              <w:t>25,989</w:t>
            </w:r>
          </w:p>
        </w:tc>
        <w:tc>
          <w:tcPr>
            <w:tcW w:w="1180" w:type="dxa"/>
            <w:vAlign w:val="bottom"/>
            <w:tcBorders>
              <w:right w:val="single" w:sz="8" w:color="EBF7FC"/>
            </w:tcBorders>
            <w:vMerge w:val="restart"/>
            <w:shd w:val="clear" w:color="auto" w:fill="F3F9FD"/>
          </w:tcPr>
          <w:p>
            <w:pPr>
              <w:jc w:val="right"/>
              <w:ind w:right="352"/>
              <w:spacing w:after="0"/>
              <w:rPr>
                <w:sz w:val="20"/>
                <w:szCs w:val="20"/>
                <w:color w:val="auto"/>
              </w:rPr>
            </w:pPr>
            <w:r>
              <w:rPr>
                <w:rFonts w:ascii="Arial" w:cs="Arial" w:eastAsia="Arial" w:hAnsi="Arial"/>
                <w:sz w:val="14"/>
                <w:szCs w:val="14"/>
                <w:color w:val="auto"/>
              </w:rPr>
              <w:t>22,616</w:t>
            </w:r>
          </w:p>
        </w:tc>
        <w:tc>
          <w:tcPr>
            <w:tcW w:w="1160" w:type="dxa"/>
            <w:vAlign w:val="bottom"/>
            <w:tcBorders>
              <w:right w:val="single" w:sz="8" w:color="EBF7FC"/>
            </w:tcBorders>
            <w:vMerge w:val="restart"/>
            <w:shd w:val="clear" w:color="auto" w:fill="F3F9FD"/>
          </w:tcPr>
          <w:p>
            <w:pPr>
              <w:jc w:val="right"/>
              <w:ind w:right="372"/>
              <w:spacing w:after="0"/>
              <w:rPr>
                <w:sz w:val="20"/>
                <w:szCs w:val="20"/>
                <w:color w:val="auto"/>
              </w:rPr>
            </w:pPr>
            <w:r>
              <w:rPr>
                <w:rFonts w:ascii="Arial" w:cs="Arial" w:eastAsia="Arial" w:hAnsi="Arial"/>
                <w:sz w:val="14"/>
                <w:szCs w:val="14"/>
                <w:color w:val="auto"/>
              </w:rPr>
              <w:t>3,577</w:t>
            </w:r>
          </w:p>
        </w:tc>
        <w:tc>
          <w:tcPr>
            <w:tcW w:w="1180" w:type="dxa"/>
            <w:vAlign w:val="bottom"/>
            <w:tcBorders>
              <w:right w:val="single" w:sz="8" w:color="EBF7FC"/>
            </w:tcBorders>
            <w:vMerge w:val="restart"/>
            <w:shd w:val="clear" w:color="auto" w:fill="F3F9FD"/>
          </w:tcPr>
          <w:p>
            <w:pPr>
              <w:jc w:val="right"/>
              <w:ind w:right="392"/>
              <w:spacing w:after="0"/>
              <w:rPr>
                <w:sz w:val="20"/>
                <w:szCs w:val="20"/>
                <w:color w:val="auto"/>
              </w:rPr>
            </w:pPr>
            <w:r>
              <w:rPr>
                <w:rFonts w:ascii="Arial" w:cs="Arial" w:eastAsia="Arial" w:hAnsi="Arial"/>
                <w:sz w:val="14"/>
                <w:szCs w:val="14"/>
                <w:color w:val="auto"/>
              </w:rPr>
              <w:t>1,276</w:t>
            </w:r>
          </w:p>
        </w:tc>
        <w:tc>
          <w:tcPr>
            <w:tcW w:w="1000" w:type="dxa"/>
            <w:vAlign w:val="bottom"/>
            <w:vMerge w:val="restart"/>
            <w:shd w:val="clear" w:color="auto" w:fill="F3F9FD"/>
          </w:tcPr>
          <w:p>
            <w:pPr>
              <w:jc w:val="right"/>
              <w:ind w:right="252"/>
              <w:spacing w:after="0"/>
              <w:rPr>
                <w:sz w:val="20"/>
                <w:szCs w:val="20"/>
                <w:color w:val="auto"/>
              </w:rPr>
            </w:pPr>
            <w:r>
              <w:rPr>
                <w:rFonts w:ascii="Arial" w:cs="Arial" w:eastAsia="Arial" w:hAnsi="Arial"/>
                <w:sz w:val="14"/>
                <w:szCs w:val="14"/>
                <w:color w:val="auto"/>
              </w:rPr>
              <w:t>53,458</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Chief Financial Officer &amp; Treasurer</w:t>
            </w:r>
          </w:p>
        </w:tc>
        <w:tc>
          <w:tcPr>
            <w:tcW w:w="1020" w:type="dxa"/>
            <w:vAlign w:val="bottom"/>
            <w:tcBorders>
              <w:bottom w:val="single" w:sz="8" w:color="F3F9FD"/>
              <w:right w:val="single" w:sz="8" w:color="EBF7FC"/>
            </w:tcBorders>
            <w:vMerge w:val="continue"/>
            <w:shd w:val="clear" w:color="auto" w:fill="F3F9FD"/>
          </w:tcPr>
          <w:p>
            <w:pPr>
              <w:spacing w:after="0"/>
              <w:rPr>
                <w:sz w:val="18"/>
                <w:szCs w:val="18"/>
                <w:color w:val="auto"/>
              </w:rPr>
            </w:pPr>
          </w:p>
        </w:tc>
        <w:tc>
          <w:tcPr>
            <w:tcW w:w="1180" w:type="dxa"/>
            <w:vAlign w:val="bottom"/>
            <w:tcBorders>
              <w:bottom w:val="single" w:sz="8" w:color="F3F9FD"/>
              <w:right w:val="single" w:sz="8" w:color="EBF7FC"/>
            </w:tcBorders>
            <w:vMerge w:val="continue"/>
            <w:shd w:val="clear" w:color="auto" w:fill="F3F9FD"/>
          </w:tcPr>
          <w:p>
            <w:pPr>
              <w:spacing w:after="0"/>
              <w:rPr>
                <w:sz w:val="18"/>
                <w:szCs w:val="18"/>
                <w:color w:val="auto"/>
              </w:rPr>
            </w:pPr>
          </w:p>
        </w:tc>
        <w:tc>
          <w:tcPr>
            <w:tcW w:w="1160" w:type="dxa"/>
            <w:vAlign w:val="bottom"/>
            <w:tcBorders>
              <w:bottom w:val="single" w:sz="8" w:color="F3F9FD"/>
              <w:right w:val="single" w:sz="8" w:color="EBF7FC"/>
            </w:tcBorders>
            <w:vMerge w:val="continue"/>
            <w:shd w:val="clear" w:color="auto" w:fill="F3F9FD"/>
          </w:tcPr>
          <w:p>
            <w:pPr>
              <w:spacing w:after="0"/>
              <w:rPr>
                <w:sz w:val="18"/>
                <w:szCs w:val="18"/>
                <w:color w:val="auto"/>
              </w:rPr>
            </w:pPr>
          </w:p>
        </w:tc>
        <w:tc>
          <w:tcPr>
            <w:tcW w:w="1180" w:type="dxa"/>
            <w:vAlign w:val="bottom"/>
            <w:tcBorders>
              <w:bottom w:val="single" w:sz="8" w:color="F3F9FD"/>
              <w:right w:val="single" w:sz="8" w:color="EBF7FC"/>
            </w:tcBorders>
            <w:vMerge w:val="continue"/>
            <w:shd w:val="clear" w:color="auto" w:fill="F3F9FD"/>
          </w:tcPr>
          <w:p>
            <w:pPr>
              <w:spacing w:after="0"/>
              <w:rPr>
                <w:sz w:val="18"/>
                <w:szCs w:val="18"/>
                <w:color w:val="auto"/>
              </w:rPr>
            </w:pPr>
          </w:p>
        </w:tc>
        <w:tc>
          <w:tcPr>
            <w:tcW w:w="1000" w:type="dxa"/>
            <w:vAlign w:val="bottom"/>
            <w:tcBorders>
              <w:bottom w:val="single" w:sz="8" w:color="F3F9FD"/>
            </w:tcBorders>
            <w:vMerge w:val="continue"/>
            <w:shd w:val="clear" w:color="auto" w:fill="F3F9FD"/>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right w:val="single" w:sz="8" w:color="EBF7FC"/>
            </w:tcBorders>
            <w:shd w:val="clear" w:color="auto" w:fill="EBF7FC"/>
          </w:tcPr>
          <w:p>
            <w:pPr>
              <w:spacing w:after="0" w:line="20" w:lineRule="exact"/>
              <w:rPr>
                <w:sz w:val="1"/>
                <w:szCs w:val="1"/>
                <w:color w:val="auto"/>
              </w:rPr>
            </w:pPr>
          </w:p>
        </w:tc>
        <w:tc>
          <w:tcPr>
            <w:tcW w:w="1020" w:type="dxa"/>
            <w:vAlign w:val="bottom"/>
            <w:tcBorders>
              <w:right w:val="single" w:sz="8" w:color="EBF7FC"/>
            </w:tcBorders>
            <w:shd w:val="clear" w:color="auto" w:fill="EBF7FC"/>
          </w:tcPr>
          <w:p>
            <w:pPr>
              <w:spacing w:after="0" w:line="20" w:lineRule="exact"/>
              <w:rPr>
                <w:sz w:val="1"/>
                <w:szCs w:val="1"/>
                <w:color w:val="auto"/>
              </w:rPr>
            </w:pPr>
          </w:p>
        </w:tc>
        <w:tc>
          <w:tcPr>
            <w:tcW w:w="1180" w:type="dxa"/>
            <w:vAlign w:val="bottom"/>
            <w:tcBorders>
              <w:right w:val="single" w:sz="8" w:color="EBF7FC"/>
            </w:tcBorders>
            <w:shd w:val="clear" w:color="auto" w:fill="EBF7FC"/>
          </w:tcPr>
          <w:p>
            <w:pPr>
              <w:spacing w:after="0" w:line="20" w:lineRule="exact"/>
              <w:rPr>
                <w:sz w:val="1"/>
                <w:szCs w:val="1"/>
                <w:color w:val="auto"/>
              </w:rPr>
            </w:pPr>
          </w:p>
        </w:tc>
        <w:tc>
          <w:tcPr>
            <w:tcW w:w="1160" w:type="dxa"/>
            <w:vAlign w:val="bottom"/>
            <w:tcBorders>
              <w:right w:val="single" w:sz="8" w:color="EBF7FC"/>
            </w:tcBorders>
            <w:shd w:val="clear" w:color="auto" w:fill="EBF7FC"/>
          </w:tcPr>
          <w:p>
            <w:pPr>
              <w:spacing w:after="0" w:line="20" w:lineRule="exact"/>
              <w:rPr>
                <w:sz w:val="1"/>
                <w:szCs w:val="1"/>
                <w:color w:val="auto"/>
              </w:rPr>
            </w:pPr>
          </w:p>
        </w:tc>
        <w:tc>
          <w:tcPr>
            <w:tcW w:w="1180" w:type="dxa"/>
            <w:vAlign w:val="bottom"/>
            <w:tcBorders>
              <w:right w:val="single" w:sz="8" w:color="EBF7FC"/>
            </w:tcBorders>
            <w:shd w:val="clear" w:color="auto" w:fill="EBF7FC"/>
          </w:tcPr>
          <w:p>
            <w:pPr>
              <w:spacing w:after="0" w:line="20" w:lineRule="exact"/>
              <w:rPr>
                <w:sz w:val="1"/>
                <w:szCs w:val="1"/>
                <w:color w:val="auto"/>
              </w:rPr>
            </w:pPr>
          </w:p>
        </w:tc>
        <w:tc>
          <w:tcPr>
            <w:tcW w:w="1000" w:type="dxa"/>
            <w:vAlign w:val="bottom"/>
            <w:shd w:val="clear" w:color="auto" w:fill="EB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Grants of Plan-Based Awards in Fiscal Year 2024</w:t>
      </w:r>
    </w:p>
    <w:p>
      <w:pPr>
        <w:spacing w:after="0" w:line="91" w:lineRule="exact"/>
        <w:rPr>
          <w:sz w:val="20"/>
          <w:szCs w:val="20"/>
          <w:color w:val="auto"/>
        </w:rPr>
      </w:pPr>
    </w:p>
    <w:p>
      <w:pPr>
        <w:ind w:right="260"/>
        <w:spacing w:after="0" w:line="324" w:lineRule="auto"/>
        <w:rPr>
          <w:sz w:val="20"/>
          <w:szCs w:val="20"/>
          <w:color w:val="auto"/>
        </w:rPr>
      </w:pPr>
      <w:r>
        <w:rPr>
          <w:rFonts w:ascii="Arial" w:cs="Arial" w:eastAsia="Arial" w:hAnsi="Arial"/>
          <w:sz w:val="15"/>
          <w:szCs w:val="15"/>
          <w:color w:val="auto"/>
        </w:rPr>
        <w:t>The following table provides information about grants of equity and non-equity plan-based awards to the NEOs for performance in the fiscal year ended October 31, 2024, and discretionary, equity-based retention awards granted in fiscal year 2024.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40" w:type="dxa"/>
            <w:vAlign w:val="bottom"/>
            <w:tcBorders>
              <w:right w:val="single" w:sz="8" w:color="E5E9ED"/>
            </w:tcBorders>
            <w:shd w:val="clear" w:color="auto" w:fill="E5E9ED"/>
          </w:tcPr>
          <w:p>
            <w:pPr>
              <w:spacing w:after="0"/>
              <w:rPr>
                <w:sz w:val="20"/>
                <w:szCs w:val="20"/>
                <w:color w:val="auto"/>
              </w:rPr>
            </w:pPr>
          </w:p>
        </w:tc>
        <w:tc>
          <w:tcPr>
            <w:tcW w:w="1320" w:type="dxa"/>
            <w:vAlign w:val="bottom"/>
            <w:tcBorders>
              <w:right w:val="single" w:sz="8" w:color="E5E9ED"/>
            </w:tcBorders>
            <w:vMerge w:val="restart"/>
            <w:shd w:val="clear" w:color="auto" w:fill="E5E9ED"/>
          </w:tcPr>
          <w:p>
            <w:pPr>
              <w:spacing w:after="0"/>
              <w:rPr>
                <w:sz w:val="20"/>
                <w:szCs w:val="20"/>
                <w:color w:val="auto"/>
              </w:rPr>
            </w:pPr>
            <w:r>
              <w:rPr>
                <w:rFonts w:ascii="Arial" w:cs="Arial" w:eastAsia="Arial" w:hAnsi="Arial"/>
                <w:sz w:val="70"/>
                <w:szCs w:val="70"/>
                <w:color w:val="auto"/>
              </w:rPr>
              <w:t>​</w:t>
            </w:r>
          </w:p>
        </w:tc>
        <w:tc>
          <w:tcPr>
            <w:tcW w:w="840" w:type="dxa"/>
            <w:vAlign w:val="bottom"/>
            <w:tcBorders>
              <w:right w:val="single" w:sz="8" w:color="E5E9ED"/>
            </w:tcBorders>
            <w:shd w:val="clear" w:color="auto" w:fill="E5E9ED"/>
          </w:tcPr>
          <w:p>
            <w:pPr>
              <w:spacing w:after="0"/>
              <w:rPr>
                <w:sz w:val="20"/>
                <w:szCs w:val="20"/>
                <w:color w:val="auto"/>
              </w:rPr>
            </w:pPr>
          </w:p>
        </w:tc>
        <w:tc>
          <w:tcPr>
            <w:tcW w:w="820" w:type="dxa"/>
            <w:vAlign w:val="bottom"/>
            <w:tcBorders>
              <w:right w:val="single" w:sz="8" w:color="E5E9ED"/>
            </w:tcBorders>
            <w:shd w:val="clear" w:color="auto" w:fill="E5E9ED"/>
          </w:tcPr>
          <w:p>
            <w:pPr>
              <w:spacing w:after="0"/>
              <w:rPr>
                <w:sz w:val="20"/>
                <w:szCs w:val="20"/>
                <w:color w:val="auto"/>
              </w:rPr>
            </w:pPr>
          </w:p>
        </w:tc>
        <w:tc>
          <w:tcPr>
            <w:tcW w:w="840" w:type="dxa"/>
            <w:vAlign w:val="bottom"/>
            <w:tcBorders>
              <w:right w:val="single" w:sz="8" w:color="E5E9ED"/>
            </w:tcBorders>
            <w:shd w:val="clear" w:color="auto" w:fill="E5E9ED"/>
          </w:tcPr>
          <w:p>
            <w:pPr>
              <w:spacing w:after="0"/>
              <w:rPr>
                <w:sz w:val="20"/>
                <w:szCs w:val="20"/>
                <w:color w:val="auto"/>
              </w:rPr>
            </w:pPr>
          </w:p>
        </w:tc>
        <w:tc>
          <w:tcPr>
            <w:tcW w:w="820" w:type="dxa"/>
            <w:vAlign w:val="bottom"/>
            <w:tcBorders>
              <w:right w:val="single" w:sz="8" w:color="E5E9ED"/>
            </w:tcBorders>
            <w:shd w:val="clear" w:color="auto" w:fill="E5E9ED"/>
          </w:tcPr>
          <w:p>
            <w:pPr>
              <w:spacing w:after="0"/>
              <w:rPr>
                <w:sz w:val="20"/>
                <w:szCs w:val="20"/>
                <w:color w:val="auto"/>
              </w:rPr>
            </w:pPr>
          </w:p>
        </w:tc>
        <w:tc>
          <w:tcPr>
            <w:tcW w:w="820" w:type="dxa"/>
            <w:vAlign w:val="bottom"/>
            <w:tcBorders>
              <w:right w:val="single" w:sz="8" w:color="E5E9ED"/>
            </w:tcBorders>
            <w:shd w:val="clear" w:color="auto" w:fill="E5E9ED"/>
          </w:tcPr>
          <w:p>
            <w:pPr>
              <w:spacing w:after="0"/>
              <w:rPr>
                <w:sz w:val="20"/>
                <w:szCs w:val="20"/>
                <w:color w:val="auto"/>
              </w:rPr>
            </w:pPr>
          </w:p>
        </w:tc>
        <w:tc>
          <w:tcPr>
            <w:tcW w:w="800" w:type="dxa"/>
            <w:vAlign w:val="bottom"/>
            <w:tcBorders>
              <w:right w:val="single" w:sz="8" w:color="E5E9ED"/>
            </w:tcBorders>
            <w:shd w:val="clear" w:color="auto" w:fill="E5E9ED"/>
          </w:tcPr>
          <w:p>
            <w:pPr>
              <w:spacing w:after="0"/>
              <w:rPr>
                <w:sz w:val="20"/>
                <w:szCs w:val="20"/>
                <w:color w:val="auto"/>
              </w:rPr>
            </w:pP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840" w:type="dxa"/>
            <w:vAlign w:val="bottom"/>
            <w:shd w:val="clear" w:color="auto" w:fill="E5E9E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40" w:type="dxa"/>
            <w:vAlign w:val="bottom"/>
            <w:tcBorders>
              <w:right w:val="single" w:sz="8" w:color="E5E9ED"/>
            </w:tcBorders>
            <w:shd w:val="clear" w:color="auto" w:fill="E5E9ED"/>
          </w:tcPr>
          <w:p>
            <w:pPr>
              <w:spacing w:after="0"/>
              <w:rPr>
                <w:sz w:val="16"/>
                <w:szCs w:val="16"/>
                <w:color w:val="auto"/>
              </w:rPr>
            </w:pPr>
          </w:p>
        </w:tc>
        <w:tc>
          <w:tcPr>
            <w:tcW w:w="1320" w:type="dxa"/>
            <w:vAlign w:val="bottom"/>
            <w:tcBorders>
              <w:right w:val="single" w:sz="8" w:color="E5E9ED"/>
            </w:tcBorders>
            <w:vMerge w:val="continue"/>
            <w:shd w:val="clear" w:color="auto" w:fill="E5E9ED"/>
          </w:tcPr>
          <w:p>
            <w:pPr>
              <w:spacing w:after="0"/>
              <w:rPr>
                <w:sz w:val="16"/>
                <w:szCs w:val="16"/>
                <w:color w:val="auto"/>
              </w:rPr>
            </w:pPr>
          </w:p>
        </w:tc>
        <w:tc>
          <w:tcPr>
            <w:tcW w:w="2500" w:type="dxa"/>
            <w:vAlign w:val="bottom"/>
            <w:tcBorders>
              <w:right w:val="single" w:sz="8" w:color="E5E9ED"/>
            </w:tcBorders>
            <w:gridSpan w:val="3"/>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9"/>
              </w:rPr>
              <w:t>Estimated Possible Payouts Under</w:t>
            </w:r>
          </w:p>
        </w:tc>
        <w:tc>
          <w:tcPr>
            <w:tcW w:w="2440" w:type="dxa"/>
            <w:vAlign w:val="bottom"/>
            <w:tcBorders>
              <w:right w:val="single" w:sz="8" w:color="E5E9ED"/>
            </w:tcBorders>
            <w:gridSpan w:val="3"/>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Estimated Possible Payouts Under</w:t>
            </w: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Equity</w:t>
            </w:r>
          </w:p>
        </w:tc>
        <w:tc>
          <w:tcPr>
            <w:tcW w:w="8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02"/>
        </w:trPr>
        <w:tc>
          <w:tcPr>
            <w:tcW w:w="1340" w:type="dxa"/>
            <w:vAlign w:val="bottom"/>
            <w:tcBorders>
              <w:right w:val="single" w:sz="8" w:color="E5E9ED"/>
            </w:tcBorders>
            <w:shd w:val="clear" w:color="auto" w:fill="E5E9ED"/>
          </w:tcPr>
          <w:p>
            <w:pPr>
              <w:spacing w:after="0"/>
              <w:rPr>
                <w:sz w:val="8"/>
                <w:szCs w:val="8"/>
                <w:color w:val="auto"/>
              </w:rPr>
            </w:pPr>
          </w:p>
        </w:tc>
        <w:tc>
          <w:tcPr>
            <w:tcW w:w="1320" w:type="dxa"/>
            <w:vAlign w:val="bottom"/>
            <w:tcBorders>
              <w:right w:val="single" w:sz="8" w:color="E5E9ED"/>
            </w:tcBorders>
            <w:vMerge w:val="continue"/>
            <w:shd w:val="clear" w:color="auto" w:fill="E5E9ED"/>
          </w:tcPr>
          <w:p>
            <w:pPr>
              <w:spacing w:after="0"/>
              <w:rPr>
                <w:sz w:val="8"/>
                <w:szCs w:val="8"/>
                <w:color w:val="auto"/>
              </w:rPr>
            </w:pPr>
          </w:p>
        </w:tc>
        <w:tc>
          <w:tcPr>
            <w:tcW w:w="2500" w:type="dxa"/>
            <w:vAlign w:val="bottom"/>
            <w:tcBorders>
              <w:right w:val="single" w:sz="8" w:color="E5E9ED"/>
            </w:tcBorders>
            <w:gridSpan w:val="3"/>
            <w:vMerge w:val="continue"/>
            <w:shd w:val="clear" w:color="auto" w:fill="E5E9ED"/>
          </w:tcPr>
          <w:p>
            <w:pPr>
              <w:spacing w:after="0"/>
              <w:rPr>
                <w:sz w:val="8"/>
                <w:szCs w:val="8"/>
                <w:color w:val="auto"/>
              </w:rPr>
            </w:pPr>
          </w:p>
        </w:tc>
        <w:tc>
          <w:tcPr>
            <w:tcW w:w="2440" w:type="dxa"/>
            <w:vAlign w:val="bottom"/>
            <w:tcBorders>
              <w:right w:val="single" w:sz="8" w:color="E5E9ED"/>
            </w:tcBorders>
            <w:gridSpan w:val="3"/>
            <w:vMerge w:val="continue"/>
            <w:shd w:val="clear" w:color="auto" w:fill="E5E9ED"/>
          </w:tcPr>
          <w:p>
            <w:pPr>
              <w:spacing w:after="0"/>
              <w:rPr>
                <w:sz w:val="8"/>
                <w:szCs w:val="8"/>
                <w:color w:val="auto"/>
              </w:rPr>
            </w:pPr>
          </w:p>
        </w:tc>
        <w:tc>
          <w:tcPr>
            <w:tcW w:w="860" w:type="dxa"/>
            <w:vAlign w:val="bottom"/>
            <w:tcBorders>
              <w:right w:val="single" w:sz="8" w:color="E5E9ED"/>
            </w:tcBorders>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6"/>
              </w:rPr>
              <w:t>Awards</w:t>
            </w:r>
          </w:p>
        </w:tc>
        <w:tc>
          <w:tcPr>
            <w:tcW w:w="840" w:type="dxa"/>
            <w:vAlign w:val="bottom"/>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90"/>
        </w:trPr>
        <w:tc>
          <w:tcPr>
            <w:tcW w:w="1340" w:type="dxa"/>
            <w:vAlign w:val="bottom"/>
            <w:tcBorders>
              <w:right w:val="single" w:sz="8" w:color="E5E9ED"/>
            </w:tcBorders>
            <w:shd w:val="clear" w:color="auto" w:fill="E5E9ED"/>
          </w:tcPr>
          <w:p>
            <w:pPr>
              <w:spacing w:after="0"/>
              <w:rPr>
                <w:sz w:val="7"/>
                <w:szCs w:val="7"/>
                <w:color w:val="auto"/>
              </w:rPr>
            </w:pPr>
          </w:p>
        </w:tc>
        <w:tc>
          <w:tcPr>
            <w:tcW w:w="1320" w:type="dxa"/>
            <w:vAlign w:val="bottom"/>
            <w:tcBorders>
              <w:right w:val="single" w:sz="8" w:color="E5E9ED"/>
            </w:tcBorders>
            <w:vMerge w:val="continue"/>
            <w:shd w:val="clear" w:color="auto" w:fill="E5E9ED"/>
          </w:tcPr>
          <w:p>
            <w:pPr>
              <w:spacing w:after="0"/>
              <w:rPr>
                <w:sz w:val="7"/>
                <w:szCs w:val="7"/>
                <w:color w:val="auto"/>
              </w:rPr>
            </w:pPr>
          </w:p>
        </w:tc>
        <w:tc>
          <w:tcPr>
            <w:tcW w:w="2500" w:type="dxa"/>
            <w:vAlign w:val="bottom"/>
            <w:tcBorders>
              <w:right w:val="single" w:sz="8" w:color="E5E9ED"/>
            </w:tcBorders>
            <w:gridSpan w:val="3"/>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Non-Equity Incentive Plan Awards</w:t>
            </w:r>
            <w:r>
              <w:rPr>
                <w:rFonts w:ascii="Arial" w:cs="Arial" w:eastAsia="Arial" w:hAnsi="Arial"/>
                <w:sz w:val="17"/>
                <w:szCs w:val="17"/>
                <w:b w:val="1"/>
                <w:bCs w:val="1"/>
                <w:color w:val="auto"/>
                <w:w w:val="97"/>
                <w:vertAlign w:val="superscript"/>
              </w:rPr>
              <w:t>(6)</w:t>
            </w:r>
          </w:p>
        </w:tc>
        <w:tc>
          <w:tcPr>
            <w:tcW w:w="2440" w:type="dxa"/>
            <w:vAlign w:val="bottom"/>
            <w:tcBorders>
              <w:right w:val="single" w:sz="8" w:color="E5E9ED"/>
            </w:tcBorders>
            <w:gridSpan w:val="3"/>
            <w:vMerge w:val="restart"/>
            <w:shd w:val="clear" w:color="auto" w:fill="E5E9ED"/>
          </w:tcPr>
          <w:p>
            <w:pPr>
              <w:jc w:val="center"/>
              <w:ind w:right="20"/>
              <w:spacing w:after="0"/>
              <w:rPr>
                <w:sz w:val="20"/>
                <w:szCs w:val="20"/>
                <w:color w:val="auto"/>
              </w:rPr>
            </w:pPr>
            <w:r>
              <w:rPr>
                <w:rFonts w:ascii="Arial" w:cs="Arial" w:eastAsia="Arial" w:hAnsi="Arial"/>
                <w:sz w:val="12"/>
                <w:szCs w:val="12"/>
                <w:b w:val="1"/>
                <w:bCs w:val="1"/>
                <w:color w:val="auto"/>
                <w:w w:val="97"/>
              </w:rPr>
              <w:t>Equity Incentive Plan Awards</w:t>
            </w:r>
            <w:r>
              <w:rPr>
                <w:rFonts w:ascii="Arial" w:cs="Arial" w:eastAsia="Arial" w:hAnsi="Arial"/>
                <w:sz w:val="17"/>
                <w:szCs w:val="17"/>
                <w:b w:val="1"/>
                <w:bCs w:val="1"/>
                <w:color w:val="auto"/>
                <w:w w:val="97"/>
                <w:vertAlign w:val="superscript"/>
              </w:rPr>
              <w:t>(2)</w:t>
            </w:r>
          </w:p>
        </w:tc>
        <w:tc>
          <w:tcPr>
            <w:tcW w:w="860" w:type="dxa"/>
            <w:vAlign w:val="bottom"/>
            <w:tcBorders>
              <w:right w:val="single" w:sz="8" w:color="E5E9ED"/>
            </w:tcBorders>
            <w:vMerge w:val="continue"/>
            <w:shd w:val="clear" w:color="auto" w:fill="E5E9ED"/>
          </w:tcPr>
          <w:p>
            <w:pPr>
              <w:spacing w:after="0"/>
              <w:rPr>
                <w:sz w:val="7"/>
                <w:szCs w:val="7"/>
                <w:color w:val="auto"/>
              </w:rPr>
            </w:pPr>
          </w:p>
        </w:tc>
        <w:tc>
          <w:tcPr>
            <w:tcW w:w="840" w:type="dxa"/>
            <w:vAlign w:val="bottom"/>
            <w:vMerge w:val="continue"/>
            <w:shd w:val="clear" w:color="auto" w:fill="E5E9ED"/>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E5E9ED"/>
            </w:tcBorders>
            <w:shd w:val="clear" w:color="auto" w:fill="E5E9ED"/>
          </w:tcPr>
          <w:p>
            <w:pPr>
              <w:spacing w:after="0"/>
              <w:rPr>
                <w:sz w:val="16"/>
                <w:szCs w:val="16"/>
                <w:color w:val="auto"/>
              </w:rPr>
            </w:pPr>
          </w:p>
        </w:tc>
        <w:tc>
          <w:tcPr>
            <w:tcW w:w="1320" w:type="dxa"/>
            <w:vAlign w:val="bottom"/>
            <w:tcBorders>
              <w:right w:val="single" w:sz="8" w:color="E5E9ED"/>
            </w:tcBorders>
            <w:vMerge w:val="continue"/>
            <w:shd w:val="clear" w:color="auto" w:fill="E5E9ED"/>
          </w:tcPr>
          <w:p>
            <w:pPr>
              <w:spacing w:after="0"/>
              <w:rPr>
                <w:sz w:val="16"/>
                <w:szCs w:val="16"/>
                <w:color w:val="auto"/>
              </w:rPr>
            </w:pPr>
          </w:p>
        </w:tc>
        <w:tc>
          <w:tcPr>
            <w:tcW w:w="2500" w:type="dxa"/>
            <w:vAlign w:val="bottom"/>
            <w:tcBorders>
              <w:right w:val="single" w:sz="8" w:color="E5E9ED"/>
            </w:tcBorders>
            <w:gridSpan w:val="3"/>
            <w:vMerge w:val="continue"/>
            <w:shd w:val="clear" w:color="auto" w:fill="E5E9ED"/>
          </w:tcPr>
          <w:p>
            <w:pPr>
              <w:spacing w:after="0"/>
              <w:rPr>
                <w:sz w:val="16"/>
                <w:szCs w:val="16"/>
                <w:color w:val="auto"/>
              </w:rPr>
            </w:pPr>
          </w:p>
        </w:tc>
        <w:tc>
          <w:tcPr>
            <w:tcW w:w="2440" w:type="dxa"/>
            <w:vAlign w:val="bottom"/>
            <w:tcBorders>
              <w:right w:val="single" w:sz="8" w:color="E5E9ED"/>
            </w:tcBorders>
            <w:gridSpan w:val="3"/>
            <w:vMerge w:val="continue"/>
            <w:shd w:val="clear" w:color="auto" w:fill="E5E9ED"/>
          </w:tcPr>
          <w:p>
            <w:pPr>
              <w:spacing w:after="0"/>
              <w:rPr>
                <w:sz w:val="16"/>
                <w:szCs w:val="16"/>
                <w:color w:val="auto"/>
              </w:rPr>
            </w:pP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8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of Stock</w:t>
            </w:r>
          </w:p>
        </w:tc>
        <w:tc>
          <w:tcPr>
            <w:tcW w:w="0" w:type="dxa"/>
            <w:vAlign w:val="bottom"/>
          </w:tcPr>
          <w:p>
            <w:pPr>
              <w:spacing w:after="0"/>
              <w:rPr>
                <w:sz w:val="1"/>
                <w:szCs w:val="1"/>
                <w:color w:val="auto"/>
              </w:rPr>
            </w:pPr>
          </w:p>
        </w:tc>
      </w:tr>
      <w:tr>
        <w:trPr>
          <w:trHeight w:val="195"/>
        </w:trPr>
        <w:tc>
          <w:tcPr>
            <w:tcW w:w="1340" w:type="dxa"/>
            <w:vAlign w:val="bottom"/>
            <w:tcBorders>
              <w:right w:val="single" w:sz="8" w:color="E5E9ED"/>
            </w:tcBorders>
            <w:shd w:val="clear" w:color="auto" w:fill="E5E9ED"/>
          </w:tcPr>
          <w:p>
            <w:pPr>
              <w:spacing w:after="0"/>
              <w:rPr>
                <w:sz w:val="16"/>
                <w:szCs w:val="16"/>
                <w:color w:val="auto"/>
              </w:rPr>
            </w:pPr>
          </w:p>
        </w:tc>
        <w:tc>
          <w:tcPr>
            <w:tcW w:w="1320" w:type="dxa"/>
            <w:vAlign w:val="bottom"/>
            <w:tcBorders>
              <w:right w:val="single" w:sz="8" w:color="E5E9ED"/>
            </w:tcBorders>
            <w:shd w:val="clear" w:color="auto" w:fill="E5E9ED"/>
          </w:tcPr>
          <w:p>
            <w:pPr>
              <w:spacing w:after="0"/>
              <w:rPr>
                <w:sz w:val="16"/>
                <w:szCs w:val="16"/>
                <w:color w:val="auto"/>
              </w:rPr>
            </w:pPr>
          </w:p>
        </w:tc>
        <w:tc>
          <w:tcPr>
            <w:tcW w:w="840" w:type="dxa"/>
            <w:vAlign w:val="bottom"/>
            <w:tcBorders>
              <w:right w:val="single" w:sz="8" w:color="E5E9ED"/>
            </w:tcBorders>
            <w:shd w:val="clear" w:color="auto" w:fill="E5E9ED"/>
          </w:tcPr>
          <w:p>
            <w:pPr>
              <w:jc w:val="right"/>
              <w:ind w:right="80"/>
              <w:spacing w:after="0"/>
              <w:rPr>
                <w:sz w:val="20"/>
                <w:szCs w:val="20"/>
                <w:color w:val="auto"/>
              </w:rPr>
            </w:pPr>
            <w:r>
              <w:rPr>
                <w:rFonts w:ascii="Arial" w:cs="Arial" w:eastAsia="Arial" w:hAnsi="Arial"/>
                <w:sz w:val="12"/>
                <w:szCs w:val="12"/>
                <w:b w:val="1"/>
                <w:bCs w:val="1"/>
                <w:color w:val="auto"/>
              </w:rPr>
              <w:t>Threshold</w:t>
            </w:r>
          </w:p>
        </w:tc>
        <w:tc>
          <w:tcPr>
            <w:tcW w:w="8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Target</w:t>
            </w:r>
          </w:p>
        </w:tc>
        <w:tc>
          <w:tcPr>
            <w:tcW w:w="840" w:type="dxa"/>
            <w:vAlign w:val="bottom"/>
            <w:tcBorders>
              <w:right w:val="single" w:sz="8" w:color="E5E9ED"/>
            </w:tcBorders>
            <w:shd w:val="clear" w:color="auto" w:fill="E5E9ED"/>
          </w:tcPr>
          <w:p>
            <w:pPr>
              <w:jc w:val="right"/>
              <w:ind w:right="100"/>
              <w:spacing w:after="0"/>
              <w:rPr>
                <w:sz w:val="20"/>
                <w:szCs w:val="20"/>
                <w:color w:val="auto"/>
              </w:rPr>
            </w:pPr>
            <w:r>
              <w:rPr>
                <w:rFonts w:ascii="Arial" w:cs="Arial" w:eastAsia="Arial" w:hAnsi="Arial"/>
                <w:sz w:val="12"/>
                <w:szCs w:val="12"/>
                <w:b w:val="1"/>
                <w:bCs w:val="1"/>
                <w:color w:val="auto"/>
              </w:rPr>
              <w:t>Maximum</w:t>
            </w:r>
          </w:p>
        </w:tc>
        <w:tc>
          <w:tcPr>
            <w:tcW w:w="820" w:type="dxa"/>
            <w:vAlign w:val="bottom"/>
            <w:tcBorders>
              <w:right w:val="single" w:sz="8" w:color="E5E9ED"/>
            </w:tcBorders>
            <w:shd w:val="clear" w:color="auto" w:fill="E5E9ED"/>
          </w:tcPr>
          <w:p>
            <w:pPr>
              <w:jc w:val="right"/>
              <w:ind w:right="80"/>
              <w:spacing w:after="0"/>
              <w:rPr>
                <w:sz w:val="20"/>
                <w:szCs w:val="20"/>
                <w:color w:val="auto"/>
              </w:rPr>
            </w:pPr>
            <w:r>
              <w:rPr>
                <w:rFonts w:ascii="Arial" w:cs="Arial" w:eastAsia="Arial" w:hAnsi="Arial"/>
                <w:sz w:val="12"/>
                <w:szCs w:val="12"/>
                <w:b w:val="1"/>
                <w:bCs w:val="1"/>
                <w:color w:val="auto"/>
              </w:rPr>
              <w:t>Threshold</w:t>
            </w:r>
          </w:p>
        </w:tc>
        <w:tc>
          <w:tcPr>
            <w:tcW w:w="8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2"/>
              </w:rPr>
              <w:t>Target</w:t>
            </w:r>
          </w:p>
        </w:tc>
        <w:tc>
          <w:tcPr>
            <w:tcW w:w="800" w:type="dxa"/>
            <w:vAlign w:val="bottom"/>
            <w:tcBorders>
              <w:right w:val="single" w:sz="8" w:color="E5E9ED"/>
            </w:tcBorders>
            <w:shd w:val="clear" w:color="auto" w:fill="E5E9ED"/>
          </w:tcPr>
          <w:p>
            <w:pPr>
              <w:jc w:val="right"/>
              <w:ind w:right="80"/>
              <w:spacing w:after="0"/>
              <w:rPr>
                <w:sz w:val="20"/>
                <w:szCs w:val="20"/>
                <w:color w:val="auto"/>
              </w:rPr>
            </w:pPr>
            <w:r>
              <w:rPr>
                <w:rFonts w:ascii="Arial" w:cs="Arial" w:eastAsia="Arial" w:hAnsi="Arial"/>
                <w:sz w:val="12"/>
                <w:szCs w:val="12"/>
                <w:b w:val="1"/>
                <w:bCs w:val="1"/>
                <w:color w:val="auto"/>
              </w:rPr>
              <w:t>Maximum</w:t>
            </w:r>
          </w:p>
        </w:tc>
        <w:tc>
          <w:tcPr>
            <w:tcW w:w="860" w:type="dxa"/>
            <w:vAlign w:val="bottom"/>
            <w:tcBorders>
              <w:right w:val="single" w:sz="8" w:color="E5E9ED"/>
            </w:tcBorders>
            <w:shd w:val="clear" w:color="auto" w:fill="E5E9ED"/>
          </w:tcPr>
          <w:p>
            <w:pPr>
              <w:jc w:val="center"/>
              <w:ind w:right="20"/>
              <w:spacing w:after="0"/>
              <w:rPr>
                <w:sz w:val="20"/>
                <w:szCs w:val="20"/>
                <w:color w:val="auto"/>
              </w:rPr>
            </w:pPr>
            <w:r>
              <w:rPr>
                <w:rFonts w:ascii="Arial" w:cs="Arial" w:eastAsia="Arial" w:hAnsi="Arial"/>
                <w:sz w:val="12"/>
                <w:szCs w:val="12"/>
                <w:b w:val="1"/>
                <w:bCs w:val="1"/>
                <w:color w:val="auto"/>
                <w:w w:val="92"/>
              </w:rPr>
              <w:t>Shares</w:t>
            </w:r>
            <w:r>
              <w:rPr>
                <w:rFonts w:ascii="Arial" w:cs="Arial" w:eastAsia="Arial" w:hAnsi="Arial"/>
                <w:sz w:val="17"/>
                <w:szCs w:val="17"/>
                <w:b w:val="1"/>
                <w:bCs w:val="1"/>
                <w:color w:val="auto"/>
                <w:w w:val="92"/>
                <w:vertAlign w:val="superscript"/>
              </w:rPr>
              <w:t>(7)</w:t>
            </w:r>
          </w:p>
        </w:tc>
        <w:tc>
          <w:tcPr>
            <w:tcW w:w="8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w w:val="94"/>
              </w:rPr>
              <w:t>Awards</w:t>
            </w:r>
            <w:r>
              <w:rPr>
                <w:rFonts w:ascii="Arial" w:cs="Arial" w:eastAsia="Arial" w:hAnsi="Arial"/>
                <w:sz w:val="17"/>
                <w:szCs w:val="17"/>
                <w:b w:val="1"/>
                <w:bCs w:val="1"/>
                <w:color w:val="auto"/>
                <w:w w:val="94"/>
                <w:vertAlign w:val="superscript"/>
              </w:rPr>
              <w:t>(8)</w:t>
            </w:r>
          </w:p>
        </w:tc>
        <w:tc>
          <w:tcPr>
            <w:tcW w:w="0" w:type="dxa"/>
            <w:vAlign w:val="bottom"/>
          </w:tcPr>
          <w:p>
            <w:pPr>
              <w:spacing w:after="0"/>
              <w:rPr>
                <w:sz w:val="1"/>
                <w:szCs w:val="1"/>
                <w:color w:val="auto"/>
              </w:rPr>
            </w:pPr>
          </w:p>
        </w:tc>
      </w:tr>
      <w:tr>
        <w:trPr>
          <w:trHeight w:val="215"/>
        </w:trPr>
        <w:tc>
          <w:tcPr>
            <w:tcW w:w="134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2"/>
                <w:szCs w:val="12"/>
                <w:b w:val="1"/>
                <w:bCs w:val="1"/>
                <w:color w:val="auto"/>
              </w:rPr>
              <w:t>Name</w:t>
            </w:r>
          </w:p>
        </w:tc>
        <w:tc>
          <w:tcPr>
            <w:tcW w:w="1320" w:type="dxa"/>
            <w:vAlign w:val="bottom"/>
            <w:tcBorders>
              <w:bottom w:val="single" w:sz="8" w:color="E5E9ED"/>
              <w:right w:val="single" w:sz="8" w:color="E5E9ED"/>
            </w:tcBorders>
            <w:shd w:val="clear" w:color="auto" w:fill="E5E9ED"/>
          </w:tcPr>
          <w:p>
            <w:pPr>
              <w:ind w:left="340"/>
              <w:spacing w:after="0"/>
              <w:rPr>
                <w:sz w:val="20"/>
                <w:szCs w:val="20"/>
                <w:color w:val="auto"/>
              </w:rPr>
            </w:pPr>
            <w:r>
              <w:rPr>
                <w:rFonts w:ascii="Arial" w:cs="Arial" w:eastAsia="Arial" w:hAnsi="Arial"/>
                <w:sz w:val="12"/>
                <w:szCs w:val="12"/>
                <w:b w:val="1"/>
                <w:bCs w:val="1"/>
                <w:color w:val="auto"/>
              </w:rPr>
              <w:t>Grant Date</w:t>
            </w:r>
          </w:p>
        </w:tc>
        <w:tc>
          <w:tcPr>
            <w:tcW w:w="840" w:type="dxa"/>
            <w:vAlign w:val="bottom"/>
            <w:tcBorders>
              <w:bottom w:val="single" w:sz="8" w:color="E5E9ED"/>
              <w:right w:val="single" w:sz="8" w:color="E5E9ED"/>
            </w:tcBorders>
            <w:shd w:val="clear" w:color="auto" w:fill="E5E9ED"/>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840" w:type="dxa"/>
            <w:vAlign w:val="bottom"/>
            <w:tcBorders>
              <w:bottom w:val="single" w:sz="8" w:color="E5E9ED"/>
              <w:right w:val="single" w:sz="8" w:color="E5E9ED"/>
            </w:tcBorders>
            <w:shd w:val="clear" w:color="auto" w:fill="E5E9ED"/>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E5E9ED"/>
              <w:right w:val="single" w:sz="8" w:color="E5E9ED"/>
            </w:tcBorders>
            <w:shd w:val="clear" w:color="auto" w:fill="E5E9ED"/>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800" w:type="dxa"/>
            <w:vAlign w:val="bottom"/>
            <w:tcBorders>
              <w:bottom w:val="single" w:sz="8" w:color="E5E9ED"/>
              <w:right w:val="single" w:sz="8" w:color="E5E9ED"/>
            </w:tcBorders>
            <w:shd w:val="clear" w:color="auto" w:fill="E5E9ED"/>
          </w:tcPr>
          <w:p>
            <w:pPr>
              <w:jc w:val="right"/>
              <w:ind w:right="28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84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313"/>
        </w:trPr>
        <w:tc>
          <w:tcPr>
            <w:tcW w:w="134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2"/>
                <w:szCs w:val="12"/>
                <w:color w:val="auto"/>
              </w:rPr>
              <w:t>Harold S. Edwards</w:t>
            </w:r>
          </w:p>
        </w:tc>
        <w:tc>
          <w:tcPr>
            <w:tcW w:w="1320" w:type="dxa"/>
            <w:vAlign w:val="bottom"/>
            <w:tcBorders>
              <w:top w:val="single" w:sz="8" w:color="EBF7FC"/>
              <w:bottom w:val="single" w:sz="8" w:color="EBF7FC"/>
              <w:right w:val="single" w:sz="8" w:color="EBF7FC"/>
            </w:tcBorders>
          </w:tcPr>
          <w:p>
            <w:pPr>
              <w:ind w:left="60"/>
              <w:spacing w:after="0"/>
              <w:rPr>
                <w:sz w:val="20"/>
                <w:szCs w:val="20"/>
                <w:color w:val="auto"/>
              </w:rPr>
            </w:pPr>
            <w:r>
              <w:rPr>
                <w:rFonts w:ascii="Arial" w:cs="Arial" w:eastAsia="Arial" w:hAnsi="Arial"/>
                <w:sz w:val="12"/>
                <w:szCs w:val="12"/>
                <w:color w:val="auto"/>
              </w:rPr>
              <w:t>November 1, 2023</w:t>
            </w:r>
            <w:r>
              <w:rPr>
                <w:rFonts w:ascii="Arial" w:cs="Arial" w:eastAsia="Arial" w:hAnsi="Arial"/>
                <w:sz w:val="20"/>
                <w:szCs w:val="20"/>
                <w:color w:val="auto"/>
                <w:vertAlign w:val="superscript"/>
              </w:rPr>
              <w:t>(1)</w:t>
            </w:r>
          </w:p>
        </w:tc>
        <w:tc>
          <w:tcPr>
            <w:tcW w:w="840" w:type="dxa"/>
            <w:vAlign w:val="bottom"/>
            <w:tcBorders>
              <w:top w:val="single" w:sz="8" w:color="EBF7FC"/>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EBF7FC"/>
              <w:right w:val="single" w:sz="8" w:color="EBF7FC"/>
            </w:tcBorders>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35,385</w:t>
            </w:r>
          </w:p>
        </w:tc>
        <w:tc>
          <w:tcPr>
            <w:tcW w:w="840" w:type="dxa"/>
            <w:vAlign w:val="bottom"/>
            <w:tcBorders>
              <w:top w:val="single" w:sz="8" w:color="EBF7FC"/>
              <w:bottom w:val="single" w:sz="8" w:color="EBF7FC"/>
            </w:tcBorders>
          </w:tcPr>
          <w:p>
            <w:pPr>
              <w:jc w:val="right"/>
              <w:ind w:right="60"/>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313"/>
        </w:trPr>
        <w:tc>
          <w:tcPr>
            <w:tcW w:w="1340" w:type="dxa"/>
            <w:vAlign w:val="bottom"/>
            <w:tcBorders>
              <w:right w:val="single" w:sz="8" w:color="EBF7FC"/>
            </w:tcBorders>
          </w:tcPr>
          <w:p>
            <w:pPr>
              <w:spacing w:after="0"/>
              <w:rPr>
                <w:sz w:val="24"/>
                <w:szCs w:val="24"/>
                <w:color w:val="auto"/>
              </w:rPr>
            </w:pPr>
          </w:p>
        </w:tc>
        <w:tc>
          <w:tcPr>
            <w:tcW w:w="1320" w:type="dxa"/>
            <w:vAlign w:val="bottom"/>
            <w:tcBorders>
              <w:bottom w:val="single" w:sz="8" w:color="EBF7FC"/>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November 1, 2023</w:t>
            </w:r>
            <w:r>
              <w:rPr>
                <w:rFonts w:ascii="Arial" w:cs="Arial" w:eastAsia="Arial" w:hAnsi="Arial"/>
                <w:sz w:val="20"/>
                <w:szCs w:val="20"/>
                <w:color w:val="auto"/>
                <w:vertAlign w:val="superscript"/>
              </w:rPr>
              <w:t>(2)</w:t>
            </w:r>
          </w:p>
        </w:tc>
        <w:tc>
          <w:tcPr>
            <w:tcW w:w="84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17,693</w:t>
            </w:r>
          </w:p>
        </w:tc>
        <w:tc>
          <w:tcPr>
            <w:tcW w:w="82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35,385</w:t>
            </w:r>
          </w:p>
        </w:tc>
        <w:tc>
          <w:tcPr>
            <w:tcW w:w="80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70,771</w:t>
            </w:r>
          </w:p>
        </w:tc>
        <w:tc>
          <w:tcPr>
            <w:tcW w:w="86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313"/>
        </w:trPr>
        <w:tc>
          <w:tcPr>
            <w:tcW w:w="1340" w:type="dxa"/>
            <w:vAlign w:val="bottom"/>
            <w:tcBorders>
              <w:right w:val="single" w:sz="8" w:color="EBF7FC"/>
            </w:tcBorders>
          </w:tcPr>
          <w:p>
            <w:pPr>
              <w:spacing w:after="0"/>
              <w:rPr>
                <w:sz w:val="24"/>
                <w:szCs w:val="24"/>
                <w:color w:val="auto"/>
              </w:rPr>
            </w:pPr>
          </w:p>
        </w:tc>
        <w:tc>
          <w:tcPr>
            <w:tcW w:w="1320" w:type="dxa"/>
            <w:vAlign w:val="bottom"/>
            <w:tcBorders>
              <w:bottom w:val="single" w:sz="8" w:color="EBF7FC"/>
              <w:right w:val="single" w:sz="8" w:color="EBF7FC"/>
            </w:tcBorders>
          </w:tcPr>
          <w:p>
            <w:pPr>
              <w:ind w:left="60"/>
              <w:spacing w:after="0"/>
              <w:rPr>
                <w:sz w:val="20"/>
                <w:szCs w:val="20"/>
                <w:color w:val="auto"/>
              </w:rPr>
            </w:pPr>
            <w:r>
              <w:rPr>
                <w:rFonts w:ascii="Arial" w:cs="Arial" w:eastAsia="Arial" w:hAnsi="Arial"/>
                <w:sz w:val="12"/>
                <w:szCs w:val="12"/>
                <w:color w:val="auto"/>
              </w:rPr>
              <w:t>November 1, 2023</w:t>
            </w:r>
            <w:r>
              <w:rPr>
                <w:rFonts w:ascii="Arial" w:cs="Arial" w:eastAsia="Arial" w:hAnsi="Arial"/>
                <w:sz w:val="20"/>
                <w:szCs w:val="20"/>
                <w:color w:val="auto"/>
                <w:vertAlign w:val="superscript"/>
              </w:rPr>
              <w:t>(3)</w:t>
            </w:r>
          </w:p>
        </w:tc>
        <w:tc>
          <w:tcPr>
            <w:tcW w:w="84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269,625</w:t>
            </w:r>
          </w:p>
        </w:tc>
        <w:tc>
          <w:tcPr>
            <w:tcW w:w="820" w:type="dxa"/>
            <w:vAlign w:val="bottom"/>
            <w:tcBorders>
              <w:bottom w:val="single" w:sz="8" w:color="EBF7FC"/>
              <w:right w:val="single" w:sz="8" w:color="EBF7FC"/>
            </w:tcBorders>
          </w:tcPr>
          <w:p>
            <w:pPr>
              <w:jc w:val="right"/>
              <w:ind w:right="60"/>
              <w:spacing w:after="0"/>
              <w:rPr>
                <w:sz w:val="20"/>
                <w:szCs w:val="20"/>
                <w:color w:val="auto"/>
              </w:rPr>
            </w:pPr>
            <w:r>
              <w:rPr>
                <w:rFonts w:ascii="Arial" w:cs="Arial" w:eastAsia="Arial" w:hAnsi="Arial"/>
                <w:sz w:val="12"/>
                <w:szCs w:val="12"/>
                <w:color w:val="auto"/>
              </w:rPr>
              <w:t>539,250</w:t>
            </w:r>
          </w:p>
        </w:tc>
        <w:tc>
          <w:tcPr>
            <w:tcW w:w="84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1,078,500</w:t>
            </w:r>
          </w:p>
        </w:tc>
        <w:tc>
          <w:tcPr>
            <w:tcW w:w="82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13"/>
        </w:trPr>
        <w:tc>
          <w:tcPr>
            <w:tcW w:w="1340" w:type="dxa"/>
            <w:vAlign w:val="bottom"/>
            <w:tcBorders>
              <w:right w:val="single" w:sz="8" w:color="EBF7FC"/>
            </w:tcBorders>
          </w:tcPr>
          <w:p>
            <w:pPr>
              <w:spacing w:after="0"/>
              <w:rPr>
                <w:sz w:val="24"/>
                <w:szCs w:val="24"/>
                <w:color w:val="auto"/>
              </w:rPr>
            </w:pPr>
          </w:p>
        </w:tc>
        <w:tc>
          <w:tcPr>
            <w:tcW w:w="1320" w:type="dxa"/>
            <w:vAlign w:val="bottom"/>
            <w:tcBorders>
              <w:bottom w:val="single" w:sz="8" w:color="EBF7FC"/>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June 6, 2024</w:t>
            </w:r>
            <w:r>
              <w:rPr>
                <w:rFonts w:ascii="Arial" w:cs="Arial" w:eastAsia="Arial" w:hAnsi="Arial"/>
                <w:sz w:val="20"/>
                <w:szCs w:val="20"/>
                <w:color w:val="auto"/>
                <w:vertAlign w:val="superscript"/>
              </w:rPr>
              <w:t>(4)</w:t>
            </w:r>
          </w:p>
        </w:tc>
        <w:tc>
          <w:tcPr>
            <w:tcW w:w="84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20,463</w:t>
            </w:r>
          </w:p>
        </w:tc>
        <w:tc>
          <w:tcPr>
            <w:tcW w:w="840" w:type="dxa"/>
            <w:vAlign w:val="bottom"/>
            <w:tcBorders>
              <w:bottom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416,623</w:t>
            </w:r>
          </w:p>
        </w:tc>
        <w:tc>
          <w:tcPr>
            <w:tcW w:w="0" w:type="dxa"/>
            <w:vAlign w:val="bottom"/>
          </w:tcPr>
          <w:p>
            <w:pPr>
              <w:spacing w:after="0"/>
              <w:rPr>
                <w:sz w:val="1"/>
                <w:szCs w:val="1"/>
                <w:color w:val="auto"/>
              </w:rPr>
            </w:pPr>
          </w:p>
        </w:tc>
      </w:tr>
      <w:tr>
        <w:trPr>
          <w:trHeight w:val="313"/>
        </w:trPr>
        <w:tc>
          <w:tcPr>
            <w:tcW w:w="1340" w:type="dxa"/>
            <w:vAlign w:val="bottom"/>
            <w:tcBorders>
              <w:right w:val="single" w:sz="8" w:color="EBF7FC"/>
            </w:tcBorders>
          </w:tcPr>
          <w:p>
            <w:pPr>
              <w:spacing w:after="0"/>
              <w:rPr>
                <w:sz w:val="24"/>
                <w:szCs w:val="24"/>
                <w:color w:val="auto"/>
              </w:rPr>
            </w:pPr>
          </w:p>
        </w:tc>
        <w:tc>
          <w:tcPr>
            <w:tcW w:w="1320" w:type="dxa"/>
            <w:vAlign w:val="bottom"/>
            <w:tcBorders>
              <w:bottom w:val="single" w:sz="8" w:color="EBF7FC"/>
              <w:right w:val="single" w:sz="8" w:color="EBF7FC"/>
            </w:tcBorders>
          </w:tcPr>
          <w:p>
            <w:pPr>
              <w:ind w:left="60"/>
              <w:spacing w:after="0"/>
              <w:rPr>
                <w:sz w:val="20"/>
                <w:szCs w:val="20"/>
                <w:color w:val="auto"/>
              </w:rPr>
            </w:pPr>
            <w:r>
              <w:rPr>
                <w:rFonts w:ascii="Arial" w:cs="Arial" w:eastAsia="Arial" w:hAnsi="Arial"/>
                <w:sz w:val="12"/>
                <w:szCs w:val="12"/>
                <w:color w:val="auto"/>
              </w:rPr>
              <w:t>June 6, 2024</w:t>
            </w:r>
            <w:r>
              <w:rPr>
                <w:rFonts w:ascii="Arial" w:cs="Arial" w:eastAsia="Arial" w:hAnsi="Arial"/>
                <w:sz w:val="20"/>
                <w:szCs w:val="20"/>
                <w:color w:val="auto"/>
                <w:vertAlign w:val="superscript"/>
              </w:rPr>
              <w:t>(5)</w:t>
            </w:r>
          </w:p>
        </w:tc>
        <w:tc>
          <w:tcPr>
            <w:tcW w:w="84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60"/>
              <w:spacing w:after="0"/>
              <w:rPr>
                <w:sz w:val="20"/>
                <w:szCs w:val="20"/>
                <w:color w:val="auto"/>
              </w:rPr>
            </w:pPr>
            <w:r>
              <w:rPr>
                <w:rFonts w:ascii="Arial" w:cs="Arial" w:eastAsia="Arial" w:hAnsi="Arial"/>
                <w:sz w:val="12"/>
                <w:szCs w:val="12"/>
                <w:color w:val="auto"/>
              </w:rPr>
              <w:t>416,623</w:t>
            </w:r>
          </w:p>
        </w:tc>
        <w:tc>
          <w:tcPr>
            <w:tcW w:w="84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340" w:type="dxa"/>
            <w:vAlign w:val="bottom"/>
            <w:tcBorders>
              <w:right w:val="single" w:sz="8" w:color="EBF7FC"/>
            </w:tcBorders>
          </w:tcPr>
          <w:p>
            <w:pPr>
              <w:spacing w:after="0"/>
              <w:rPr>
                <w:sz w:val="19"/>
                <w:szCs w:val="19"/>
                <w:color w:val="auto"/>
              </w:rPr>
            </w:pPr>
          </w:p>
        </w:tc>
        <w:tc>
          <w:tcPr>
            <w:tcW w:w="1320" w:type="dxa"/>
            <w:vAlign w:val="bottom"/>
            <w:tcBorders>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December 20,</w:t>
            </w:r>
          </w:p>
        </w:tc>
        <w:tc>
          <w:tcPr>
            <w:tcW w:w="840" w:type="dxa"/>
            <w:vAlign w:val="bottom"/>
            <w:tcBorders>
              <w:right w:val="single" w:sz="8" w:color="EBF7FC"/>
            </w:tcBorders>
            <w:shd w:val="clear" w:color="auto" w:fill="F3F9FD"/>
          </w:tcPr>
          <w:p>
            <w:pPr>
              <w:spacing w:after="0"/>
              <w:rPr>
                <w:sz w:val="19"/>
                <w:szCs w:val="19"/>
                <w:color w:val="auto"/>
              </w:rPr>
            </w:pPr>
          </w:p>
        </w:tc>
        <w:tc>
          <w:tcPr>
            <w:tcW w:w="820" w:type="dxa"/>
            <w:vAlign w:val="bottom"/>
            <w:tcBorders>
              <w:right w:val="single" w:sz="8" w:color="EBF7FC"/>
            </w:tcBorders>
            <w:shd w:val="clear" w:color="auto" w:fill="F3F9FD"/>
          </w:tcPr>
          <w:p>
            <w:pPr>
              <w:spacing w:after="0"/>
              <w:rPr>
                <w:sz w:val="19"/>
                <w:szCs w:val="19"/>
                <w:color w:val="auto"/>
              </w:rPr>
            </w:pPr>
          </w:p>
        </w:tc>
        <w:tc>
          <w:tcPr>
            <w:tcW w:w="840" w:type="dxa"/>
            <w:vAlign w:val="bottom"/>
            <w:tcBorders>
              <w:right w:val="single" w:sz="8" w:color="EBF7FC"/>
            </w:tcBorders>
            <w:shd w:val="clear" w:color="auto" w:fill="F3F9FD"/>
          </w:tcPr>
          <w:p>
            <w:pPr>
              <w:spacing w:after="0"/>
              <w:rPr>
                <w:sz w:val="19"/>
                <w:szCs w:val="19"/>
                <w:color w:val="auto"/>
              </w:rPr>
            </w:pPr>
          </w:p>
        </w:tc>
        <w:tc>
          <w:tcPr>
            <w:tcW w:w="820" w:type="dxa"/>
            <w:vAlign w:val="bottom"/>
            <w:tcBorders>
              <w:right w:val="single" w:sz="8" w:color="EBF7FC"/>
            </w:tcBorders>
            <w:shd w:val="clear" w:color="auto" w:fill="F3F9FD"/>
          </w:tcPr>
          <w:p>
            <w:pPr>
              <w:spacing w:after="0"/>
              <w:rPr>
                <w:sz w:val="19"/>
                <w:szCs w:val="19"/>
                <w:color w:val="auto"/>
              </w:rPr>
            </w:pPr>
          </w:p>
        </w:tc>
        <w:tc>
          <w:tcPr>
            <w:tcW w:w="820" w:type="dxa"/>
            <w:vAlign w:val="bottom"/>
            <w:tcBorders>
              <w:right w:val="single" w:sz="8" w:color="EBF7FC"/>
            </w:tcBorders>
            <w:shd w:val="clear" w:color="auto" w:fill="F3F9FD"/>
          </w:tcPr>
          <w:p>
            <w:pPr>
              <w:spacing w:after="0"/>
              <w:rPr>
                <w:sz w:val="19"/>
                <w:szCs w:val="19"/>
                <w:color w:val="auto"/>
              </w:rPr>
            </w:pPr>
          </w:p>
        </w:tc>
        <w:tc>
          <w:tcPr>
            <w:tcW w:w="800" w:type="dxa"/>
            <w:vAlign w:val="bottom"/>
            <w:tcBorders>
              <w:right w:val="single" w:sz="8" w:color="EBF7FC"/>
            </w:tcBorders>
            <w:shd w:val="clear" w:color="auto" w:fill="F3F9FD"/>
          </w:tcPr>
          <w:p>
            <w:pPr>
              <w:spacing w:after="0"/>
              <w:rPr>
                <w:sz w:val="19"/>
                <w:szCs w:val="19"/>
                <w:color w:val="auto"/>
              </w:rPr>
            </w:pPr>
          </w:p>
        </w:tc>
        <w:tc>
          <w:tcPr>
            <w:tcW w:w="860" w:type="dxa"/>
            <w:vAlign w:val="bottom"/>
            <w:tcBorders>
              <w:right w:val="single" w:sz="8" w:color="EBF7FC"/>
            </w:tcBorders>
            <w:shd w:val="clear" w:color="auto" w:fill="F3F9FD"/>
          </w:tcPr>
          <w:p>
            <w:pPr>
              <w:spacing w:after="0"/>
              <w:rPr>
                <w:sz w:val="19"/>
                <w:szCs w:val="19"/>
                <w:color w:val="auto"/>
              </w:rPr>
            </w:pPr>
          </w:p>
        </w:tc>
        <w:tc>
          <w:tcPr>
            <w:tcW w:w="840" w:type="dxa"/>
            <w:vAlign w:val="bottom"/>
            <w:shd w:val="clear" w:color="auto" w:fill="F3F9FD"/>
          </w:tcPr>
          <w:p>
            <w:pPr>
              <w:jc w:val="right"/>
              <w:ind w:right="60"/>
              <w:spacing w:after="0"/>
              <w:rPr>
                <w:sz w:val="20"/>
                <w:szCs w:val="20"/>
                <w:color w:val="auto"/>
              </w:rPr>
            </w:pPr>
            <w:r>
              <w:rPr>
                <w:rFonts w:ascii="Arial" w:cs="Arial" w:eastAsia="Arial" w:hAnsi="Arial"/>
                <w:sz w:val="12"/>
                <w:szCs w:val="12"/>
                <w:color w:val="auto"/>
              </w:rPr>
              <w:t>39,081</w:t>
            </w:r>
          </w:p>
        </w:tc>
        <w:tc>
          <w:tcPr>
            <w:tcW w:w="0" w:type="dxa"/>
            <w:vAlign w:val="bottom"/>
          </w:tcPr>
          <w:p>
            <w:pPr>
              <w:spacing w:after="0"/>
              <w:rPr>
                <w:sz w:val="1"/>
                <w:szCs w:val="1"/>
                <w:color w:val="auto"/>
              </w:rPr>
            </w:pPr>
          </w:p>
        </w:tc>
      </w:tr>
      <w:tr>
        <w:trPr>
          <w:trHeight w:val="295"/>
        </w:trPr>
        <w:tc>
          <w:tcPr>
            <w:tcW w:w="1340" w:type="dxa"/>
            <w:vAlign w:val="bottom"/>
            <w:tcBorders>
              <w:right w:val="single" w:sz="8" w:color="EBF7FC"/>
            </w:tcBorders>
          </w:tcPr>
          <w:p>
            <w:pPr>
              <w:spacing w:after="0"/>
              <w:rPr>
                <w:sz w:val="24"/>
                <w:szCs w:val="24"/>
                <w:color w:val="auto"/>
              </w:rPr>
            </w:pPr>
          </w:p>
        </w:tc>
        <w:tc>
          <w:tcPr>
            <w:tcW w:w="1320" w:type="dxa"/>
            <w:vAlign w:val="bottom"/>
            <w:tcBorders>
              <w:bottom w:val="single" w:sz="8" w:color="EBF7FC"/>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2024</w:t>
            </w:r>
            <w:r>
              <w:rPr>
                <w:rFonts w:ascii="Arial" w:cs="Arial" w:eastAsia="Arial" w:hAnsi="Arial"/>
                <w:sz w:val="20"/>
                <w:szCs w:val="20"/>
                <w:color w:val="auto"/>
                <w:vertAlign w:val="superscript"/>
              </w:rPr>
              <w:t>(4)</w:t>
            </w:r>
          </w:p>
        </w:tc>
        <w:tc>
          <w:tcPr>
            <w:tcW w:w="84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EBF7FC"/>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1,486</w:t>
            </w:r>
          </w:p>
        </w:tc>
        <w:tc>
          <w:tcPr>
            <w:tcW w:w="840" w:type="dxa"/>
            <w:vAlign w:val="bottom"/>
            <w:tcBorders>
              <w:bottom w:val="single" w:sz="8" w:color="EBF7FC"/>
            </w:tcBorders>
            <w:shd w:val="clear" w:color="auto" w:fill="F3F9FD"/>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40" w:type="dxa"/>
            <w:vAlign w:val="bottom"/>
            <w:tcBorders>
              <w:right w:val="single" w:sz="8" w:color="EBF7FC"/>
            </w:tcBorders>
          </w:tcPr>
          <w:p>
            <w:pPr>
              <w:spacing w:after="0"/>
              <w:rPr>
                <w:sz w:val="19"/>
                <w:szCs w:val="19"/>
                <w:color w:val="auto"/>
              </w:rPr>
            </w:pPr>
          </w:p>
        </w:tc>
        <w:tc>
          <w:tcPr>
            <w:tcW w:w="1320" w:type="dxa"/>
            <w:vAlign w:val="bottom"/>
            <w:tcBorders>
              <w:right w:val="single" w:sz="8" w:color="EBF7FC"/>
            </w:tcBorders>
          </w:tcPr>
          <w:p>
            <w:pPr>
              <w:ind w:left="60"/>
              <w:spacing w:after="0"/>
              <w:rPr>
                <w:sz w:val="20"/>
                <w:szCs w:val="20"/>
                <w:color w:val="auto"/>
              </w:rPr>
            </w:pPr>
            <w:r>
              <w:rPr>
                <w:rFonts w:ascii="Arial" w:cs="Arial" w:eastAsia="Arial" w:hAnsi="Arial"/>
                <w:sz w:val="12"/>
                <w:szCs w:val="12"/>
                <w:color w:val="auto"/>
              </w:rPr>
              <w:t>December 20,</w:t>
            </w:r>
          </w:p>
        </w:tc>
        <w:tc>
          <w:tcPr>
            <w:tcW w:w="840" w:type="dxa"/>
            <w:vAlign w:val="bottom"/>
            <w:tcBorders>
              <w:right w:val="single" w:sz="8" w:color="EBF7FC"/>
            </w:tcBorders>
          </w:tcPr>
          <w:p>
            <w:pPr>
              <w:spacing w:after="0"/>
              <w:rPr>
                <w:sz w:val="19"/>
                <w:szCs w:val="19"/>
                <w:color w:val="auto"/>
              </w:rPr>
            </w:pPr>
          </w:p>
        </w:tc>
        <w:tc>
          <w:tcPr>
            <w:tcW w:w="820" w:type="dxa"/>
            <w:vAlign w:val="bottom"/>
            <w:tcBorders>
              <w:right w:val="single" w:sz="8" w:color="EBF7FC"/>
            </w:tcBorders>
          </w:tcPr>
          <w:p>
            <w:pPr>
              <w:spacing w:after="0"/>
              <w:rPr>
                <w:sz w:val="19"/>
                <w:szCs w:val="19"/>
                <w:color w:val="auto"/>
              </w:rPr>
            </w:pPr>
          </w:p>
        </w:tc>
        <w:tc>
          <w:tcPr>
            <w:tcW w:w="840" w:type="dxa"/>
            <w:vAlign w:val="bottom"/>
            <w:tcBorders>
              <w:right w:val="single" w:sz="8" w:color="EBF7FC"/>
            </w:tcBorders>
          </w:tcPr>
          <w:p>
            <w:pPr>
              <w:spacing w:after="0"/>
              <w:rPr>
                <w:sz w:val="19"/>
                <w:szCs w:val="19"/>
                <w:color w:val="auto"/>
              </w:rPr>
            </w:pPr>
          </w:p>
        </w:tc>
        <w:tc>
          <w:tcPr>
            <w:tcW w:w="820" w:type="dxa"/>
            <w:vAlign w:val="bottom"/>
            <w:tcBorders>
              <w:right w:val="single" w:sz="8" w:color="EBF7FC"/>
            </w:tcBorders>
          </w:tcPr>
          <w:p>
            <w:pPr>
              <w:spacing w:after="0"/>
              <w:rPr>
                <w:sz w:val="19"/>
                <w:szCs w:val="19"/>
                <w:color w:val="auto"/>
              </w:rPr>
            </w:pPr>
          </w:p>
        </w:tc>
        <w:tc>
          <w:tcPr>
            <w:tcW w:w="820" w:type="dxa"/>
            <w:vAlign w:val="bottom"/>
            <w:tcBorders>
              <w:right w:val="single" w:sz="8" w:color="EBF7FC"/>
            </w:tcBorders>
          </w:tcPr>
          <w:p>
            <w:pPr>
              <w:spacing w:after="0"/>
              <w:rPr>
                <w:sz w:val="19"/>
                <w:szCs w:val="19"/>
                <w:color w:val="auto"/>
              </w:rPr>
            </w:pPr>
          </w:p>
        </w:tc>
        <w:tc>
          <w:tcPr>
            <w:tcW w:w="800" w:type="dxa"/>
            <w:vAlign w:val="bottom"/>
            <w:tcBorders>
              <w:right w:val="single" w:sz="8" w:color="EBF7FC"/>
            </w:tcBorders>
          </w:tcPr>
          <w:p>
            <w:pPr>
              <w:spacing w:after="0"/>
              <w:rPr>
                <w:sz w:val="19"/>
                <w:szCs w:val="19"/>
                <w:color w:val="auto"/>
              </w:rPr>
            </w:pPr>
          </w:p>
        </w:tc>
        <w:tc>
          <w:tcPr>
            <w:tcW w:w="860" w:type="dxa"/>
            <w:vAlign w:val="bottom"/>
            <w:tcBorders>
              <w:right w:val="single" w:sz="8" w:color="EBF7FC"/>
            </w:tcBorders>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5"/>
        </w:trPr>
        <w:tc>
          <w:tcPr>
            <w:tcW w:w="1340" w:type="dxa"/>
            <w:vAlign w:val="bottom"/>
            <w:tcBorders>
              <w:bottom w:val="single" w:sz="8" w:color="EBF7FC"/>
              <w:right w:val="single" w:sz="8" w:color="EBF7FC"/>
            </w:tcBorders>
          </w:tcPr>
          <w:p>
            <w:pPr>
              <w:spacing w:after="0"/>
              <w:rPr>
                <w:sz w:val="24"/>
                <w:szCs w:val="24"/>
                <w:color w:val="auto"/>
              </w:rPr>
            </w:pPr>
          </w:p>
        </w:tc>
        <w:tc>
          <w:tcPr>
            <w:tcW w:w="1320" w:type="dxa"/>
            <w:vAlign w:val="bottom"/>
            <w:tcBorders>
              <w:bottom w:val="single" w:sz="8" w:color="EBF7FC"/>
              <w:right w:val="single" w:sz="8" w:color="EBF7FC"/>
            </w:tcBorders>
          </w:tcPr>
          <w:p>
            <w:pPr>
              <w:ind w:left="60"/>
              <w:spacing w:after="0"/>
              <w:rPr>
                <w:sz w:val="20"/>
                <w:szCs w:val="20"/>
                <w:color w:val="auto"/>
              </w:rPr>
            </w:pPr>
            <w:r>
              <w:rPr>
                <w:rFonts w:ascii="Arial" w:cs="Arial" w:eastAsia="Arial" w:hAnsi="Arial"/>
                <w:sz w:val="12"/>
                <w:szCs w:val="12"/>
                <w:color w:val="auto"/>
              </w:rPr>
              <w:t>2024</w:t>
            </w:r>
            <w:r>
              <w:rPr>
                <w:rFonts w:ascii="Arial" w:cs="Arial" w:eastAsia="Arial" w:hAnsi="Arial"/>
                <w:sz w:val="20"/>
                <w:szCs w:val="20"/>
                <w:color w:val="auto"/>
                <w:vertAlign w:val="superscript"/>
              </w:rPr>
              <w:t>(5)</w:t>
            </w:r>
          </w:p>
        </w:tc>
        <w:tc>
          <w:tcPr>
            <w:tcW w:w="84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60"/>
              <w:spacing w:after="0"/>
              <w:rPr>
                <w:sz w:val="20"/>
                <w:szCs w:val="20"/>
                <w:color w:val="auto"/>
              </w:rPr>
            </w:pPr>
            <w:r>
              <w:rPr>
                <w:rFonts w:ascii="Arial" w:cs="Arial" w:eastAsia="Arial" w:hAnsi="Arial"/>
                <w:sz w:val="12"/>
                <w:szCs w:val="12"/>
                <w:color w:val="auto"/>
              </w:rPr>
              <w:t>39,081</w:t>
            </w:r>
          </w:p>
        </w:tc>
        <w:tc>
          <w:tcPr>
            <w:tcW w:w="84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EBF7FC"/>
              <w:right w:val="single" w:sz="8" w:color="EBF7FC"/>
            </w:tcBorders>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EBF7F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00"/>
          </w:cols>
          <w:pgMar w:left="1300" w:top="121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00"/>
          </w:cols>
          <w:pgMar w:left="1300" w:top="1215" w:right="129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1"/>
        </w:trPr>
        <w:tc>
          <w:tcPr>
            <w:tcW w:w="1340" w:type="dxa"/>
            <w:vAlign w:val="bottom"/>
            <w:tcBorders>
              <w:right w:val="single" w:sz="8" w:color="E5E9ED"/>
            </w:tcBorders>
            <w:shd w:val="clear" w:color="auto" w:fill="E5E9ED"/>
          </w:tcPr>
          <w:p>
            <w:pPr>
              <w:spacing w:after="0"/>
              <w:rPr>
                <w:sz w:val="20"/>
                <w:szCs w:val="20"/>
                <w:color w:val="auto"/>
              </w:rPr>
            </w:pPr>
          </w:p>
        </w:tc>
        <w:tc>
          <w:tcPr>
            <w:tcW w:w="1320" w:type="dxa"/>
            <w:vAlign w:val="bottom"/>
            <w:tcBorders>
              <w:right w:val="single" w:sz="8" w:color="E5E9ED"/>
            </w:tcBorders>
            <w:vMerge w:val="restart"/>
            <w:shd w:val="clear" w:color="auto" w:fill="E5E9ED"/>
          </w:tcPr>
          <w:p>
            <w:pPr>
              <w:spacing w:after="0"/>
              <w:rPr>
                <w:sz w:val="20"/>
                <w:szCs w:val="20"/>
                <w:color w:val="auto"/>
              </w:rPr>
            </w:pPr>
            <w:r>
              <w:rPr>
                <w:rFonts w:ascii="Arial" w:cs="Arial" w:eastAsia="Arial" w:hAnsi="Arial"/>
                <w:sz w:val="70"/>
                <w:szCs w:val="70"/>
                <w:color w:val="auto"/>
              </w:rPr>
              <w:t>​</w:t>
            </w:r>
          </w:p>
        </w:tc>
        <w:tc>
          <w:tcPr>
            <w:tcW w:w="840" w:type="dxa"/>
            <w:vAlign w:val="bottom"/>
            <w:tcBorders>
              <w:right w:val="single" w:sz="8" w:color="E5E9ED"/>
            </w:tcBorders>
            <w:shd w:val="clear" w:color="auto" w:fill="E5E9ED"/>
          </w:tcPr>
          <w:p>
            <w:pPr>
              <w:spacing w:after="0"/>
              <w:rPr>
                <w:sz w:val="20"/>
                <w:szCs w:val="20"/>
                <w:color w:val="auto"/>
              </w:rPr>
            </w:pPr>
          </w:p>
        </w:tc>
        <w:tc>
          <w:tcPr>
            <w:tcW w:w="820" w:type="dxa"/>
            <w:vAlign w:val="bottom"/>
            <w:tcBorders>
              <w:right w:val="single" w:sz="8" w:color="E5E9ED"/>
            </w:tcBorders>
            <w:shd w:val="clear" w:color="auto" w:fill="E5E9ED"/>
          </w:tcPr>
          <w:p>
            <w:pPr>
              <w:spacing w:after="0"/>
              <w:rPr>
                <w:sz w:val="20"/>
                <w:szCs w:val="20"/>
                <w:color w:val="auto"/>
              </w:rPr>
            </w:pPr>
          </w:p>
        </w:tc>
        <w:tc>
          <w:tcPr>
            <w:tcW w:w="840" w:type="dxa"/>
            <w:vAlign w:val="bottom"/>
            <w:tcBorders>
              <w:right w:val="single" w:sz="8" w:color="E5E9ED"/>
            </w:tcBorders>
            <w:shd w:val="clear" w:color="auto" w:fill="E5E9ED"/>
          </w:tcPr>
          <w:p>
            <w:pPr>
              <w:spacing w:after="0"/>
              <w:rPr>
                <w:sz w:val="20"/>
                <w:szCs w:val="20"/>
                <w:color w:val="auto"/>
              </w:rPr>
            </w:pPr>
          </w:p>
        </w:tc>
        <w:tc>
          <w:tcPr>
            <w:tcW w:w="820" w:type="dxa"/>
            <w:vAlign w:val="bottom"/>
            <w:tcBorders>
              <w:right w:val="single" w:sz="8" w:color="E5E9ED"/>
            </w:tcBorders>
            <w:shd w:val="clear" w:color="auto" w:fill="E5E9ED"/>
          </w:tcPr>
          <w:p>
            <w:pPr>
              <w:spacing w:after="0"/>
              <w:rPr>
                <w:sz w:val="20"/>
                <w:szCs w:val="20"/>
                <w:color w:val="auto"/>
              </w:rPr>
            </w:pPr>
          </w:p>
        </w:tc>
        <w:tc>
          <w:tcPr>
            <w:tcW w:w="820" w:type="dxa"/>
            <w:vAlign w:val="bottom"/>
            <w:tcBorders>
              <w:right w:val="single" w:sz="8" w:color="E5E9ED"/>
            </w:tcBorders>
            <w:shd w:val="clear" w:color="auto" w:fill="E5E9ED"/>
          </w:tcPr>
          <w:p>
            <w:pPr>
              <w:spacing w:after="0"/>
              <w:rPr>
                <w:sz w:val="20"/>
                <w:szCs w:val="20"/>
                <w:color w:val="auto"/>
              </w:rPr>
            </w:pPr>
          </w:p>
        </w:tc>
        <w:tc>
          <w:tcPr>
            <w:tcW w:w="800" w:type="dxa"/>
            <w:vAlign w:val="bottom"/>
            <w:tcBorders>
              <w:right w:val="single" w:sz="8" w:color="E5E9ED"/>
            </w:tcBorders>
            <w:shd w:val="clear" w:color="auto" w:fill="E5E9ED"/>
          </w:tcPr>
          <w:p>
            <w:pPr>
              <w:spacing w:after="0"/>
              <w:rPr>
                <w:sz w:val="20"/>
                <w:szCs w:val="20"/>
                <w:color w:val="auto"/>
              </w:rPr>
            </w:pP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840" w:type="dxa"/>
            <w:vAlign w:val="bottom"/>
            <w:shd w:val="clear" w:color="auto" w:fill="E5E9E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40" w:type="dxa"/>
            <w:vAlign w:val="bottom"/>
            <w:tcBorders>
              <w:right w:val="single" w:sz="8" w:color="E5E9ED"/>
            </w:tcBorders>
            <w:shd w:val="clear" w:color="auto" w:fill="E5E9ED"/>
          </w:tcPr>
          <w:p>
            <w:pPr>
              <w:spacing w:after="0"/>
              <w:rPr>
                <w:sz w:val="16"/>
                <w:szCs w:val="16"/>
                <w:color w:val="auto"/>
              </w:rPr>
            </w:pPr>
          </w:p>
        </w:tc>
        <w:tc>
          <w:tcPr>
            <w:tcW w:w="1320" w:type="dxa"/>
            <w:vAlign w:val="bottom"/>
            <w:tcBorders>
              <w:right w:val="single" w:sz="8" w:color="E5E9ED"/>
            </w:tcBorders>
            <w:vMerge w:val="continue"/>
            <w:shd w:val="clear" w:color="auto" w:fill="E5E9ED"/>
          </w:tcPr>
          <w:p>
            <w:pPr>
              <w:spacing w:after="0"/>
              <w:rPr>
                <w:sz w:val="16"/>
                <w:szCs w:val="16"/>
                <w:color w:val="auto"/>
              </w:rPr>
            </w:pPr>
          </w:p>
        </w:tc>
        <w:tc>
          <w:tcPr>
            <w:tcW w:w="2500" w:type="dxa"/>
            <w:vAlign w:val="bottom"/>
            <w:tcBorders>
              <w:right w:val="single" w:sz="8" w:color="E5E9ED"/>
            </w:tcBorders>
            <w:gridSpan w:val="3"/>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9"/>
              </w:rPr>
              <w:t>Estimated Possible Payouts Under</w:t>
            </w:r>
          </w:p>
        </w:tc>
        <w:tc>
          <w:tcPr>
            <w:tcW w:w="2440" w:type="dxa"/>
            <w:vAlign w:val="bottom"/>
            <w:tcBorders>
              <w:right w:val="single" w:sz="8" w:color="E5E9ED"/>
            </w:tcBorders>
            <w:gridSpan w:val="3"/>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Estimated Possible Payouts Under</w:t>
            </w: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Equity</w:t>
            </w:r>
          </w:p>
        </w:tc>
        <w:tc>
          <w:tcPr>
            <w:tcW w:w="8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02"/>
        </w:trPr>
        <w:tc>
          <w:tcPr>
            <w:tcW w:w="1340" w:type="dxa"/>
            <w:vAlign w:val="bottom"/>
            <w:tcBorders>
              <w:right w:val="single" w:sz="8" w:color="E5E9ED"/>
            </w:tcBorders>
            <w:shd w:val="clear" w:color="auto" w:fill="E5E9ED"/>
          </w:tcPr>
          <w:p>
            <w:pPr>
              <w:spacing w:after="0"/>
              <w:rPr>
                <w:sz w:val="8"/>
                <w:szCs w:val="8"/>
                <w:color w:val="auto"/>
              </w:rPr>
            </w:pPr>
          </w:p>
        </w:tc>
        <w:tc>
          <w:tcPr>
            <w:tcW w:w="1320" w:type="dxa"/>
            <w:vAlign w:val="bottom"/>
            <w:tcBorders>
              <w:right w:val="single" w:sz="8" w:color="E5E9ED"/>
            </w:tcBorders>
            <w:vMerge w:val="continue"/>
            <w:shd w:val="clear" w:color="auto" w:fill="E5E9ED"/>
          </w:tcPr>
          <w:p>
            <w:pPr>
              <w:spacing w:after="0"/>
              <w:rPr>
                <w:sz w:val="8"/>
                <w:szCs w:val="8"/>
                <w:color w:val="auto"/>
              </w:rPr>
            </w:pPr>
          </w:p>
        </w:tc>
        <w:tc>
          <w:tcPr>
            <w:tcW w:w="2500" w:type="dxa"/>
            <w:vAlign w:val="bottom"/>
            <w:tcBorders>
              <w:right w:val="single" w:sz="8" w:color="E5E9ED"/>
            </w:tcBorders>
            <w:gridSpan w:val="3"/>
            <w:vMerge w:val="continue"/>
            <w:shd w:val="clear" w:color="auto" w:fill="E5E9ED"/>
          </w:tcPr>
          <w:p>
            <w:pPr>
              <w:spacing w:after="0"/>
              <w:rPr>
                <w:sz w:val="8"/>
                <w:szCs w:val="8"/>
                <w:color w:val="auto"/>
              </w:rPr>
            </w:pPr>
          </w:p>
        </w:tc>
        <w:tc>
          <w:tcPr>
            <w:tcW w:w="2440" w:type="dxa"/>
            <w:vAlign w:val="bottom"/>
            <w:tcBorders>
              <w:right w:val="single" w:sz="8" w:color="E5E9ED"/>
            </w:tcBorders>
            <w:gridSpan w:val="3"/>
            <w:vMerge w:val="continue"/>
            <w:shd w:val="clear" w:color="auto" w:fill="E5E9ED"/>
          </w:tcPr>
          <w:p>
            <w:pPr>
              <w:spacing w:after="0"/>
              <w:rPr>
                <w:sz w:val="8"/>
                <w:szCs w:val="8"/>
                <w:color w:val="auto"/>
              </w:rPr>
            </w:pPr>
          </w:p>
        </w:tc>
        <w:tc>
          <w:tcPr>
            <w:tcW w:w="860" w:type="dxa"/>
            <w:vAlign w:val="bottom"/>
            <w:tcBorders>
              <w:right w:val="single" w:sz="8" w:color="E5E9ED"/>
            </w:tcBorders>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6"/>
              </w:rPr>
              <w:t>Awards</w:t>
            </w:r>
          </w:p>
        </w:tc>
        <w:tc>
          <w:tcPr>
            <w:tcW w:w="840" w:type="dxa"/>
            <w:vAlign w:val="bottom"/>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90"/>
        </w:trPr>
        <w:tc>
          <w:tcPr>
            <w:tcW w:w="1340" w:type="dxa"/>
            <w:vAlign w:val="bottom"/>
            <w:tcBorders>
              <w:right w:val="single" w:sz="8" w:color="E5E9ED"/>
            </w:tcBorders>
            <w:shd w:val="clear" w:color="auto" w:fill="E5E9ED"/>
          </w:tcPr>
          <w:p>
            <w:pPr>
              <w:spacing w:after="0"/>
              <w:rPr>
                <w:sz w:val="7"/>
                <w:szCs w:val="7"/>
                <w:color w:val="auto"/>
              </w:rPr>
            </w:pPr>
          </w:p>
        </w:tc>
        <w:tc>
          <w:tcPr>
            <w:tcW w:w="1320" w:type="dxa"/>
            <w:vAlign w:val="bottom"/>
            <w:tcBorders>
              <w:right w:val="single" w:sz="8" w:color="E5E9ED"/>
            </w:tcBorders>
            <w:vMerge w:val="continue"/>
            <w:shd w:val="clear" w:color="auto" w:fill="E5E9ED"/>
          </w:tcPr>
          <w:p>
            <w:pPr>
              <w:spacing w:after="0"/>
              <w:rPr>
                <w:sz w:val="7"/>
                <w:szCs w:val="7"/>
                <w:color w:val="auto"/>
              </w:rPr>
            </w:pPr>
          </w:p>
        </w:tc>
        <w:tc>
          <w:tcPr>
            <w:tcW w:w="2500" w:type="dxa"/>
            <w:vAlign w:val="bottom"/>
            <w:tcBorders>
              <w:right w:val="single" w:sz="8" w:color="E5E9ED"/>
            </w:tcBorders>
            <w:gridSpan w:val="3"/>
            <w:vMerge w:val="restart"/>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Non-Equity Incentive Plan Awards</w:t>
            </w:r>
            <w:r>
              <w:rPr>
                <w:rFonts w:ascii="Arial" w:cs="Arial" w:eastAsia="Arial" w:hAnsi="Arial"/>
                <w:sz w:val="17"/>
                <w:szCs w:val="17"/>
                <w:b w:val="1"/>
                <w:bCs w:val="1"/>
                <w:color w:val="auto"/>
                <w:w w:val="97"/>
                <w:vertAlign w:val="superscript"/>
              </w:rPr>
              <w:t>(6)</w:t>
            </w:r>
          </w:p>
        </w:tc>
        <w:tc>
          <w:tcPr>
            <w:tcW w:w="2440" w:type="dxa"/>
            <w:vAlign w:val="bottom"/>
            <w:tcBorders>
              <w:right w:val="single" w:sz="8" w:color="E5E9ED"/>
            </w:tcBorders>
            <w:gridSpan w:val="3"/>
            <w:vMerge w:val="restart"/>
            <w:shd w:val="clear" w:color="auto" w:fill="E5E9ED"/>
          </w:tcPr>
          <w:p>
            <w:pPr>
              <w:jc w:val="center"/>
              <w:ind w:right="20"/>
              <w:spacing w:after="0"/>
              <w:rPr>
                <w:sz w:val="20"/>
                <w:szCs w:val="20"/>
                <w:color w:val="auto"/>
              </w:rPr>
            </w:pPr>
            <w:r>
              <w:rPr>
                <w:rFonts w:ascii="Arial" w:cs="Arial" w:eastAsia="Arial" w:hAnsi="Arial"/>
                <w:sz w:val="12"/>
                <w:szCs w:val="12"/>
                <w:b w:val="1"/>
                <w:bCs w:val="1"/>
                <w:color w:val="auto"/>
                <w:w w:val="97"/>
              </w:rPr>
              <w:t>Equity Incentive Plan Awards</w:t>
            </w:r>
            <w:r>
              <w:rPr>
                <w:rFonts w:ascii="Arial" w:cs="Arial" w:eastAsia="Arial" w:hAnsi="Arial"/>
                <w:sz w:val="17"/>
                <w:szCs w:val="17"/>
                <w:b w:val="1"/>
                <w:bCs w:val="1"/>
                <w:color w:val="auto"/>
                <w:w w:val="97"/>
                <w:vertAlign w:val="superscript"/>
              </w:rPr>
              <w:t>(2)</w:t>
            </w:r>
          </w:p>
        </w:tc>
        <w:tc>
          <w:tcPr>
            <w:tcW w:w="860" w:type="dxa"/>
            <w:vAlign w:val="bottom"/>
            <w:tcBorders>
              <w:right w:val="single" w:sz="8" w:color="E5E9ED"/>
            </w:tcBorders>
            <w:vMerge w:val="continue"/>
            <w:shd w:val="clear" w:color="auto" w:fill="E5E9ED"/>
          </w:tcPr>
          <w:p>
            <w:pPr>
              <w:spacing w:after="0"/>
              <w:rPr>
                <w:sz w:val="7"/>
                <w:szCs w:val="7"/>
                <w:color w:val="auto"/>
              </w:rPr>
            </w:pPr>
          </w:p>
        </w:tc>
        <w:tc>
          <w:tcPr>
            <w:tcW w:w="840" w:type="dxa"/>
            <w:vAlign w:val="bottom"/>
            <w:vMerge w:val="continue"/>
            <w:shd w:val="clear" w:color="auto" w:fill="E5E9ED"/>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E5E9ED"/>
            </w:tcBorders>
            <w:shd w:val="clear" w:color="auto" w:fill="E5E9ED"/>
          </w:tcPr>
          <w:p>
            <w:pPr>
              <w:spacing w:after="0"/>
              <w:rPr>
                <w:sz w:val="16"/>
                <w:szCs w:val="16"/>
                <w:color w:val="auto"/>
              </w:rPr>
            </w:pPr>
          </w:p>
        </w:tc>
        <w:tc>
          <w:tcPr>
            <w:tcW w:w="1320" w:type="dxa"/>
            <w:vAlign w:val="bottom"/>
            <w:tcBorders>
              <w:right w:val="single" w:sz="8" w:color="E5E9ED"/>
            </w:tcBorders>
            <w:vMerge w:val="continue"/>
            <w:shd w:val="clear" w:color="auto" w:fill="E5E9ED"/>
          </w:tcPr>
          <w:p>
            <w:pPr>
              <w:spacing w:after="0"/>
              <w:rPr>
                <w:sz w:val="16"/>
                <w:szCs w:val="16"/>
                <w:color w:val="auto"/>
              </w:rPr>
            </w:pPr>
          </w:p>
        </w:tc>
        <w:tc>
          <w:tcPr>
            <w:tcW w:w="2500" w:type="dxa"/>
            <w:vAlign w:val="bottom"/>
            <w:tcBorders>
              <w:right w:val="single" w:sz="8" w:color="E5E9ED"/>
            </w:tcBorders>
            <w:gridSpan w:val="3"/>
            <w:vMerge w:val="continue"/>
            <w:shd w:val="clear" w:color="auto" w:fill="E5E9ED"/>
          </w:tcPr>
          <w:p>
            <w:pPr>
              <w:spacing w:after="0"/>
              <w:rPr>
                <w:sz w:val="16"/>
                <w:szCs w:val="16"/>
                <w:color w:val="auto"/>
              </w:rPr>
            </w:pPr>
          </w:p>
        </w:tc>
        <w:tc>
          <w:tcPr>
            <w:tcW w:w="2440" w:type="dxa"/>
            <w:vAlign w:val="bottom"/>
            <w:tcBorders>
              <w:right w:val="single" w:sz="8" w:color="E5E9ED"/>
            </w:tcBorders>
            <w:gridSpan w:val="3"/>
            <w:vMerge w:val="continue"/>
            <w:shd w:val="clear" w:color="auto" w:fill="E5E9ED"/>
          </w:tcPr>
          <w:p>
            <w:pPr>
              <w:spacing w:after="0"/>
              <w:rPr>
                <w:sz w:val="16"/>
                <w:szCs w:val="16"/>
                <w:color w:val="auto"/>
              </w:rPr>
            </w:pP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8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of Stock</w:t>
            </w:r>
          </w:p>
        </w:tc>
        <w:tc>
          <w:tcPr>
            <w:tcW w:w="0" w:type="dxa"/>
            <w:vAlign w:val="bottom"/>
          </w:tcPr>
          <w:p>
            <w:pPr>
              <w:spacing w:after="0"/>
              <w:rPr>
                <w:sz w:val="1"/>
                <w:szCs w:val="1"/>
                <w:color w:val="auto"/>
              </w:rPr>
            </w:pPr>
          </w:p>
        </w:tc>
      </w:tr>
      <w:tr>
        <w:trPr>
          <w:trHeight w:val="195"/>
        </w:trPr>
        <w:tc>
          <w:tcPr>
            <w:tcW w:w="1340" w:type="dxa"/>
            <w:vAlign w:val="bottom"/>
            <w:tcBorders>
              <w:right w:val="single" w:sz="8" w:color="E5E9ED"/>
            </w:tcBorders>
            <w:shd w:val="clear" w:color="auto" w:fill="E5E9ED"/>
          </w:tcPr>
          <w:p>
            <w:pPr>
              <w:spacing w:after="0"/>
              <w:rPr>
                <w:sz w:val="16"/>
                <w:szCs w:val="16"/>
                <w:color w:val="auto"/>
              </w:rPr>
            </w:pPr>
          </w:p>
        </w:tc>
        <w:tc>
          <w:tcPr>
            <w:tcW w:w="1320" w:type="dxa"/>
            <w:vAlign w:val="bottom"/>
            <w:tcBorders>
              <w:right w:val="single" w:sz="8" w:color="E5E9ED"/>
            </w:tcBorders>
            <w:shd w:val="clear" w:color="auto" w:fill="E5E9ED"/>
          </w:tcPr>
          <w:p>
            <w:pPr>
              <w:spacing w:after="0"/>
              <w:rPr>
                <w:sz w:val="16"/>
                <w:szCs w:val="16"/>
                <w:color w:val="auto"/>
              </w:rPr>
            </w:pPr>
          </w:p>
        </w:tc>
        <w:tc>
          <w:tcPr>
            <w:tcW w:w="840" w:type="dxa"/>
            <w:vAlign w:val="bottom"/>
            <w:tcBorders>
              <w:right w:val="single" w:sz="8" w:color="E5E9ED"/>
            </w:tcBorders>
            <w:shd w:val="clear" w:color="auto" w:fill="E5E9ED"/>
          </w:tcPr>
          <w:p>
            <w:pPr>
              <w:jc w:val="right"/>
              <w:ind w:right="80"/>
              <w:spacing w:after="0"/>
              <w:rPr>
                <w:sz w:val="20"/>
                <w:szCs w:val="20"/>
                <w:color w:val="auto"/>
              </w:rPr>
            </w:pPr>
            <w:r>
              <w:rPr>
                <w:rFonts w:ascii="Arial" w:cs="Arial" w:eastAsia="Arial" w:hAnsi="Arial"/>
                <w:sz w:val="12"/>
                <w:szCs w:val="12"/>
                <w:b w:val="1"/>
                <w:bCs w:val="1"/>
                <w:color w:val="auto"/>
              </w:rPr>
              <w:t>Threshold</w:t>
            </w:r>
          </w:p>
        </w:tc>
        <w:tc>
          <w:tcPr>
            <w:tcW w:w="8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Target</w:t>
            </w:r>
          </w:p>
        </w:tc>
        <w:tc>
          <w:tcPr>
            <w:tcW w:w="840" w:type="dxa"/>
            <w:vAlign w:val="bottom"/>
            <w:tcBorders>
              <w:right w:val="single" w:sz="8" w:color="E5E9ED"/>
            </w:tcBorders>
            <w:shd w:val="clear" w:color="auto" w:fill="E5E9ED"/>
          </w:tcPr>
          <w:p>
            <w:pPr>
              <w:jc w:val="right"/>
              <w:ind w:right="100"/>
              <w:spacing w:after="0"/>
              <w:rPr>
                <w:sz w:val="20"/>
                <w:szCs w:val="20"/>
                <w:color w:val="auto"/>
              </w:rPr>
            </w:pPr>
            <w:r>
              <w:rPr>
                <w:rFonts w:ascii="Arial" w:cs="Arial" w:eastAsia="Arial" w:hAnsi="Arial"/>
                <w:sz w:val="12"/>
                <w:szCs w:val="12"/>
                <w:b w:val="1"/>
                <w:bCs w:val="1"/>
                <w:color w:val="auto"/>
              </w:rPr>
              <w:t>Maximum</w:t>
            </w:r>
          </w:p>
        </w:tc>
        <w:tc>
          <w:tcPr>
            <w:tcW w:w="820" w:type="dxa"/>
            <w:vAlign w:val="bottom"/>
            <w:tcBorders>
              <w:right w:val="single" w:sz="8" w:color="E5E9ED"/>
            </w:tcBorders>
            <w:shd w:val="clear" w:color="auto" w:fill="E5E9ED"/>
          </w:tcPr>
          <w:p>
            <w:pPr>
              <w:jc w:val="right"/>
              <w:ind w:right="80"/>
              <w:spacing w:after="0"/>
              <w:rPr>
                <w:sz w:val="20"/>
                <w:szCs w:val="20"/>
                <w:color w:val="auto"/>
              </w:rPr>
            </w:pPr>
            <w:r>
              <w:rPr>
                <w:rFonts w:ascii="Arial" w:cs="Arial" w:eastAsia="Arial" w:hAnsi="Arial"/>
                <w:sz w:val="12"/>
                <w:szCs w:val="12"/>
                <w:b w:val="1"/>
                <w:bCs w:val="1"/>
                <w:color w:val="auto"/>
              </w:rPr>
              <w:t>Threshold</w:t>
            </w:r>
          </w:p>
        </w:tc>
        <w:tc>
          <w:tcPr>
            <w:tcW w:w="8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2"/>
              </w:rPr>
              <w:t>Target</w:t>
            </w:r>
          </w:p>
        </w:tc>
        <w:tc>
          <w:tcPr>
            <w:tcW w:w="800" w:type="dxa"/>
            <w:vAlign w:val="bottom"/>
            <w:tcBorders>
              <w:right w:val="single" w:sz="8" w:color="E5E9ED"/>
            </w:tcBorders>
            <w:shd w:val="clear" w:color="auto" w:fill="E5E9ED"/>
          </w:tcPr>
          <w:p>
            <w:pPr>
              <w:jc w:val="right"/>
              <w:ind w:right="80"/>
              <w:spacing w:after="0"/>
              <w:rPr>
                <w:sz w:val="20"/>
                <w:szCs w:val="20"/>
                <w:color w:val="auto"/>
              </w:rPr>
            </w:pPr>
            <w:r>
              <w:rPr>
                <w:rFonts w:ascii="Arial" w:cs="Arial" w:eastAsia="Arial" w:hAnsi="Arial"/>
                <w:sz w:val="12"/>
                <w:szCs w:val="12"/>
                <w:b w:val="1"/>
                <w:bCs w:val="1"/>
                <w:color w:val="auto"/>
              </w:rPr>
              <w:t>Maximum</w:t>
            </w:r>
          </w:p>
        </w:tc>
        <w:tc>
          <w:tcPr>
            <w:tcW w:w="860" w:type="dxa"/>
            <w:vAlign w:val="bottom"/>
            <w:tcBorders>
              <w:right w:val="single" w:sz="8" w:color="E5E9ED"/>
            </w:tcBorders>
            <w:shd w:val="clear" w:color="auto" w:fill="E5E9ED"/>
          </w:tcPr>
          <w:p>
            <w:pPr>
              <w:jc w:val="center"/>
              <w:ind w:right="20"/>
              <w:spacing w:after="0"/>
              <w:rPr>
                <w:sz w:val="20"/>
                <w:szCs w:val="20"/>
                <w:color w:val="auto"/>
              </w:rPr>
            </w:pPr>
            <w:r>
              <w:rPr>
                <w:rFonts w:ascii="Arial" w:cs="Arial" w:eastAsia="Arial" w:hAnsi="Arial"/>
                <w:sz w:val="12"/>
                <w:szCs w:val="12"/>
                <w:b w:val="1"/>
                <w:bCs w:val="1"/>
                <w:color w:val="auto"/>
                <w:w w:val="92"/>
              </w:rPr>
              <w:t>Shares</w:t>
            </w:r>
            <w:r>
              <w:rPr>
                <w:rFonts w:ascii="Arial" w:cs="Arial" w:eastAsia="Arial" w:hAnsi="Arial"/>
                <w:sz w:val="17"/>
                <w:szCs w:val="17"/>
                <w:b w:val="1"/>
                <w:bCs w:val="1"/>
                <w:color w:val="auto"/>
                <w:w w:val="92"/>
                <w:vertAlign w:val="superscript"/>
              </w:rPr>
              <w:t>(7)</w:t>
            </w:r>
          </w:p>
        </w:tc>
        <w:tc>
          <w:tcPr>
            <w:tcW w:w="8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w w:val="94"/>
              </w:rPr>
              <w:t>Awards</w:t>
            </w:r>
            <w:r>
              <w:rPr>
                <w:rFonts w:ascii="Arial" w:cs="Arial" w:eastAsia="Arial" w:hAnsi="Arial"/>
                <w:sz w:val="17"/>
                <w:szCs w:val="17"/>
                <w:b w:val="1"/>
                <w:bCs w:val="1"/>
                <w:color w:val="auto"/>
                <w:w w:val="94"/>
                <w:vertAlign w:val="superscript"/>
              </w:rPr>
              <w:t>(8)</w:t>
            </w:r>
          </w:p>
        </w:tc>
        <w:tc>
          <w:tcPr>
            <w:tcW w:w="0" w:type="dxa"/>
            <w:vAlign w:val="bottom"/>
          </w:tcPr>
          <w:p>
            <w:pPr>
              <w:spacing w:after="0"/>
              <w:rPr>
                <w:sz w:val="1"/>
                <w:szCs w:val="1"/>
                <w:color w:val="auto"/>
              </w:rPr>
            </w:pPr>
          </w:p>
        </w:tc>
      </w:tr>
      <w:tr>
        <w:trPr>
          <w:trHeight w:val="215"/>
        </w:trPr>
        <w:tc>
          <w:tcPr>
            <w:tcW w:w="134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2"/>
                <w:szCs w:val="12"/>
                <w:b w:val="1"/>
                <w:bCs w:val="1"/>
                <w:color w:val="auto"/>
              </w:rPr>
              <w:t>Name</w:t>
            </w:r>
          </w:p>
        </w:tc>
        <w:tc>
          <w:tcPr>
            <w:tcW w:w="1320" w:type="dxa"/>
            <w:vAlign w:val="bottom"/>
            <w:tcBorders>
              <w:bottom w:val="single" w:sz="8" w:color="E5E9ED"/>
              <w:right w:val="single" w:sz="8" w:color="E5E9ED"/>
            </w:tcBorders>
            <w:shd w:val="clear" w:color="auto" w:fill="E5E9ED"/>
          </w:tcPr>
          <w:p>
            <w:pPr>
              <w:ind w:left="340"/>
              <w:spacing w:after="0"/>
              <w:rPr>
                <w:sz w:val="20"/>
                <w:szCs w:val="20"/>
                <w:color w:val="auto"/>
              </w:rPr>
            </w:pPr>
            <w:r>
              <w:rPr>
                <w:rFonts w:ascii="Arial" w:cs="Arial" w:eastAsia="Arial" w:hAnsi="Arial"/>
                <w:sz w:val="12"/>
                <w:szCs w:val="12"/>
                <w:b w:val="1"/>
                <w:bCs w:val="1"/>
                <w:color w:val="auto"/>
              </w:rPr>
              <w:t>Grant Date</w:t>
            </w:r>
          </w:p>
        </w:tc>
        <w:tc>
          <w:tcPr>
            <w:tcW w:w="840" w:type="dxa"/>
            <w:vAlign w:val="bottom"/>
            <w:tcBorders>
              <w:bottom w:val="single" w:sz="8" w:color="E5E9ED"/>
              <w:right w:val="single" w:sz="8" w:color="E5E9ED"/>
            </w:tcBorders>
            <w:shd w:val="clear" w:color="auto" w:fill="E5E9ED"/>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840" w:type="dxa"/>
            <w:vAlign w:val="bottom"/>
            <w:tcBorders>
              <w:bottom w:val="single" w:sz="8" w:color="E5E9ED"/>
              <w:right w:val="single" w:sz="8" w:color="E5E9ED"/>
            </w:tcBorders>
            <w:shd w:val="clear" w:color="auto" w:fill="E5E9ED"/>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E5E9ED"/>
              <w:right w:val="single" w:sz="8" w:color="E5E9ED"/>
            </w:tcBorders>
            <w:shd w:val="clear" w:color="auto" w:fill="E5E9ED"/>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800" w:type="dxa"/>
            <w:vAlign w:val="bottom"/>
            <w:tcBorders>
              <w:bottom w:val="single" w:sz="8" w:color="E5E9ED"/>
              <w:right w:val="single" w:sz="8" w:color="E5E9ED"/>
            </w:tcBorders>
            <w:shd w:val="clear" w:color="auto" w:fill="E5E9ED"/>
          </w:tcPr>
          <w:p>
            <w:pPr>
              <w:jc w:val="right"/>
              <w:ind w:right="28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84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305"/>
        </w:trPr>
        <w:tc>
          <w:tcPr>
            <w:tcW w:w="1340" w:type="dxa"/>
            <w:vAlign w:val="bottom"/>
            <w:tcBorders>
              <w:top w:val="single" w:sz="8" w:color="EBF7FC"/>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Mark Palamountain</w:t>
            </w: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November 1, 2023</w:t>
            </w:r>
            <w:r>
              <w:rPr>
                <w:rFonts w:ascii="Arial" w:cs="Arial" w:eastAsia="Arial" w:hAnsi="Arial"/>
                <w:sz w:val="17"/>
                <w:szCs w:val="17"/>
                <w:color w:val="auto"/>
                <w:vertAlign w:val="superscript"/>
              </w:rPr>
              <w:t>(1)</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spacing w:after="0"/>
              <w:rPr>
                <w:sz w:val="24"/>
                <w:szCs w:val="24"/>
                <w:color w:val="auto"/>
              </w:rPr>
            </w:pP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17,693</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305"/>
        </w:trPr>
        <w:tc>
          <w:tcPr>
            <w:tcW w:w="1340" w:type="dxa"/>
            <w:vAlign w:val="bottom"/>
            <w:tcBorders>
              <w:top w:val="single" w:sz="8" w:color="F3F9FD"/>
              <w:bottom w:val="single" w:sz="8" w:color="F3F9FD"/>
              <w:right w:val="single" w:sz="8" w:color="EBF7FC"/>
            </w:tcBorders>
            <w:shd w:val="clear" w:color="auto" w:fill="F3F9FD"/>
          </w:tcPr>
          <w:p>
            <w:pPr>
              <w:spacing w:after="0"/>
              <w:rPr>
                <w:sz w:val="24"/>
                <w:szCs w:val="24"/>
                <w:color w:val="auto"/>
              </w:rPr>
            </w:pP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November 1, 2023</w:t>
            </w:r>
            <w:r>
              <w:rPr>
                <w:rFonts w:ascii="Arial" w:cs="Arial" w:eastAsia="Arial" w:hAnsi="Arial"/>
                <w:sz w:val="17"/>
                <w:szCs w:val="17"/>
                <w:color w:val="auto"/>
                <w:vertAlign w:val="superscript"/>
              </w:rPr>
              <w:t>(2)</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8,846</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17,693</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35,386</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305"/>
        </w:trPr>
        <w:tc>
          <w:tcPr>
            <w:tcW w:w="1340" w:type="dxa"/>
            <w:vAlign w:val="bottom"/>
            <w:tcBorders>
              <w:top w:val="single" w:sz="8" w:color="F3F9FD"/>
              <w:bottom w:val="single" w:sz="8" w:color="F3F9FD"/>
              <w:right w:val="single" w:sz="8" w:color="EBF7FC"/>
            </w:tcBorders>
            <w:shd w:val="clear" w:color="auto" w:fill="F3F9FD"/>
          </w:tcPr>
          <w:p>
            <w:pPr>
              <w:spacing w:after="0"/>
              <w:rPr>
                <w:sz w:val="24"/>
                <w:szCs w:val="24"/>
                <w:color w:val="auto"/>
              </w:rPr>
            </w:pP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November 1, 2023</w:t>
            </w:r>
            <w:r>
              <w:rPr>
                <w:rFonts w:ascii="Arial" w:cs="Arial" w:eastAsia="Arial" w:hAnsi="Arial"/>
                <w:sz w:val="17"/>
                <w:szCs w:val="17"/>
                <w:color w:val="auto"/>
                <w:vertAlign w:val="superscript"/>
              </w:rPr>
              <w:t>(3)</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135,000</w:t>
            </w:r>
          </w:p>
        </w:tc>
        <w:tc>
          <w:tcPr>
            <w:tcW w:w="820" w:type="dxa"/>
            <w:vAlign w:val="bottom"/>
            <w:tcBorders>
              <w:top w:val="single" w:sz="8" w:color="EBF7FC"/>
              <w:bottom w:val="single" w:sz="8" w:color="F3F9FD"/>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270,000</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540,000</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5"/>
        </w:trPr>
        <w:tc>
          <w:tcPr>
            <w:tcW w:w="1340" w:type="dxa"/>
            <w:vAlign w:val="bottom"/>
            <w:tcBorders>
              <w:top w:val="single" w:sz="8" w:color="F3F9FD"/>
              <w:bottom w:val="single" w:sz="8" w:color="F3F9FD"/>
              <w:right w:val="single" w:sz="8" w:color="EBF7FC"/>
            </w:tcBorders>
            <w:shd w:val="clear" w:color="auto" w:fill="F3F9FD"/>
          </w:tcPr>
          <w:p>
            <w:pPr>
              <w:spacing w:after="0"/>
              <w:rPr>
                <w:sz w:val="24"/>
                <w:szCs w:val="24"/>
                <w:color w:val="auto"/>
              </w:rPr>
            </w:pP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June 6, 2024</w:t>
            </w:r>
            <w:r>
              <w:rPr>
                <w:rFonts w:ascii="Arial" w:cs="Arial" w:eastAsia="Arial" w:hAnsi="Arial"/>
                <w:sz w:val="17"/>
                <w:szCs w:val="17"/>
                <w:color w:val="auto"/>
                <w:vertAlign w:val="superscript"/>
              </w:rPr>
              <w:t>(4)</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12,278</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249,974</w:t>
            </w:r>
          </w:p>
        </w:tc>
        <w:tc>
          <w:tcPr>
            <w:tcW w:w="0" w:type="dxa"/>
            <w:vAlign w:val="bottom"/>
          </w:tcPr>
          <w:p>
            <w:pPr>
              <w:spacing w:after="0"/>
              <w:rPr>
                <w:sz w:val="1"/>
                <w:szCs w:val="1"/>
                <w:color w:val="auto"/>
              </w:rPr>
            </w:pPr>
          </w:p>
        </w:tc>
      </w:tr>
      <w:tr>
        <w:trPr>
          <w:trHeight w:val="305"/>
        </w:trPr>
        <w:tc>
          <w:tcPr>
            <w:tcW w:w="1340" w:type="dxa"/>
            <w:vAlign w:val="bottom"/>
            <w:tcBorders>
              <w:top w:val="single" w:sz="8" w:color="F3F9FD"/>
              <w:bottom w:val="single" w:sz="8" w:color="F3F9FD"/>
              <w:right w:val="single" w:sz="8" w:color="EBF7FC"/>
            </w:tcBorders>
            <w:shd w:val="clear" w:color="auto" w:fill="F3F9FD"/>
          </w:tcPr>
          <w:p>
            <w:pPr>
              <w:spacing w:after="0"/>
              <w:rPr>
                <w:sz w:val="24"/>
                <w:szCs w:val="24"/>
                <w:color w:val="auto"/>
              </w:rPr>
            </w:pP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June 6, 2024</w:t>
            </w:r>
            <w:r>
              <w:rPr>
                <w:rFonts w:ascii="Arial" w:cs="Arial" w:eastAsia="Arial" w:hAnsi="Arial"/>
                <w:sz w:val="17"/>
                <w:szCs w:val="17"/>
                <w:color w:val="auto"/>
                <w:vertAlign w:val="superscript"/>
              </w:rPr>
              <w:t>(5)</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249,974</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5"/>
        </w:trPr>
        <w:tc>
          <w:tcPr>
            <w:tcW w:w="1340" w:type="dxa"/>
            <w:vAlign w:val="bottom"/>
            <w:tcBorders>
              <w:top w:val="single" w:sz="8" w:color="F3F9FD"/>
              <w:bottom w:val="single" w:sz="8" w:color="F3F9FD"/>
              <w:right w:val="single" w:sz="8" w:color="EBF7FC"/>
            </w:tcBorders>
            <w:shd w:val="clear" w:color="auto" w:fill="F3F9FD"/>
          </w:tcPr>
          <w:p>
            <w:pPr>
              <w:spacing w:after="0"/>
              <w:rPr>
                <w:sz w:val="24"/>
                <w:szCs w:val="24"/>
                <w:color w:val="auto"/>
              </w:rPr>
            </w:pP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December 20, 2024</w:t>
            </w:r>
            <w:r>
              <w:rPr>
                <w:rFonts w:ascii="Arial" w:cs="Arial" w:eastAsia="Arial" w:hAnsi="Arial"/>
                <w:sz w:val="17"/>
                <w:szCs w:val="17"/>
                <w:color w:val="auto"/>
                <w:vertAlign w:val="superscript"/>
              </w:rPr>
              <w:t>(4)</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892</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23,448</w:t>
            </w:r>
          </w:p>
        </w:tc>
        <w:tc>
          <w:tcPr>
            <w:tcW w:w="0" w:type="dxa"/>
            <w:vAlign w:val="bottom"/>
          </w:tcPr>
          <w:p>
            <w:pPr>
              <w:spacing w:after="0"/>
              <w:rPr>
                <w:sz w:val="1"/>
                <w:szCs w:val="1"/>
                <w:color w:val="auto"/>
              </w:rPr>
            </w:pPr>
          </w:p>
        </w:tc>
      </w:tr>
      <w:tr>
        <w:trPr>
          <w:trHeight w:val="280"/>
        </w:trPr>
        <w:tc>
          <w:tcPr>
            <w:tcW w:w="1340" w:type="dxa"/>
            <w:vAlign w:val="bottom"/>
            <w:tcBorders>
              <w:top w:val="single" w:sz="8" w:color="F3F9FD"/>
              <w:bottom w:val="single" w:sz="8" w:color="F3F9FD"/>
              <w:right w:val="single" w:sz="8" w:color="EBF7FC"/>
            </w:tcBorders>
            <w:shd w:val="clear" w:color="auto" w:fill="F3F9FD"/>
          </w:tcPr>
          <w:p>
            <w:pPr>
              <w:spacing w:after="0"/>
              <w:rPr>
                <w:sz w:val="24"/>
                <w:szCs w:val="24"/>
                <w:color w:val="auto"/>
              </w:rPr>
            </w:pPr>
          </w:p>
        </w:tc>
        <w:tc>
          <w:tcPr>
            <w:tcW w:w="1320" w:type="dxa"/>
            <w:vAlign w:val="bottom"/>
            <w:tcBorders>
              <w:top w:val="single" w:sz="8" w:color="EBF7FC"/>
              <w:bottom w:val="single" w:sz="8" w:color="F3F9FD"/>
              <w:right w:val="single" w:sz="8" w:color="EBF7FC"/>
            </w:tcBorders>
            <w:shd w:val="clear" w:color="auto" w:fill="F3F9FD"/>
          </w:tcPr>
          <w:p>
            <w:pPr>
              <w:ind w:left="60"/>
              <w:spacing w:after="0"/>
              <w:rPr>
                <w:sz w:val="20"/>
                <w:szCs w:val="20"/>
                <w:color w:val="auto"/>
              </w:rPr>
            </w:pPr>
            <w:r>
              <w:rPr>
                <w:rFonts w:ascii="Arial" w:cs="Arial" w:eastAsia="Arial" w:hAnsi="Arial"/>
                <w:sz w:val="12"/>
                <w:szCs w:val="12"/>
                <w:color w:val="auto"/>
              </w:rPr>
              <w:t>December 20, 2024</w:t>
            </w:r>
            <w:r>
              <w:rPr>
                <w:rFonts w:ascii="Arial" w:cs="Arial" w:eastAsia="Arial" w:hAnsi="Arial"/>
                <w:sz w:val="17"/>
                <w:szCs w:val="17"/>
                <w:color w:val="auto"/>
                <w:vertAlign w:val="superscript"/>
              </w:rPr>
              <w:t>(5)</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60"/>
              <w:spacing w:after="0"/>
              <w:rPr>
                <w:sz w:val="20"/>
                <w:szCs w:val="20"/>
                <w:color w:val="auto"/>
              </w:rPr>
            </w:pPr>
            <w:r>
              <w:rPr>
                <w:rFonts w:ascii="Arial" w:cs="Arial" w:eastAsia="Arial" w:hAnsi="Arial"/>
                <w:sz w:val="12"/>
                <w:szCs w:val="12"/>
                <w:color w:val="auto"/>
              </w:rPr>
              <w:t>23,448</w:t>
            </w:r>
          </w:p>
        </w:tc>
        <w:tc>
          <w:tcPr>
            <w:tcW w:w="84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EBF7FC"/>
              <w:bottom w:val="single" w:sz="8" w:color="F3F9FD"/>
              <w:right w:val="single" w:sz="8" w:color="EBF7FC"/>
            </w:tcBorders>
            <w:shd w:val="clear" w:color="auto" w:fill="F3F9FD"/>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EBF7FC"/>
              <w:bottom w:val="single" w:sz="8" w:color="F3F9FD"/>
            </w:tcBorders>
            <w:shd w:val="clear" w:color="auto" w:fill="F3F9FD"/>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40" w:type="dxa"/>
            <w:vAlign w:val="bottom"/>
            <w:tcBorders>
              <w:right w:val="single" w:sz="8" w:color="EBF7FC"/>
            </w:tcBorders>
            <w:shd w:val="clear" w:color="auto" w:fill="EBF7FC"/>
          </w:tcPr>
          <w:p>
            <w:pPr>
              <w:spacing w:after="0" w:line="20" w:lineRule="exact"/>
              <w:rPr>
                <w:sz w:val="1"/>
                <w:szCs w:val="1"/>
                <w:color w:val="auto"/>
              </w:rPr>
            </w:pPr>
          </w:p>
        </w:tc>
        <w:tc>
          <w:tcPr>
            <w:tcW w:w="1320" w:type="dxa"/>
            <w:vAlign w:val="bottom"/>
            <w:tcBorders>
              <w:right w:val="single" w:sz="8" w:color="EBF7FC"/>
            </w:tcBorders>
            <w:shd w:val="clear" w:color="auto" w:fill="EBF7FC"/>
          </w:tcPr>
          <w:p>
            <w:pPr>
              <w:spacing w:after="0" w:line="20" w:lineRule="exact"/>
              <w:rPr>
                <w:sz w:val="1"/>
                <w:szCs w:val="1"/>
                <w:color w:val="auto"/>
              </w:rPr>
            </w:pPr>
          </w:p>
        </w:tc>
        <w:tc>
          <w:tcPr>
            <w:tcW w:w="840" w:type="dxa"/>
            <w:vAlign w:val="bottom"/>
            <w:tcBorders>
              <w:right w:val="single" w:sz="8" w:color="EBF7FC"/>
            </w:tcBorders>
            <w:shd w:val="clear" w:color="auto" w:fill="EBF7FC"/>
          </w:tcPr>
          <w:p>
            <w:pPr>
              <w:spacing w:after="0" w:line="20" w:lineRule="exact"/>
              <w:rPr>
                <w:sz w:val="1"/>
                <w:szCs w:val="1"/>
                <w:color w:val="auto"/>
              </w:rPr>
            </w:pPr>
          </w:p>
        </w:tc>
        <w:tc>
          <w:tcPr>
            <w:tcW w:w="820" w:type="dxa"/>
            <w:vAlign w:val="bottom"/>
            <w:tcBorders>
              <w:right w:val="single" w:sz="8" w:color="EBF7FC"/>
            </w:tcBorders>
            <w:shd w:val="clear" w:color="auto" w:fill="EBF7FC"/>
          </w:tcPr>
          <w:p>
            <w:pPr>
              <w:spacing w:after="0" w:line="20" w:lineRule="exact"/>
              <w:rPr>
                <w:sz w:val="1"/>
                <w:szCs w:val="1"/>
                <w:color w:val="auto"/>
              </w:rPr>
            </w:pPr>
          </w:p>
        </w:tc>
        <w:tc>
          <w:tcPr>
            <w:tcW w:w="840" w:type="dxa"/>
            <w:vAlign w:val="bottom"/>
            <w:tcBorders>
              <w:right w:val="single" w:sz="8" w:color="EBF7FC"/>
            </w:tcBorders>
            <w:shd w:val="clear" w:color="auto" w:fill="EBF7FC"/>
          </w:tcPr>
          <w:p>
            <w:pPr>
              <w:spacing w:after="0" w:line="20" w:lineRule="exact"/>
              <w:rPr>
                <w:sz w:val="1"/>
                <w:szCs w:val="1"/>
                <w:color w:val="auto"/>
              </w:rPr>
            </w:pPr>
          </w:p>
        </w:tc>
        <w:tc>
          <w:tcPr>
            <w:tcW w:w="820" w:type="dxa"/>
            <w:vAlign w:val="bottom"/>
            <w:tcBorders>
              <w:right w:val="single" w:sz="8" w:color="EBF7FC"/>
            </w:tcBorders>
            <w:shd w:val="clear" w:color="auto" w:fill="EBF7FC"/>
          </w:tcPr>
          <w:p>
            <w:pPr>
              <w:spacing w:after="0" w:line="20" w:lineRule="exact"/>
              <w:rPr>
                <w:sz w:val="1"/>
                <w:szCs w:val="1"/>
                <w:color w:val="auto"/>
              </w:rPr>
            </w:pPr>
          </w:p>
        </w:tc>
        <w:tc>
          <w:tcPr>
            <w:tcW w:w="820" w:type="dxa"/>
            <w:vAlign w:val="bottom"/>
            <w:tcBorders>
              <w:right w:val="single" w:sz="8" w:color="EBF7FC"/>
            </w:tcBorders>
            <w:shd w:val="clear" w:color="auto" w:fill="EBF7FC"/>
          </w:tcPr>
          <w:p>
            <w:pPr>
              <w:spacing w:after="0" w:line="20" w:lineRule="exact"/>
              <w:rPr>
                <w:sz w:val="1"/>
                <w:szCs w:val="1"/>
                <w:color w:val="auto"/>
              </w:rPr>
            </w:pPr>
          </w:p>
        </w:tc>
        <w:tc>
          <w:tcPr>
            <w:tcW w:w="800" w:type="dxa"/>
            <w:vAlign w:val="bottom"/>
            <w:tcBorders>
              <w:right w:val="single" w:sz="8" w:color="EBF7FC"/>
            </w:tcBorders>
            <w:shd w:val="clear" w:color="auto" w:fill="EBF7FC"/>
          </w:tcPr>
          <w:p>
            <w:pPr>
              <w:spacing w:after="0" w:line="20" w:lineRule="exact"/>
              <w:rPr>
                <w:sz w:val="1"/>
                <w:szCs w:val="1"/>
                <w:color w:val="auto"/>
              </w:rPr>
            </w:pPr>
          </w:p>
        </w:tc>
        <w:tc>
          <w:tcPr>
            <w:tcW w:w="860" w:type="dxa"/>
            <w:vAlign w:val="bottom"/>
            <w:tcBorders>
              <w:right w:val="single" w:sz="8" w:color="EBF7FC"/>
            </w:tcBorders>
            <w:shd w:val="clear" w:color="auto" w:fill="EBF7FC"/>
          </w:tcPr>
          <w:p>
            <w:pPr>
              <w:spacing w:after="0" w:line="20" w:lineRule="exact"/>
              <w:rPr>
                <w:sz w:val="1"/>
                <w:szCs w:val="1"/>
                <w:color w:val="auto"/>
              </w:rPr>
            </w:pPr>
          </w:p>
        </w:tc>
        <w:tc>
          <w:tcPr>
            <w:tcW w:w="840" w:type="dxa"/>
            <w:vAlign w:val="bottom"/>
            <w:shd w:val="clear" w:color="auto" w:fill="EBF7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ind w:left="220" w:right="160" w:hanging="215"/>
        <w:spacing w:after="0" w:line="301"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page 37 under “Elements of Compensation - Annual Equity Incentive Awards - Restricted Share Awards”. This award represents a plan based equity incentive award pursuant to the 2022 Plan granted and issued on November 1, 2023 at the market closing price of $14.13.</w:t>
      </w:r>
    </w:p>
    <w:p>
      <w:pPr>
        <w:spacing w:after="0" w:line="88" w:lineRule="exact"/>
        <w:rPr>
          <w:rFonts w:ascii="Arial" w:cs="Arial" w:eastAsia="Arial" w:hAnsi="Arial"/>
          <w:sz w:val="12"/>
          <w:szCs w:val="12"/>
          <w:color w:val="auto"/>
        </w:rPr>
      </w:pPr>
    </w:p>
    <w:p>
      <w:pPr>
        <w:ind w:left="220" w:right="20" w:hanging="215"/>
        <w:spacing w:after="0" w:line="284"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 described on page 37 under “Elements of Compensation - Performance Share-Based Awards.” These performance-based restricted shares were granted pursuant to the 2022 Plan but have not been issued. These performance-based restricted shares are subject to Limoneira’s achievement of a three-fiscal year CAGR of at least 2% during the performance period from November 1, 2023 and ending on October 31, 2026.</w:t>
      </w:r>
    </w:p>
    <w:p>
      <w:pPr>
        <w:spacing w:after="0" w:line="111" w:lineRule="exact"/>
        <w:rPr>
          <w:rFonts w:ascii="Arial" w:cs="Arial" w:eastAsia="Arial" w:hAnsi="Arial"/>
          <w:sz w:val="12"/>
          <w:szCs w:val="12"/>
          <w:color w:val="auto"/>
        </w:rPr>
      </w:pPr>
    </w:p>
    <w:p>
      <w:pPr>
        <w:ind w:left="220" w:right="100" w:hanging="215"/>
        <w:spacing w:after="0" w:line="278"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 described on page 36 under “Elements of Compensation - Annual Performance Compensation Award.” This award represents a plan based non-equity award based on Participant’s annual base salary in effect on December 31, 2023 multiplied by a payout scale percentage with seventy percent weighting associated with Adjusted EBITDA during the fiscal year, and thirty percent weighting associated with individual Performance Goals. This award was paid during fiscal year 2025 for fiscal year 2024 performance.</w:t>
      </w:r>
    </w:p>
    <w:p>
      <w:pPr>
        <w:spacing w:after="0" w:line="115" w:lineRule="exact"/>
        <w:rPr>
          <w:rFonts w:ascii="Arial" w:cs="Arial" w:eastAsia="Arial" w:hAnsi="Arial"/>
          <w:sz w:val="12"/>
          <w:szCs w:val="12"/>
          <w:color w:val="auto"/>
        </w:rPr>
      </w:pPr>
    </w:p>
    <w:p>
      <w:pPr>
        <w:ind w:left="220" w:right="120" w:hanging="215"/>
        <w:spacing w:after="0" w:line="301"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page 38 under “Elements of Compensation - Strategic Special Project Bonus”. This award represents a plan based equity incentive award pursuant to the SSP Bonus Program and the related Retention Bonus Agreement in connection with Harvest Equity Earnings.</w:t>
      </w:r>
    </w:p>
    <w:p>
      <w:pPr>
        <w:spacing w:after="0" w:line="88" w:lineRule="exact"/>
        <w:rPr>
          <w:rFonts w:ascii="Arial" w:cs="Arial" w:eastAsia="Arial" w:hAnsi="Arial"/>
          <w:sz w:val="12"/>
          <w:szCs w:val="12"/>
          <w:color w:val="auto"/>
        </w:rPr>
      </w:pPr>
    </w:p>
    <w:p>
      <w:pPr>
        <w:ind w:left="220" w:right="180" w:hanging="215"/>
        <w:spacing w:after="0" w:line="284"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page 38 under “Elements of Compensation - Strategic Special Project Bonus”. This award represents a plan based cash incentive award pursuant to the SSP Bonus Program and the related Retention Bonus Agreement in connection with Harvest Equity Earnings. Mr. Edwards received cash payments of $416,623 and $39,081. Mr. Palamountain received cash payments of $249,974 and $23,448.</w:t>
      </w:r>
    </w:p>
    <w:p>
      <w:pPr>
        <w:spacing w:after="0" w:line="111" w:lineRule="exact"/>
        <w:rPr>
          <w:rFonts w:ascii="Arial" w:cs="Arial" w:eastAsia="Arial" w:hAnsi="Arial"/>
          <w:sz w:val="12"/>
          <w:szCs w:val="12"/>
          <w:color w:val="auto"/>
        </w:rPr>
      </w:pPr>
    </w:p>
    <w:p>
      <w:pPr>
        <w:ind w:left="220" w:right="180" w:hanging="215"/>
        <w:spacing w:after="0" w:line="284"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These columns represent the potential cash incentives for each NEO under their respective Award Agreements pursuant to the 2022 Plan with respect to fiscal year 2024 performance. Threshold, Target and Maximum amounts represent 38%, 75% and 150% of Mr. Edward’s base salary as of December 31, 2023. Threshold, Target and Maximum amounts represent 30%, 60% and 120% of Mr. Palamountain’s base salary as of December 31, 2023.</w:t>
      </w:r>
    </w:p>
    <w:p>
      <w:pPr>
        <w:spacing w:after="0" w:line="111" w:lineRule="exact"/>
        <w:rPr>
          <w:rFonts w:ascii="Arial" w:cs="Arial" w:eastAsia="Arial" w:hAnsi="Arial"/>
          <w:sz w:val="12"/>
          <w:szCs w:val="12"/>
          <w:color w:val="auto"/>
        </w:rPr>
      </w:pPr>
    </w:p>
    <w:p>
      <w:pPr>
        <w:ind w:left="220" w:hanging="215"/>
        <w:spacing w:after="0" w:line="301" w:lineRule="auto"/>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All such restricted shares, whether vested or unvested, are considered issued and outstanding on the date of issuance, and our NEOs have voting rights with respect to, and receive any dividends on, such restricted shares issued to them.</w:t>
      </w:r>
    </w:p>
    <w:p>
      <w:pPr>
        <w:spacing w:after="0" w:line="88" w:lineRule="exact"/>
        <w:rPr>
          <w:rFonts w:ascii="Arial" w:cs="Arial" w:eastAsia="Arial" w:hAnsi="Arial"/>
          <w:sz w:val="12"/>
          <w:szCs w:val="12"/>
          <w:color w:val="auto"/>
        </w:rPr>
      </w:pPr>
    </w:p>
    <w:p>
      <w:pPr>
        <w:ind w:left="220" w:hanging="215"/>
        <w:spacing w:after="0"/>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value of equity incentive awards is the aggregate grant date fair value computed in accordance with FASB ASC</w:t>
      </w:r>
    </w:p>
    <w:p>
      <w:pPr>
        <w:spacing w:after="0" w:line="20" w:lineRule="exact"/>
        <w:rPr>
          <w:rFonts w:ascii="Arial" w:cs="Arial" w:eastAsia="Arial" w:hAnsi="Arial"/>
          <w:sz w:val="12"/>
          <w:szCs w:val="12"/>
          <w:color w:val="auto"/>
        </w:rPr>
      </w:pPr>
    </w:p>
    <w:p>
      <w:pPr>
        <w:ind w:left="220" w:right="40"/>
        <w:spacing w:after="0" w:line="316" w:lineRule="auto"/>
        <w:rPr>
          <w:rFonts w:ascii="Arial" w:cs="Arial" w:eastAsia="Arial" w:hAnsi="Arial"/>
          <w:sz w:val="12"/>
          <w:szCs w:val="12"/>
          <w:color w:val="auto"/>
        </w:rPr>
      </w:pPr>
      <w:r>
        <w:rPr>
          <w:rFonts w:ascii="Arial" w:cs="Arial" w:eastAsia="Arial" w:hAnsi="Arial"/>
          <w:sz w:val="11"/>
          <w:szCs w:val="11"/>
          <w:color w:val="auto"/>
        </w:rPr>
        <w:t>Topic 718, Compensation - Stock Compensation, as described on pages 37-38 in this proxy statement under “Elements of Compensation - “Restricted Share Awards”, “Performance Share-Based Awards” and “Strategic Special Project Bonus”. The value of the shares was calculated using the market closing price on the issue date. The market closing price on November 1, 2023 was $14.13. The market closing price on June 6, 2024 was $20.36. The market closing price on December 20, 2024 was $26.30.</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Outstanding Equity Awards at 2024 Fiscal Year End</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total outstanding equity awards as of October 31, 2024, for each NEO.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00" w:type="dxa"/>
            <w:vAlign w:val="bottom"/>
            <w:tcBorders>
              <w:right w:val="single" w:sz="8" w:color="E5E9ED"/>
            </w:tcBorders>
            <w:shd w:val="clear" w:color="auto" w:fill="E5E9ED"/>
          </w:tcPr>
          <w:p>
            <w:pPr>
              <w:spacing w:after="0"/>
              <w:rPr>
                <w:sz w:val="19"/>
                <w:szCs w:val="19"/>
                <w:color w:val="auto"/>
              </w:rPr>
            </w:pPr>
          </w:p>
        </w:tc>
        <w:tc>
          <w:tcPr>
            <w:tcW w:w="1800" w:type="dxa"/>
            <w:vAlign w:val="bottom"/>
            <w:tcBorders>
              <w:right w:val="single" w:sz="8" w:color="E5E9ED"/>
            </w:tcBorders>
            <w:vMerge w:val="restart"/>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Discretionary</w:t>
            </w: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Market Value</w:t>
            </w:r>
          </w:p>
        </w:tc>
        <w:tc>
          <w:tcPr>
            <w:tcW w:w="1800" w:type="dxa"/>
            <w:vAlign w:val="bottom"/>
            <w:tcBorders>
              <w:right w:val="single" w:sz="8" w:color="E5E9ED"/>
            </w:tcBorders>
            <w:vMerge w:val="restart"/>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Equity Incentive Plan</w:t>
            </w:r>
          </w:p>
        </w:tc>
        <w:tc>
          <w:tcPr>
            <w:tcW w:w="17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00" w:type="dxa"/>
            <w:vAlign w:val="bottom"/>
            <w:tcBorders>
              <w:right w:val="single" w:sz="8" w:color="E5E9ED"/>
            </w:tcBorders>
            <w:shd w:val="clear" w:color="auto" w:fill="E5E9ED"/>
          </w:tcPr>
          <w:p>
            <w:pPr>
              <w:spacing w:after="0"/>
              <w:rPr>
                <w:sz w:val="15"/>
                <w:szCs w:val="15"/>
                <w:color w:val="auto"/>
              </w:rPr>
            </w:pPr>
          </w:p>
        </w:tc>
        <w:tc>
          <w:tcPr>
            <w:tcW w:w="1800" w:type="dxa"/>
            <w:vAlign w:val="bottom"/>
            <w:tcBorders>
              <w:right w:val="single" w:sz="8" w:color="E5E9ED"/>
            </w:tcBorders>
            <w:vMerge w:val="continue"/>
            <w:shd w:val="clear" w:color="auto" w:fill="E5E9ED"/>
          </w:tcPr>
          <w:p>
            <w:pPr>
              <w:spacing w:after="0"/>
              <w:rPr>
                <w:sz w:val="15"/>
                <w:szCs w:val="15"/>
                <w:color w:val="auto"/>
              </w:rPr>
            </w:pP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of Discretionary Award</w:t>
            </w:r>
          </w:p>
        </w:tc>
        <w:tc>
          <w:tcPr>
            <w:tcW w:w="1800" w:type="dxa"/>
            <w:vAlign w:val="bottom"/>
            <w:tcBorders>
              <w:right w:val="single" w:sz="8" w:color="E5E9ED"/>
            </w:tcBorders>
            <w:vMerge w:val="continue"/>
            <w:shd w:val="clear" w:color="auto" w:fill="E5E9ED"/>
          </w:tcPr>
          <w:p>
            <w:pPr>
              <w:spacing w:after="0"/>
              <w:rPr>
                <w:sz w:val="15"/>
                <w:szCs w:val="15"/>
                <w:color w:val="auto"/>
              </w:rPr>
            </w:pPr>
          </w:p>
        </w:tc>
        <w:tc>
          <w:tcPr>
            <w:tcW w:w="17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of Equity Incentive Plan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Borders>
              <w:right w:val="single" w:sz="8" w:color="E5E9ED"/>
            </w:tcBorders>
            <w:shd w:val="clear" w:color="auto" w:fill="E5E9ED"/>
          </w:tcPr>
          <w:p>
            <w:pPr>
              <w:spacing w:after="0"/>
              <w:rPr>
                <w:sz w:val="15"/>
                <w:szCs w:val="15"/>
                <w:color w:val="auto"/>
              </w:rPr>
            </w:pP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Awards That Have</w:t>
            </w: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Shares That Have</w:t>
            </w: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Awards That Have</w:t>
            </w:r>
          </w:p>
        </w:tc>
        <w:tc>
          <w:tcPr>
            <w:tcW w:w="17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Award Shares That Have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tcBorders>
              <w:right w:val="single" w:sz="8" w:color="E5E9ED"/>
            </w:tcBorders>
            <w:shd w:val="clear" w:color="auto" w:fill="E5E9ED"/>
          </w:tcPr>
          <w:p>
            <w:pPr>
              <w:spacing w:after="0"/>
              <w:rPr>
                <w:sz w:val="16"/>
                <w:szCs w:val="16"/>
                <w:color w:val="auto"/>
              </w:rPr>
            </w:pP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Not Yet Vested</w:t>
            </w: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Not Yet Vested</w:t>
            </w:r>
          </w:p>
        </w:tc>
        <w:tc>
          <w:tcPr>
            <w:tcW w:w="18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Not Yet Vested</w:t>
            </w:r>
          </w:p>
        </w:tc>
        <w:tc>
          <w:tcPr>
            <w:tcW w:w="17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Not Yet Vested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tcBorders>
              <w:bottom w:val="single" w:sz="8" w:color="EBF7FC"/>
              <w:right w:val="single" w:sz="8" w:color="E5E9ED"/>
            </w:tcBorders>
            <w:shd w:val="clear" w:color="auto" w:fill="E5E9ED"/>
          </w:tcPr>
          <w:p>
            <w:pPr>
              <w:ind w:left="86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800" w:type="dxa"/>
            <w:vAlign w:val="bottom"/>
            <w:tcBorders>
              <w:bottom w:val="single" w:sz="8" w:color="EBF7FC"/>
              <w:right w:val="single" w:sz="8" w:color="E5E9ED"/>
            </w:tcBorders>
            <w:shd w:val="clear" w:color="auto" w:fill="E5E9ED"/>
          </w:tcPr>
          <w:p>
            <w:pPr>
              <w:jc w:val="center"/>
              <w:spacing w:after="0" w:line="218"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80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760" w:type="dxa"/>
            <w:vAlign w:val="bottom"/>
            <w:tcBorders>
              <w:bottom w:val="single" w:sz="8" w:color="EBF7FC"/>
            </w:tcBorders>
            <w:shd w:val="clear" w:color="auto" w:fill="E5E9ED"/>
          </w:tcPr>
          <w:p>
            <w:pPr>
              <w:jc w:val="center"/>
              <w:spacing w:after="0" w:line="218"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(1)</w:t>
            </w:r>
          </w:p>
        </w:tc>
        <w:tc>
          <w:tcPr>
            <w:tcW w:w="20" w:type="dxa"/>
            <w:vAlign w:val="bottom"/>
            <w:tcBorders>
              <w:bottom w:val="single" w:sz="8" w:color="EBF7FC"/>
            </w:tcBorders>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10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Harold S. Edwards</w:t>
            </w:r>
            <w:r>
              <w:rPr>
                <w:rFonts w:ascii="Arial" w:cs="Arial" w:eastAsia="Arial" w:hAnsi="Arial"/>
                <w:sz w:val="20"/>
                <w:szCs w:val="20"/>
                <w:color w:val="auto"/>
                <w:vertAlign w:val="superscript"/>
              </w:rPr>
              <w:t>(2)</w:t>
            </w:r>
          </w:p>
        </w:tc>
        <w:tc>
          <w:tcPr>
            <w:tcW w:w="1800" w:type="dxa"/>
            <w:vAlign w:val="bottom"/>
            <w:tcBorders>
              <w:bottom w:val="single" w:sz="8" w:color="EBF7FC"/>
              <w:right w:val="single" w:sz="8" w:color="EBF7FC"/>
            </w:tcBorders>
          </w:tcPr>
          <w:p>
            <w:pPr>
              <w:jc w:val="right"/>
              <w:ind w:right="652"/>
              <w:spacing w:after="0"/>
              <w:rPr>
                <w:sz w:val="20"/>
                <w:szCs w:val="20"/>
                <w:color w:val="auto"/>
              </w:rPr>
            </w:pPr>
            <w:r>
              <w:rPr>
                <w:rFonts w:ascii="Arial" w:cs="Arial" w:eastAsia="Arial" w:hAnsi="Arial"/>
                <w:sz w:val="14"/>
                <w:szCs w:val="14"/>
                <w:color w:val="auto"/>
              </w:rPr>
              <w:t>20,000</w:t>
            </w:r>
          </w:p>
        </w:tc>
        <w:tc>
          <w:tcPr>
            <w:tcW w:w="1800" w:type="dxa"/>
            <w:vAlign w:val="bottom"/>
            <w:tcBorders>
              <w:bottom w:val="single" w:sz="8" w:color="EBF7FC"/>
              <w:right w:val="single" w:sz="8" w:color="EBF7FC"/>
            </w:tcBorders>
          </w:tcPr>
          <w:p>
            <w:pPr>
              <w:jc w:val="center"/>
              <w:spacing w:after="0"/>
              <w:rPr>
                <w:sz w:val="20"/>
                <w:szCs w:val="20"/>
                <w:color w:val="auto"/>
              </w:rPr>
            </w:pPr>
            <w:r>
              <w:rPr>
                <w:rFonts w:ascii="Arial" w:cs="Arial" w:eastAsia="Arial" w:hAnsi="Arial"/>
                <w:sz w:val="14"/>
                <w:szCs w:val="14"/>
                <w:color w:val="auto"/>
                <w:w w:val="98"/>
              </w:rPr>
              <w:t>512,800</w:t>
            </w:r>
          </w:p>
        </w:tc>
        <w:tc>
          <w:tcPr>
            <w:tcW w:w="1800" w:type="dxa"/>
            <w:vAlign w:val="bottom"/>
            <w:tcBorders>
              <w:bottom w:val="single" w:sz="8" w:color="EBF7FC"/>
              <w:right w:val="single" w:sz="8" w:color="EBF7FC"/>
            </w:tcBorders>
          </w:tcPr>
          <w:p>
            <w:pPr>
              <w:jc w:val="right"/>
              <w:ind w:right="652"/>
              <w:spacing w:after="0"/>
              <w:rPr>
                <w:sz w:val="20"/>
                <w:szCs w:val="20"/>
                <w:color w:val="auto"/>
              </w:rPr>
            </w:pPr>
            <w:r>
              <w:rPr>
                <w:rFonts w:ascii="Arial" w:cs="Arial" w:eastAsia="Arial" w:hAnsi="Arial"/>
                <w:sz w:val="14"/>
                <w:szCs w:val="14"/>
                <w:color w:val="auto"/>
              </w:rPr>
              <w:t>77,284</w:t>
            </w:r>
          </w:p>
        </w:tc>
        <w:tc>
          <w:tcPr>
            <w:tcW w:w="1760" w:type="dxa"/>
            <w:vAlign w:val="bottom"/>
            <w:tcBorders>
              <w:bottom w:val="single" w:sz="8" w:color="EBF7FC"/>
            </w:tcBorders>
          </w:tcPr>
          <w:p>
            <w:pPr>
              <w:jc w:val="center"/>
              <w:spacing w:after="0"/>
              <w:rPr>
                <w:sz w:val="20"/>
                <w:szCs w:val="20"/>
                <w:color w:val="auto"/>
              </w:rPr>
            </w:pPr>
            <w:r>
              <w:rPr>
                <w:rFonts w:ascii="Arial" w:cs="Arial" w:eastAsia="Arial" w:hAnsi="Arial"/>
                <w:sz w:val="14"/>
                <w:szCs w:val="14"/>
                <w:color w:val="auto"/>
                <w:w w:val="96"/>
              </w:rPr>
              <w:t>1,981,562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10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Mark Palamountain</w:t>
            </w:r>
            <w:r>
              <w:rPr>
                <w:rFonts w:ascii="Arial" w:cs="Arial" w:eastAsia="Arial" w:hAnsi="Arial"/>
                <w:sz w:val="20"/>
                <w:szCs w:val="20"/>
                <w:color w:val="auto"/>
                <w:vertAlign w:val="superscript"/>
              </w:rPr>
              <w:t>(3)</w:t>
            </w:r>
          </w:p>
        </w:tc>
        <w:tc>
          <w:tcPr>
            <w:tcW w:w="1800" w:type="dxa"/>
            <w:vAlign w:val="bottom"/>
            <w:tcBorders>
              <w:bottom w:val="single" w:sz="8" w:color="EBF7FC"/>
              <w:right w:val="single" w:sz="8" w:color="EBF7FC"/>
            </w:tcBorders>
            <w:shd w:val="clear" w:color="auto" w:fill="F3F9FD"/>
          </w:tcPr>
          <w:p>
            <w:pPr>
              <w:jc w:val="right"/>
              <w:ind w:right="652"/>
              <w:spacing w:after="0"/>
              <w:rPr>
                <w:sz w:val="20"/>
                <w:szCs w:val="20"/>
                <w:color w:val="auto"/>
              </w:rPr>
            </w:pPr>
            <w:r>
              <w:rPr>
                <w:rFonts w:ascii="Arial" w:cs="Arial" w:eastAsia="Arial" w:hAnsi="Arial"/>
                <w:sz w:val="14"/>
                <w:szCs w:val="14"/>
                <w:color w:val="auto"/>
              </w:rPr>
              <w:t>10,000</w:t>
            </w:r>
          </w:p>
        </w:tc>
        <w:tc>
          <w:tcPr>
            <w:tcW w:w="1800" w:type="dxa"/>
            <w:vAlign w:val="bottom"/>
            <w:tcBorders>
              <w:bottom w:val="single" w:sz="8" w:color="EBF7FC"/>
              <w:right w:val="single" w:sz="8" w:color="EBF7FC"/>
            </w:tcBorders>
            <w:shd w:val="clear" w:color="auto" w:fill="F3F9FD"/>
          </w:tcPr>
          <w:p>
            <w:pPr>
              <w:jc w:val="center"/>
              <w:spacing w:after="0"/>
              <w:rPr>
                <w:sz w:val="20"/>
                <w:szCs w:val="20"/>
                <w:color w:val="auto"/>
              </w:rPr>
            </w:pPr>
            <w:r>
              <w:rPr>
                <w:rFonts w:ascii="Arial" w:cs="Arial" w:eastAsia="Arial" w:hAnsi="Arial"/>
                <w:sz w:val="14"/>
                <w:szCs w:val="14"/>
                <w:color w:val="auto"/>
                <w:w w:val="98"/>
              </w:rPr>
              <w:t>256,400</w:t>
            </w:r>
          </w:p>
        </w:tc>
        <w:tc>
          <w:tcPr>
            <w:tcW w:w="1800" w:type="dxa"/>
            <w:vAlign w:val="bottom"/>
            <w:tcBorders>
              <w:bottom w:val="single" w:sz="8" w:color="EBF7FC"/>
              <w:right w:val="single" w:sz="8" w:color="EBF7FC"/>
            </w:tcBorders>
            <w:shd w:val="clear" w:color="auto" w:fill="F3F9FD"/>
          </w:tcPr>
          <w:p>
            <w:pPr>
              <w:jc w:val="right"/>
              <w:ind w:right="652"/>
              <w:spacing w:after="0"/>
              <w:rPr>
                <w:sz w:val="20"/>
                <w:szCs w:val="20"/>
                <w:color w:val="auto"/>
              </w:rPr>
            </w:pPr>
            <w:r>
              <w:rPr>
                <w:rFonts w:ascii="Arial" w:cs="Arial" w:eastAsia="Arial" w:hAnsi="Arial"/>
                <w:sz w:val="14"/>
                <w:szCs w:val="14"/>
                <w:color w:val="auto"/>
              </w:rPr>
              <w:t>43,570</w:t>
            </w:r>
          </w:p>
        </w:tc>
        <w:tc>
          <w:tcPr>
            <w:tcW w:w="1760" w:type="dxa"/>
            <w:vAlign w:val="bottom"/>
            <w:tcBorders>
              <w:bottom w:val="single" w:sz="8" w:color="EBF7FC"/>
            </w:tcBorders>
            <w:shd w:val="clear" w:color="auto" w:fill="F3F9FD"/>
          </w:tcPr>
          <w:p>
            <w:pPr>
              <w:jc w:val="center"/>
              <w:spacing w:after="0"/>
              <w:rPr>
                <w:sz w:val="20"/>
                <w:szCs w:val="20"/>
                <w:color w:val="auto"/>
              </w:rPr>
            </w:pPr>
            <w:r>
              <w:rPr>
                <w:rFonts w:ascii="Arial" w:cs="Arial" w:eastAsia="Arial" w:hAnsi="Arial"/>
                <w:sz w:val="14"/>
                <w:szCs w:val="14"/>
                <w:color w:val="auto"/>
                <w:w w:val="96"/>
              </w:rPr>
              <w:t>1,117,123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20" w:hanging="215"/>
        <w:spacing w:after="0"/>
        <w:tabs>
          <w:tab w:leader="none" w:pos="2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a fair market value of the Common Stock on October 31, 2024 at $25.64 per share.</w:t>
      </w:r>
    </w:p>
    <w:p>
      <w:pPr>
        <w:spacing w:after="0" w:line="143" w:lineRule="exact"/>
        <w:rPr>
          <w:rFonts w:ascii="Arial" w:cs="Arial" w:eastAsia="Arial" w:hAnsi="Arial"/>
          <w:sz w:val="12"/>
          <w:szCs w:val="12"/>
          <w:color w:val="auto"/>
        </w:rPr>
      </w:pPr>
    </w:p>
    <w:p>
      <w:pPr>
        <w:ind w:left="220" w:hanging="215"/>
        <w:spacing w:after="0"/>
        <w:tabs>
          <w:tab w:leader="none" w:pos="2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Edwards has one outstanding equity-based discretionary retention award:</w:t>
      </w:r>
    </w:p>
    <w:p>
      <w:pPr>
        <w:spacing w:after="0" w:line="156" w:lineRule="exact"/>
        <w:rPr>
          <w:rFonts w:ascii="Arial" w:cs="Arial" w:eastAsia="Arial" w:hAnsi="Arial"/>
          <w:sz w:val="12"/>
          <w:szCs w:val="12"/>
          <w:color w:val="auto"/>
        </w:rPr>
      </w:pPr>
    </w:p>
    <w:p>
      <w:pPr>
        <w:ind w:left="220" w:right="400"/>
        <w:spacing w:after="0" w:line="301" w:lineRule="auto"/>
        <w:rPr>
          <w:rFonts w:ascii="Arial" w:cs="Arial" w:eastAsia="Arial" w:hAnsi="Arial"/>
          <w:sz w:val="12"/>
          <w:szCs w:val="12"/>
          <w:color w:val="auto"/>
        </w:rPr>
      </w:pPr>
      <w:r>
        <w:rPr>
          <w:rFonts w:ascii="Arial" w:cs="Arial" w:eastAsia="Arial" w:hAnsi="Arial"/>
          <w:sz w:val="12"/>
          <w:szCs w:val="12"/>
          <w:color w:val="auto"/>
        </w:rPr>
        <w:t>On December 20, 2022, we issued 30,000 restricted shares that are equity-based incentive awards to vest in three (3) equal annual tranches on December 20, 2023; December 20, 2024; and December 20, 2025. At 2024 fiscal year end, 20,000 shares remained unvested from that grant.</w:t>
      </w:r>
    </w:p>
    <w:p>
      <w:pPr>
        <w:spacing w:after="0" w:line="101"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Mr. Edwards has five (5) outstanding plan-based equity incentive awards:</w:t>
      </w:r>
    </w:p>
    <w:p>
      <w:pPr>
        <w:spacing w:after="0" w:line="143"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On December 20, 2022, Mr. Edwards received an annual equity-based incentive award for fiscal year 2022 performance. We issued 28,563 restricted shares to vest in two</w:t>
      </w:r>
    </w:p>
    <w:p>
      <w:pPr>
        <w:spacing w:after="0" w:line="2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(2) equal annual tranches on December 20, 2023 and December 20, 2024. At 2024 fiscal year end, 14,281 shares remained unvested from that grant.</w:t>
      </w:r>
    </w:p>
    <w:p>
      <w:pPr>
        <w:sectPr>
          <w:pgSz w:w="11900" w:h="16838" w:orient="portrait"/>
          <w:cols w:equalWidth="0" w:num="1">
            <w:col w:w="9340"/>
          </w:cols>
          <w:pgMar w:left="1300" w:top="125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58" w:right="1259" w:bottom="1440" w:gutter="0" w:footer="0" w:header="0"/>
          <w:type w:val="continuous"/>
        </w:sectPr>
      </w:pPr>
    </w:p>
    <w:bookmarkStart w:id="50" w:name="page51"/>
    <w:bookmarkEnd w:id="50"/>
    <w:p>
      <w:pPr>
        <w:ind w:left="220" w:right="160" w:hanging="215"/>
        <w:spacing w:after="0" w:line="241" w:lineRule="auto"/>
        <w:tabs>
          <w:tab w:leader="none" w:pos="220" w:val="left"/>
        </w:tabs>
        <w:numPr>
          <w:ilvl w:val="0"/>
          <w:numId w:val="44"/>
        </w:numPr>
        <w:rPr>
          <w:rFonts w:ascii="Arial" w:cs="Arial" w:eastAsia="Arial" w:hAnsi="Arial"/>
          <w:sz w:val="15"/>
          <w:szCs w:val="15"/>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On November 1, 2023, Mr. Edwards received an annual Restricted Share Award for fiscal year 2024. We issued 35,385 restricted shares to vest in three (3) equal annual tranches on October 31, 2024; October 31, 2025; and October 31, 2026. At 2024 fiscal year end, 23,590 shares remained unvested from that grant.</w:t>
      </w:r>
    </w:p>
    <w:p>
      <w:pPr>
        <w:spacing w:after="0" w:line="8"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2"/>
          <w:szCs w:val="12"/>
          <w:color w:val="auto"/>
        </w:rPr>
        <w:t>On December 18, 2023, Mr. Edwards received an annual equity-based incentive award for fiscal year 2023 performance. We issued 12,588 restricted shares to vest in two</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(2) equal annual tranches on December 18, 2024 and December 18, 2025. At 2024 fiscal year end, all 12,588 shares remained unvested from that grant.</w:t>
      </w:r>
    </w:p>
    <w:p>
      <w:pPr>
        <w:spacing w:after="0" w:line="20" w:lineRule="exact"/>
        <w:rPr>
          <w:sz w:val="20"/>
          <w:szCs w:val="20"/>
          <w:color w:val="auto"/>
        </w:rPr>
      </w:pPr>
    </w:p>
    <w:p>
      <w:pPr>
        <w:ind w:left="220" w:right="220"/>
        <w:spacing w:after="0" w:line="278" w:lineRule="auto"/>
        <w:rPr>
          <w:sz w:val="20"/>
          <w:szCs w:val="20"/>
          <w:color w:val="auto"/>
        </w:rPr>
      </w:pPr>
      <w:r>
        <w:rPr>
          <w:rFonts w:ascii="Arial" w:cs="Arial" w:eastAsia="Arial" w:hAnsi="Arial"/>
          <w:sz w:val="12"/>
          <w:szCs w:val="12"/>
          <w:color w:val="auto"/>
        </w:rPr>
        <w:t>On December 18, 2023, Mr. Edwards earned a SSP Bonus in connection with Harvest Equity Earnings for fiscal year 2023. We issued 6,362 restricted shares to vest on December 18, 2024. At 2024 fiscal year end, all 6,362 remained unvested from that grant.</w:t>
      </w:r>
    </w:p>
    <w:p>
      <w:pPr>
        <w:ind w:left="220" w:right="80"/>
        <w:spacing w:after="0" w:line="316" w:lineRule="auto"/>
        <w:rPr>
          <w:sz w:val="20"/>
          <w:szCs w:val="20"/>
          <w:color w:val="auto"/>
        </w:rPr>
      </w:pPr>
      <w:r>
        <w:rPr>
          <w:rFonts w:ascii="Arial" w:cs="Arial" w:eastAsia="Arial" w:hAnsi="Arial"/>
          <w:sz w:val="12"/>
          <w:szCs w:val="12"/>
          <w:color w:val="auto"/>
        </w:rPr>
        <w:t>On June 6, 2024, Mr. Edwards earned a SSP Bonus in connection with Harvest Equity Earnings for fiscal year 2024. We issued 20,463 restricted shares to vest on June 6, 2025. At 2024 fiscal year end, all 20,463 shares remained unvested from that grant.</w:t>
      </w:r>
    </w:p>
    <w:p>
      <w:pPr>
        <w:spacing w:after="0" w:line="93" w:lineRule="exact"/>
        <w:rPr>
          <w:sz w:val="20"/>
          <w:szCs w:val="20"/>
          <w:color w:val="auto"/>
        </w:rPr>
      </w:pPr>
    </w:p>
    <w:p>
      <w:pPr>
        <w:ind w:left="220" w:hanging="215"/>
        <w:spacing w:after="0"/>
        <w:tabs>
          <w:tab w:leader="none" w:pos="2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Palamountain has one outstanding equity-based discretionary retention award:</w:t>
      </w:r>
    </w:p>
    <w:p>
      <w:pPr>
        <w:spacing w:after="0" w:line="28" w:lineRule="exact"/>
        <w:rPr>
          <w:rFonts w:ascii="Arial" w:cs="Arial" w:eastAsia="Arial" w:hAnsi="Arial"/>
          <w:sz w:val="12"/>
          <w:szCs w:val="12"/>
          <w:color w:val="auto"/>
        </w:rPr>
      </w:pPr>
    </w:p>
    <w:p>
      <w:pPr>
        <w:ind w:left="220"/>
        <w:spacing w:after="0" w:line="278" w:lineRule="auto"/>
        <w:rPr>
          <w:rFonts w:ascii="Arial" w:cs="Arial" w:eastAsia="Arial" w:hAnsi="Arial"/>
          <w:sz w:val="12"/>
          <w:szCs w:val="12"/>
          <w:color w:val="auto"/>
        </w:rPr>
      </w:pPr>
      <w:r>
        <w:rPr>
          <w:rFonts w:ascii="Arial" w:cs="Arial" w:eastAsia="Arial" w:hAnsi="Arial"/>
          <w:sz w:val="12"/>
          <w:szCs w:val="12"/>
          <w:color w:val="auto"/>
        </w:rPr>
        <w:t>On December 20, 2022, we issued 15,000 restricted shares to vest in three (3) equal annual tranches on December 20, 2023; December 20, 2024; and December 20, 2025. At 2024 fiscal year end, 10,000 shares remained unvested from that grant.</w:t>
      </w:r>
    </w:p>
    <w:p>
      <w:pPr>
        <w:ind w:left="220"/>
        <w:spacing w:after="0"/>
        <w:rPr>
          <w:rFonts w:ascii="Arial" w:cs="Arial" w:eastAsia="Arial" w:hAnsi="Arial"/>
          <w:sz w:val="12"/>
          <w:szCs w:val="12"/>
          <w:color w:val="auto"/>
        </w:rPr>
      </w:pPr>
      <w:r>
        <w:rPr>
          <w:rFonts w:ascii="Arial" w:cs="Arial" w:eastAsia="Arial" w:hAnsi="Arial"/>
          <w:sz w:val="12"/>
          <w:szCs w:val="12"/>
          <w:color w:val="auto"/>
        </w:rPr>
        <w:t>Mr. Palamountain has five (5) outstanding plan-based equity incentive awards:</w:t>
      </w:r>
    </w:p>
    <w:p>
      <w:pPr>
        <w:spacing w:after="0" w:line="28" w:lineRule="exact"/>
        <w:rPr>
          <w:rFonts w:ascii="Arial" w:cs="Arial" w:eastAsia="Arial" w:hAnsi="Arial"/>
          <w:sz w:val="12"/>
          <w:szCs w:val="12"/>
          <w:color w:val="auto"/>
        </w:rPr>
      </w:pPr>
    </w:p>
    <w:p>
      <w:pPr>
        <w:ind w:left="220" w:right="40"/>
        <w:spacing w:after="0" w:line="278" w:lineRule="auto"/>
        <w:rPr>
          <w:rFonts w:ascii="Arial" w:cs="Arial" w:eastAsia="Arial" w:hAnsi="Arial"/>
          <w:sz w:val="12"/>
          <w:szCs w:val="12"/>
          <w:color w:val="auto"/>
        </w:rPr>
      </w:pPr>
      <w:r>
        <w:rPr>
          <w:rFonts w:ascii="Arial" w:cs="Arial" w:eastAsia="Arial" w:hAnsi="Arial"/>
          <w:sz w:val="12"/>
          <w:szCs w:val="12"/>
          <w:color w:val="auto"/>
        </w:rPr>
        <w:t>On December 20, 2022, Mr. Palamountain received an annual equity-based incentive award for fiscal year 2022 performance. We issued 16,679 restricted shares to vest in two (2) equal annual tranches on December 20, 2023 and December 20, 2024. At 2024 fiscal year end, 8,339 shares remained unvested from that grant.</w:t>
      </w:r>
    </w:p>
    <w:p>
      <w:pPr>
        <w:ind w:left="220" w:right="300"/>
        <w:spacing w:after="0" w:line="278" w:lineRule="auto"/>
        <w:rPr>
          <w:rFonts w:ascii="Arial" w:cs="Arial" w:eastAsia="Arial" w:hAnsi="Arial"/>
          <w:sz w:val="12"/>
          <w:szCs w:val="12"/>
          <w:color w:val="auto"/>
        </w:rPr>
      </w:pPr>
      <w:r>
        <w:rPr>
          <w:rFonts w:ascii="Arial" w:cs="Arial" w:eastAsia="Arial" w:hAnsi="Arial"/>
          <w:sz w:val="12"/>
          <w:szCs w:val="12"/>
          <w:color w:val="auto"/>
        </w:rPr>
        <w:t>On November 1, 2023, Mr. Palamountain received an annual Restricted Share Award for fiscal year 2024. We issued 17,693 restricted shares to vest in three (3) equal annual tranches on October 31, 2024, October 31, 2025 and October 31, 2026. At 2024 fiscal year end, 11,795 shares remained unvested from that grant.</w:t>
      </w:r>
    </w:p>
    <w:p>
      <w:pPr>
        <w:ind w:left="220" w:right="140"/>
        <w:spacing w:after="0" w:line="282" w:lineRule="auto"/>
        <w:rPr>
          <w:rFonts w:ascii="Arial" w:cs="Arial" w:eastAsia="Arial" w:hAnsi="Arial"/>
          <w:sz w:val="12"/>
          <w:szCs w:val="12"/>
          <w:color w:val="auto"/>
        </w:rPr>
      </w:pPr>
      <w:r>
        <w:rPr>
          <w:rFonts w:ascii="Arial" w:cs="Arial" w:eastAsia="Arial" w:hAnsi="Arial"/>
          <w:sz w:val="12"/>
          <w:szCs w:val="12"/>
          <w:color w:val="auto"/>
        </w:rPr>
        <w:t>On December 18, 2023, Mr. Palamountain received an annual equity-based equity incentive award for fiscal year 2023 performance. We issued 7,351 restricted shares to vest in two (2) equal annual tranches on December 18, 2024 and December 18, 2025. At 2024 fiscal year end, all 7,351 shares remained unvested from that grant.</w:t>
      </w:r>
    </w:p>
    <w:p>
      <w:pPr>
        <w:ind w:left="220" w:right="120"/>
        <w:spacing w:after="0" w:line="278" w:lineRule="auto"/>
        <w:rPr>
          <w:rFonts w:ascii="Arial" w:cs="Arial" w:eastAsia="Arial" w:hAnsi="Arial"/>
          <w:sz w:val="12"/>
          <w:szCs w:val="12"/>
          <w:color w:val="auto"/>
        </w:rPr>
      </w:pPr>
      <w:r>
        <w:rPr>
          <w:rFonts w:ascii="Arial" w:cs="Arial" w:eastAsia="Arial" w:hAnsi="Arial"/>
          <w:sz w:val="12"/>
          <w:szCs w:val="12"/>
          <w:color w:val="auto"/>
        </w:rPr>
        <w:t>On December 18, 2023, Mr. Palamountain earned a SSP Bonus in connection with Harvest Equity Earnings for fiscal year 2023. We issued 3,807 restricted shares to vest on December 18, 2024. At 2024 fiscal year end, all 3,807 shares remained unvested from that grant.</w:t>
      </w:r>
    </w:p>
    <w:p>
      <w:pPr>
        <w:ind w:left="220" w:right="240"/>
        <w:spacing w:after="0" w:line="316" w:lineRule="auto"/>
        <w:rPr>
          <w:rFonts w:ascii="Arial" w:cs="Arial" w:eastAsia="Arial" w:hAnsi="Arial"/>
          <w:sz w:val="12"/>
          <w:szCs w:val="12"/>
          <w:color w:val="auto"/>
        </w:rPr>
      </w:pPr>
      <w:r>
        <w:rPr>
          <w:rFonts w:ascii="Arial" w:cs="Arial" w:eastAsia="Arial" w:hAnsi="Arial"/>
          <w:sz w:val="12"/>
          <w:szCs w:val="12"/>
          <w:color w:val="auto"/>
        </w:rPr>
        <w:t>On June 6, 2024, Mr. Palamountain earned a SSP Bonus in connection with Harvest Equity Earnings for fiscal year 2024. We issued 12,278 restricted shares to vest on June 6, 2025. At 2024 fiscal year end, all 12,278 shares remained unvested from that grant.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Outstanding Exercises and Stock Vested at 2024 Fiscal Year End</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about vesting of restricted stock held by our NEOs during fiscal year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Borders>
              <w:right w:val="single" w:sz="8" w:color="E5E9ED"/>
            </w:tcBorders>
            <w:shd w:val="clear" w:color="auto" w:fill="E5E9ED"/>
          </w:tcPr>
          <w:p>
            <w:pPr>
              <w:spacing w:after="0"/>
              <w:rPr>
                <w:sz w:val="19"/>
                <w:szCs w:val="19"/>
                <w:color w:val="auto"/>
              </w:rPr>
            </w:pPr>
          </w:p>
        </w:tc>
        <w:tc>
          <w:tcPr>
            <w:tcW w:w="1140" w:type="dxa"/>
            <w:vAlign w:val="bottom"/>
            <w:tcBorders>
              <w:right w:val="single" w:sz="8" w:color="E5E9ED"/>
            </w:tcBorders>
            <w:shd w:val="clear" w:color="auto" w:fill="E5E9ED"/>
          </w:tcPr>
          <w:p>
            <w:pPr>
              <w:spacing w:after="0"/>
              <w:rPr>
                <w:sz w:val="19"/>
                <w:szCs w:val="19"/>
                <w:color w:val="auto"/>
              </w:rPr>
            </w:pPr>
          </w:p>
        </w:tc>
        <w:tc>
          <w:tcPr>
            <w:tcW w:w="1180" w:type="dxa"/>
            <w:vAlign w:val="bottom"/>
            <w:tcBorders>
              <w:right w:val="single" w:sz="8" w:color="E5E9ED"/>
            </w:tcBorders>
            <w:shd w:val="clear" w:color="auto" w:fill="E5E9ED"/>
          </w:tcPr>
          <w:p>
            <w:pPr>
              <w:spacing w:after="0"/>
              <w:rPr>
                <w:sz w:val="19"/>
                <w:szCs w:val="19"/>
                <w:color w:val="auto"/>
              </w:rPr>
            </w:pPr>
          </w:p>
        </w:tc>
        <w:tc>
          <w:tcPr>
            <w:tcW w:w="1220" w:type="dxa"/>
            <w:vAlign w:val="bottom"/>
            <w:tcBorders>
              <w:right w:val="single" w:sz="8" w:color="E5E9ED"/>
            </w:tcBorders>
            <w:shd w:val="clear" w:color="auto" w:fill="E5E9ED"/>
          </w:tcPr>
          <w:p>
            <w:pPr>
              <w:spacing w:after="0"/>
              <w:rPr>
                <w:sz w:val="19"/>
                <w:szCs w:val="19"/>
                <w:color w:val="auto"/>
              </w:rPr>
            </w:pPr>
          </w:p>
        </w:tc>
        <w:tc>
          <w:tcPr>
            <w:tcW w:w="13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Market Value</w:t>
            </w:r>
          </w:p>
        </w:tc>
        <w:tc>
          <w:tcPr>
            <w:tcW w:w="1300" w:type="dxa"/>
            <w:vAlign w:val="bottom"/>
            <w:tcBorders>
              <w:right w:val="single" w:sz="8" w:color="E5E9ED"/>
            </w:tcBorders>
            <w:shd w:val="clear" w:color="auto" w:fill="E5E9ED"/>
          </w:tcPr>
          <w:p>
            <w:pPr>
              <w:spacing w:after="0"/>
              <w:rPr>
                <w:sz w:val="19"/>
                <w:szCs w:val="19"/>
                <w:color w:val="auto"/>
              </w:rPr>
            </w:pPr>
          </w:p>
        </w:tc>
        <w:tc>
          <w:tcPr>
            <w:tcW w:w="140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20" w:type="dxa"/>
            <w:vAlign w:val="bottom"/>
          </w:tcPr>
          <w:p>
            <w:pPr>
              <w:spacing w:after="0"/>
              <w:rPr>
                <w:sz w:val="19"/>
                <w:szCs w:val="19"/>
                <w:color w:val="auto"/>
              </w:rPr>
            </w:pPr>
          </w:p>
        </w:tc>
      </w:tr>
      <w:tr>
        <w:trPr>
          <w:trHeight w:val="184"/>
        </w:trPr>
        <w:tc>
          <w:tcPr>
            <w:tcW w:w="1720" w:type="dxa"/>
            <w:vAlign w:val="bottom"/>
            <w:tcBorders>
              <w:right w:val="single" w:sz="8" w:color="E5E9ED"/>
            </w:tcBorders>
            <w:shd w:val="clear" w:color="auto" w:fill="E5E9ED"/>
          </w:tcPr>
          <w:p>
            <w:pPr>
              <w:spacing w:after="0"/>
              <w:rPr>
                <w:sz w:val="15"/>
                <w:szCs w:val="15"/>
                <w:color w:val="auto"/>
              </w:rPr>
            </w:pP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80" w:type="dxa"/>
            <w:vAlign w:val="bottom"/>
            <w:tcBorders>
              <w:right w:val="single" w:sz="8" w:color="E5E9ED"/>
            </w:tcBorders>
            <w:shd w:val="clear" w:color="auto" w:fill="E5E9ED"/>
          </w:tcPr>
          <w:p>
            <w:pPr>
              <w:spacing w:after="0"/>
              <w:rPr>
                <w:sz w:val="15"/>
                <w:szCs w:val="15"/>
                <w:color w:val="auto"/>
              </w:rPr>
            </w:pPr>
          </w:p>
        </w:tc>
        <w:tc>
          <w:tcPr>
            <w:tcW w:w="1220" w:type="dxa"/>
            <w:vAlign w:val="bottom"/>
            <w:tcBorders>
              <w:right w:val="single" w:sz="8" w:color="E5E9ED"/>
            </w:tcBorders>
            <w:shd w:val="clear" w:color="auto" w:fill="E5E9ED"/>
          </w:tcPr>
          <w:p>
            <w:pPr>
              <w:spacing w:after="0"/>
              <w:rPr>
                <w:sz w:val="15"/>
                <w:szCs w:val="15"/>
                <w:color w:val="auto"/>
              </w:rPr>
            </w:pPr>
          </w:p>
        </w:tc>
        <w:tc>
          <w:tcPr>
            <w:tcW w:w="13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of Discretionary</w:t>
            </w:r>
          </w:p>
        </w:tc>
        <w:tc>
          <w:tcPr>
            <w:tcW w:w="1300" w:type="dxa"/>
            <w:vAlign w:val="bottom"/>
            <w:tcBorders>
              <w:right w:val="single" w:sz="8" w:color="E5E9ED"/>
            </w:tcBorders>
            <w:shd w:val="clear" w:color="auto" w:fill="E5E9ED"/>
          </w:tcPr>
          <w:p>
            <w:pPr>
              <w:spacing w:after="0"/>
              <w:rPr>
                <w:sz w:val="15"/>
                <w:szCs w:val="15"/>
                <w:color w:val="auto"/>
              </w:rPr>
            </w:pPr>
          </w:p>
        </w:tc>
        <w:tc>
          <w:tcPr>
            <w:tcW w:w="140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Incentive Equity</w:t>
            </w:r>
          </w:p>
        </w:tc>
        <w:tc>
          <w:tcPr>
            <w:tcW w:w="20" w:type="dxa"/>
            <w:vAlign w:val="bottom"/>
          </w:tcPr>
          <w:p>
            <w:pPr>
              <w:spacing w:after="0"/>
              <w:rPr>
                <w:sz w:val="15"/>
                <w:szCs w:val="15"/>
                <w:color w:val="auto"/>
              </w:rPr>
            </w:pPr>
          </w:p>
        </w:tc>
      </w:tr>
      <w:tr>
        <w:trPr>
          <w:trHeight w:val="192"/>
        </w:trPr>
        <w:tc>
          <w:tcPr>
            <w:tcW w:w="1720" w:type="dxa"/>
            <w:vAlign w:val="bottom"/>
            <w:tcBorders>
              <w:right w:val="single" w:sz="8" w:color="E5E9ED"/>
            </w:tcBorders>
            <w:shd w:val="clear" w:color="auto" w:fill="E5E9ED"/>
          </w:tcPr>
          <w:p>
            <w:pPr>
              <w:spacing w:after="0"/>
              <w:rPr>
                <w:sz w:val="16"/>
                <w:szCs w:val="16"/>
                <w:color w:val="auto"/>
              </w:rPr>
            </w:pP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Securities</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Market Value</w:t>
            </w:r>
          </w:p>
        </w:tc>
        <w:tc>
          <w:tcPr>
            <w:tcW w:w="12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Discretionary</w:t>
            </w:r>
          </w:p>
        </w:tc>
        <w:tc>
          <w:tcPr>
            <w:tcW w:w="13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Award Shares</w:t>
            </w:r>
          </w:p>
        </w:tc>
        <w:tc>
          <w:tcPr>
            <w:tcW w:w="13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Incentive Equity</w:t>
            </w:r>
          </w:p>
        </w:tc>
        <w:tc>
          <w:tcPr>
            <w:tcW w:w="140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Plan Award Shares</w:t>
            </w:r>
          </w:p>
        </w:tc>
        <w:tc>
          <w:tcPr>
            <w:tcW w:w="20" w:type="dxa"/>
            <w:vAlign w:val="bottom"/>
          </w:tcPr>
          <w:p>
            <w:pPr>
              <w:spacing w:after="0"/>
              <w:rPr>
                <w:sz w:val="16"/>
                <w:szCs w:val="16"/>
                <w:color w:val="auto"/>
              </w:rPr>
            </w:pPr>
          </w:p>
        </w:tc>
      </w:tr>
      <w:tr>
        <w:trPr>
          <w:trHeight w:val="163"/>
        </w:trPr>
        <w:tc>
          <w:tcPr>
            <w:tcW w:w="1720" w:type="dxa"/>
            <w:vAlign w:val="bottom"/>
            <w:tcBorders>
              <w:right w:val="single" w:sz="8" w:color="E5E9ED"/>
            </w:tcBorders>
            <w:shd w:val="clear" w:color="auto" w:fill="E5E9ED"/>
          </w:tcPr>
          <w:p>
            <w:pPr>
              <w:spacing w:after="0"/>
              <w:rPr>
                <w:sz w:val="14"/>
                <w:szCs w:val="14"/>
                <w:color w:val="auto"/>
              </w:rPr>
            </w:pP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5"/>
              </w:rPr>
              <w:t>Acquired on</w:t>
            </w:r>
          </w:p>
        </w:tc>
        <w:tc>
          <w:tcPr>
            <w:tcW w:w="11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Realized on</w:t>
            </w:r>
          </w:p>
        </w:tc>
        <w:tc>
          <w:tcPr>
            <w:tcW w:w="12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Awards That</w:t>
            </w:r>
          </w:p>
        </w:tc>
        <w:tc>
          <w:tcPr>
            <w:tcW w:w="13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That Vested</w:t>
            </w:r>
          </w:p>
        </w:tc>
        <w:tc>
          <w:tcPr>
            <w:tcW w:w="13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Plan Awards That</w:t>
            </w:r>
          </w:p>
        </w:tc>
        <w:tc>
          <w:tcPr>
            <w:tcW w:w="140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That</w:t>
            </w:r>
          </w:p>
        </w:tc>
        <w:tc>
          <w:tcPr>
            <w:tcW w:w="20" w:type="dxa"/>
            <w:vAlign w:val="bottom"/>
          </w:tcPr>
          <w:p>
            <w:pPr>
              <w:spacing w:after="0"/>
              <w:rPr>
                <w:sz w:val="14"/>
                <w:szCs w:val="14"/>
                <w:color w:val="auto"/>
              </w:rPr>
            </w:pPr>
          </w:p>
        </w:tc>
      </w:tr>
      <w:tr>
        <w:trPr>
          <w:trHeight w:val="208"/>
        </w:trPr>
        <w:tc>
          <w:tcPr>
            <w:tcW w:w="1720" w:type="dxa"/>
            <w:vAlign w:val="bottom"/>
            <w:tcBorders>
              <w:right w:val="single" w:sz="8" w:color="E5E9ED"/>
            </w:tcBorders>
            <w:shd w:val="clear" w:color="auto" w:fill="E5E9ED"/>
          </w:tcPr>
          <w:p>
            <w:pPr>
              <w:spacing w:after="0"/>
              <w:rPr>
                <w:sz w:val="18"/>
                <w:szCs w:val="18"/>
                <w:color w:val="auto"/>
              </w:rPr>
            </w:pPr>
          </w:p>
        </w:tc>
        <w:tc>
          <w:tcPr>
            <w:tcW w:w="114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4"/>
              </w:rPr>
              <w:t>Exercise</w:t>
            </w:r>
            <w:r>
              <w:rPr>
                <w:rFonts w:ascii="Arial" w:cs="Arial" w:eastAsia="Arial" w:hAnsi="Arial"/>
                <w:sz w:val="20"/>
                <w:szCs w:val="20"/>
                <w:b w:val="1"/>
                <w:bCs w:val="1"/>
                <w:color w:val="auto"/>
                <w:w w:val="94"/>
                <w:vertAlign w:val="superscript"/>
              </w:rPr>
              <w:t>(4)</w:t>
            </w:r>
          </w:p>
        </w:tc>
        <w:tc>
          <w:tcPr>
            <w:tcW w:w="118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4"/>
              </w:rPr>
              <w:t>Exercise</w:t>
            </w:r>
            <w:r>
              <w:rPr>
                <w:rFonts w:ascii="Arial" w:cs="Arial" w:eastAsia="Arial" w:hAnsi="Arial"/>
                <w:sz w:val="20"/>
                <w:szCs w:val="20"/>
                <w:b w:val="1"/>
                <w:bCs w:val="1"/>
                <w:color w:val="auto"/>
                <w:w w:val="94"/>
                <w:vertAlign w:val="superscript"/>
              </w:rPr>
              <w:t>(4)</w:t>
            </w:r>
          </w:p>
        </w:tc>
        <w:tc>
          <w:tcPr>
            <w:tcW w:w="12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Vested FY 2024</w:t>
            </w:r>
          </w:p>
        </w:tc>
        <w:tc>
          <w:tcPr>
            <w:tcW w:w="132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2"/>
              </w:rPr>
              <w:t>FY 2024</w:t>
            </w:r>
            <w:r>
              <w:rPr>
                <w:rFonts w:ascii="Arial" w:cs="Arial" w:eastAsia="Arial" w:hAnsi="Arial"/>
                <w:sz w:val="20"/>
                <w:szCs w:val="20"/>
                <w:b w:val="1"/>
                <w:bCs w:val="1"/>
                <w:color w:val="auto"/>
                <w:w w:val="92"/>
                <w:vertAlign w:val="superscript"/>
              </w:rPr>
              <w:t>(1)</w:t>
            </w:r>
          </w:p>
        </w:tc>
        <w:tc>
          <w:tcPr>
            <w:tcW w:w="13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Vested FY 2024</w:t>
            </w:r>
          </w:p>
        </w:tc>
        <w:tc>
          <w:tcPr>
            <w:tcW w:w="1400" w:type="dxa"/>
            <w:vAlign w:val="bottom"/>
            <w:shd w:val="clear" w:color="auto" w:fill="E5E9ED"/>
          </w:tcPr>
          <w:p>
            <w:pPr>
              <w:jc w:val="center"/>
              <w:spacing w:after="0" w:line="208" w:lineRule="exact"/>
              <w:rPr>
                <w:sz w:val="20"/>
                <w:szCs w:val="20"/>
                <w:color w:val="auto"/>
              </w:rPr>
            </w:pPr>
            <w:r>
              <w:rPr>
                <w:rFonts w:ascii="Arial" w:cs="Arial" w:eastAsia="Arial" w:hAnsi="Arial"/>
                <w:sz w:val="14"/>
                <w:szCs w:val="14"/>
                <w:b w:val="1"/>
                <w:bCs w:val="1"/>
                <w:color w:val="auto"/>
                <w:w w:val="94"/>
              </w:rPr>
              <w:t>Vested FY 2024</w:t>
            </w:r>
            <w:r>
              <w:rPr>
                <w:rFonts w:ascii="Arial" w:cs="Arial" w:eastAsia="Arial" w:hAnsi="Arial"/>
                <w:sz w:val="20"/>
                <w:szCs w:val="20"/>
                <w:b w:val="1"/>
                <w:bCs w:val="1"/>
                <w:color w:val="auto"/>
                <w:w w:val="94"/>
                <w:vertAlign w:val="superscript"/>
              </w:rPr>
              <w:t>(1)</w:t>
            </w:r>
          </w:p>
        </w:tc>
        <w:tc>
          <w:tcPr>
            <w:tcW w:w="20" w:type="dxa"/>
            <w:vAlign w:val="bottom"/>
          </w:tcPr>
          <w:p>
            <w:pPr>
              <w:spacing w:after="0"/>
              <w:rPr>
                <w:sz w:val="18"/>
                <w:szCs w:val="18"/>
                <w:color w:val="auto"/>
              </w:rPr>
            </w:pPr>
          </w:p>
        </w:tc>
      </w:tr>
      <w:tr>
        <w:trPr>
          <w:trHeight w:val="207"/>
        </w:trPr>
        <w:tc>
          <w:tcPr>
            <w:tcW w:w="1720" w:type="dxa"/>
            <w:vAlign w:val="bottom"/>
            <w:tcBorders>
              <w:bottom w:val="single" w:sz="8" w:color="EBF7FC"/>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EBF7FC"/>
              <w:right w:val="single" w:sz="8" w:color="E5E9ED"/>
            </w:tcBorders>
            <w:shd w:val="clear" w:color="auto" w:fill="E5E9ED"/>
          </w:tcPr>
          <w:p>
            <w:pPr>
              <w:ind w:left="4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EBF7FC"/>
              <w:right w:val="single" w:sz="8" w:color="E5E9ED"/>
            </w:tcBorders>
            <w:shd w:val="clear" w:color="auto" w:fill="E5E9ED"/>
          </w:tcPr>
          <w:p>
            <w:pPr>
              <w:ind w:left="48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bottom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EBF7FC"/>
            </w:tcBorders>
          </w:tcPr>
          <w:p>
            <w:pPr>
              <w:spacing w:after="0"/>
              <w:rPr>
                <w:sz w:val="18"/>
                <w:szCs w:val="18"/>
                <w:color w:val="auto"/>
              </w:rPr>
            </w:pPr>
          </w:p>
        </w:tc>
      </w:tr>
      <w:tr>
        <w:trPr>
          <w:trHeight w:val="307"/>
        </w:trPr>
        <w:tc>
          <w:tcPr>
            <w:tcW w:w="172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Harold S. Edwards</w:t>
            </w:r>
            <w:r>
              <w:rPr>
                <w:rFonts w:ascii="Arial" w:cs="Arial" w:eastAsia="Arial" w:hAnsi="Arial"/>
                <w:sz w:val="20"/>
                <w:szCs w:val="20"/>
                <w:color w:val="auto"/>
                <w:vertAlign w:val="superscript"/>
              </w:rPr>
              <w:t>(2)</w:t>
            </w:r>
          </w:p>
        </w:tc>
        <w:tc>
          <w:tcPr>
            <w:tcW w:w="1140" w:type="dxa"/>
            <w:vAlign w:val="bottom"/>
            <w:tcBorders>
              <w:bottom w:val="single" w:sz="8" w:color="EBF7FC"/>
              <w:right w:val="single" w:sz="8" w:color="EBF7FC"/>
            </w:tcBorders>
          </w:tcPr>
          <w:p>
            <w:pPr>
              <w:ind w:left="4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EBF7FC"/>
              <w:right w:val="single" w:sz="8" w:color="EBF7FC"/>
            </w:tcBorders>
          </w:tcPr>
          <w:p>
            <w:pPr>
              <w:ind w:left="4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BF7FC"/>
              <w:right w:val="single" w:sz="8" w:color="EBF7FC"/>
            </w:tcBorders>
          </w:tcPr>
          <w:p>
            <w:pPr>
              <w:jc w:val="right"/>
              <w:ind w:right="372"/>
              <w:spacing w:after="0"/>
              <w:rPr>
                <w:sz w:val="20"/>
                <w:szCs w:val="20"/>
                <w:color w:val="auto"/>
              </w:rPr>
            </w:pPr>
            <w:r>
              <w:rPr>
                <w:rFonts w:ascii="Arial" w:cs="Arial" w:eastAsia="Arial" w:hAnsi="Arial"/>
                <w:sz w:val="14"/>
                <w:szCs w:val="14"/>
                <w:color w:val="auto"/>
              </w:rPr>
              <w:t>20,000</w:t>
            </w:r>
          </w:p>
        </w:tc>
        <w:tc>
          <w:tcPr>
            <w:tcW w:w="1320" w:type="dxa"/>
            <w:vAlign w:val="bottom"/>
            <w:tcBorders>
              <w:bottom w:val="single" w:sz="8" w:color="EBF7FC"/>
              <w:right w:val="single" w:sz="8" w:color="EBF7FC"/>
            </w:tcBorders>
          </w:tcPr>
          <w:p>
            <w:pPr>
              <w:jc w:val="right"/>
              <w:ind w:right="372"/>
              <w:spacing w:after="0"/>
              <w:rPr>
                <w:sz w:val="20"/>
                <w:szCs w:val="20"/>
                <w:color w:val="auto"/>
              </w:rPr>
            </w:pPr>
            <w:r>
              <w:rPr>
                <w:rFonts w:ascii="Arial" w:cs="Arial" w:eastAsia="Arial" w:hAnsi="Arial"/>
                <w:sz w:val="14"/>
                <w:szCs w:val="14"/>
                <w:color w:val="auto"/>
              </w:rPr>
              <w:t>445,800</w:t>
            </w:r>
          </w:p>
        </w:tc>
        <w:tc>
          <w:tcPr>
            <w:tcW w:w="1300" w:type="dxa"/>
            <w:vAlign w:val="bottom"/>
            <w:tcBorders>
              <w:bottom w:val="single" w:sz="8" w:color="EBF7FC"/>
              <w:right w:val="single" w:sz="8" w:color="EBF7FC"/>
            </w:tcBorders>
          </w:tcPr>
          <w:p>
            <w:pPr>
              <w:jc w:val="right"/>
              <w:ind w:right="412"/>
              <w:spacing w:after="0"/>
              <w:rPr>
                <w:sz w:val="20"/>
                <w:szCs w:val="20"/>
                <w:color w:val="auto"/>
              </w:rPr>
            </w:pPr>
            <w:r>
              <w:rPr>
                <w:rFonts w:ascii="Arial" w:cs="Arial" w:eastAsia="Arial" w:hAnsi="Arial"/>
                <w:sz w:val="14"/>
                <w:szCs w:val="14"/>
                <w:color w:val="auto"/>
              </w:rPr>
              <w:t>89,609</w:t>
            </w:r>
          </w:p>
        </w:tc>
        <w:tc>
          <w:tcPr>
            <w:tcW w:w="1400" w:type="dxa"/>
            <w:vAlign w:val="bottom"/>
            <w:tcBorders>
              <w:bottom w:val="single" w:sz="8" w:color="EBF7FC"/>
            </w:tcBorders>
          </w:tcPr>
          <w:p>
            <w:pPr>
              <w:jc w:val="right"/>
              <w:ind w:right="352"/>
              <w:spacing w:after="0"/>
              <w:rPr>
                <w:sz w:val="20"/>
                <w:szCs w:val="20"/>
                <w:color w:val="auto"/>
              </w:rPr>
            </w:pPr>
            <w:r>
              <w:rPr>
                <w:rFonts w:ascii="Arial" w:cs="Arial" w:eastAsia="Arial" w:hAnsi="Arial"/>
                <w:sz w:val="14"/>
                <w:szCs w:val="14"/>
                <w:color w:val="auto"/>
              </w:rPr>
              <w:t>1,727,937</w:t>
            </w:r>
          </w:p>
        </w:tc>
        <w:tc>
          <w:tcPr>
            <w:tcW w:w="20" w:type="dxa"/>
            <w:vAlign w:val="bottom"/>
          </w:tcPr>
          <w:p>
            <w:pPr>
              <w:spacing w:after="0"/>
              <w:rPr>
                <w:sz w:val="24"/>
                <w:szCs w:val="24"/>
                <w:color w:val="auto"/>
              </w:rPr>
            </w:pPr>
          </w:p>
        </w:tc>
      </w:tr>
      <w:tr>
        <w:trPr>
          <w:trHeight w:val="300"/>
        </w:trPr>
        <w:tc>
          <w:tcPr>
            <w:tcW w:w="172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Mark Palamountain</w:t>
            </w:r>
            <w:r>
              <w:rPr>
                <w:rFonts w:ascii="Arial" w:cs="Arial" w:eastAsia="Arial" w:hAnsi="Arial"/>
                <w:sz w:val="20"/>
                <w:szCs w:val="20"/>
                <w:color w:val="auto"/>
                <w:vertAlign w:val="superscript"/>
              </w:rPr>
              <w:t>(3)</w:t>
            </w:r>
          </w:p>
        </w:tc>
        <w:tc>
          <w:tcPr>
            <w:tcW w:w="1140" w:type="dxa"/>
            <w:vAlign w:val="bottom"/>
            <w:tcBorders>
              <w:bottom w:val="single" w:sz="8" w:color="EBF7FC"/>
              <w:right w:val="single" w:sz="8" w:color="EBF7FC"/>
            </w:tcBorders>
            <w:shd w:val="clear" w:color="auto" w:fill="F3F9FD"/>
          </w:tcPr>
          <w:p>
            <w:pPr>
              <w:ind w:left="4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EBF7FC"/>
              <w:right w:val="single" w:sz="8" w:color="EBF7FC"/>
            </w:tcBorders>
            <w:shd w:val="clear" w:color="auto" w:fill="F3F9FD"/>
          </w:tcPr>
          <w:p>
            <w:pPr>
              <w:ind w:left="4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BF7FC"/>
              <w:right w:val="single" w:sz="8" w:color="EBF7FC"/>
            </w:tcBorders>
            <w:shd w:val="clear" w:color="auto" w:fill="F3F9FD"/>
          </w:tcPr>
          <w:p>
            <w:pPr>
              <w:jc w:val="right"/>
              <w:ind w:right="372"/>
              <w:spacing w:after="0"/>
              <w:rPr>
                <w:sz w:val="20"/>
                <w:szCs w:val="20"/>
                <w:color w:val="auto"/>
              </w:rPr>
            </w:pPr>
            <w:r>
              <w:rPr>
                <w:rFonts w:ascii="Arial" w:cs="Arial" w:eastAsia="Arial" w:hAnsi="Arial"/>
                <w:sz w:val="14"/>
                <w:szCs w:val="14"/>
                <w:color w:val="auto"/>
              </w:rPr>
              <w:t>10,000</w:t>
            </w:r>
          </w:p>
        </w:tc>
        <w:tc>
          <w:tcPr>
            <w:tcW w:w="1320" w:type="dxa"/>
            <w:vAlign w:val="bottom"/>
            <w:tcBorders>
              <w:bottom w:val="single" w:sz="8" w:color="EBF7FC"/>
              <w:right w:val="single" w:sz="8" w:color="EBF7FC"/>
            </w:tcBorders>
            <w:shd w:val="clear" w:color="auto" w:fill="F3F9FD"/>
          </w:tcPr>
          <w:p>
            <w:pPr>
              <w:jc w:val="right"/>
              <w:ind w:right="372"/>
              <w:spacing w:after="0"/>
              <w:rPr>
                <w:sz w:val="20"/>
                <w:szCs w:val="20"/>
                <w:color w:val="auto"/>
              </w:rPr>
            </w:pPr>
            <w:r>
              <w:rPr>
                <w:rFonts w:ascii="Arial" w:cs="Arial" w:eastAsia="Arial" w:hAnsi="Arial"/>
                <w:sz w:val="14"/>
                <w:szCs w:val="14"/>
                <w:color w:val="auto"/>
              </w:rPr>
              <w:t>222,900</w:t>
            </w:r>
          </w:p>
        </w:tc>
        <w:tc>
          <w:tcPr>
            <w:tcW w:w="1300" w:type="dxa"/>
            <w:vAlign w:val="bottom"/>
            <w:tcBorders>
              <w:bottom w:val="single" w:sz="8" w:color="EBF7FC"/>
              <w:right w:val="single" w:sz="8" w:color="EBF7FC"/>
            </w:tcBorders>
            <w:shd w:val="clear" w:color="auto" w:fill="F3F9FD"/>
          </w:tcPr>
          <w:p>
            <w:pPr>
              <w:jc w:val="right"/>
              <w:ind w:right="412"/>
              <w:spacing w:after="0"/>
              <w:rPr>
                <w:sz w:val="20"/>
                <w:szCs w:val="20"/>
                <w:color w:val="auto"/>
              </w:rPr>
            </w:pPr>
            <w:r>
              <w:rPr>
                <w:rFonts w:ascii="Arial" w:cs="Arial" w:eastAsia="Arial" w:hAnsi="Arial"/>
                <w:sz w:val="14"/>
                <w:szCs w:val="14"/>
                <w:color w:val="auto"/>
              </w:rPr>
              <w:t>59,147</w:t>
            </w:r>
          </w:p>
        </w:tc>
        <w:tc>
          <w:tcPr>
            <w:tcW w:w="1400" w:type="dxa"/>
            <w:vAlign w:val="bottom"/>
            <w:tcBorders>
              <w:bottom w:val="single" w:sz="8" w:color="EBF7FC"/>
            </w:tcBorders>
            <w:shd w:val="clear" w:color="auto" w:fill="F3F9FD"/>
          </w:tcPr>
          <w:p>
            <w:pPr>
              <w:jc w:val="right"/>
              <w:ind w:right="352"/>
              <w:spacing w:after="0"/>
              <w:rPr>
                <w:sz w:val="20"/>
                <w:szCs w:val="20"/>
                <w:color w:val="auto"/>
              </w:rPr>
            </w:pPr>
            <w:r>
              <w:rPr>
                <w:rFonts w:ascii="Arial" w:cs="Arial" w:eastAsia="Arial" w:hAnsi="Arial"/>
                <w:sz w:val="14"/>
                <w:szCs w:val="14"/>
                <w:color w:val="auto"/>
              </w:rPr>
              <w:t>1,130,790</w:t>
            </w:r>
          </w:p>
        </w:tc>
        <w:tc>
          <w:tcPr>
            <w:tcW w:w="20" w:type="dxa"/>
            <w:vAlign w:val="bottom"/>
          </w:tcPr>
          <w:p>
            <w:pPr>
              <w:spacing w:after="0"/>
              <w:rPr>
                <w:sz w:val="24"/>
                <w:szCs w:val="24"/>
                <w:color w:val="auto"/>
              </w:rPr>
            </w:pPr>
          </w:p>
        </w:tc>
      </w:tr>
    </w:tbl>
    <w:p>
      <w:pPr>
        <w:spacing w:after="0" w:line="136" w:lineRule="exact"/>
        <w:rPr>
          <w:sz w:val="20"/>
          <w:szCs w:val="20"/>
          <w:color w:val="auto"/>
        </w:rPr>
      </w:pPr>
    </w:p>
    <w:p>
      <w:pPr>
        <w:ind w:left="220" w:right="1200" w:hanging="215"/>
        <w:spacing w:after="0" w:line="278" w:lineRule="auto"/>
        <w:tabs>
          <w:tab w:leader="none" w:pos="2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Based on a fair market value of the Common Stock on the date of vesting. Mr. Edwards and Mr. Palamountain had shares vest on the following dates: November 1, 2023 at $14.13 per share.</w:t>
      </w:r>
    </w:p>
    <w:p>
      <w:pPr>
        <w:ind w:left="220" w:right="6940"/>
        <w:spacing w:after="0" w:line="333" w:lineRule="auto"/>
        <w:rPr>
          <w:rFonts w:ascii="Arial" w:cs="Arial" w:eastAsia="Arial" w:hAnsi="Arial"/>
          <w:sz w:val="12"/>
          <w:szCs w:val="12"/>
          <w:color w:val="auto"/>
        </w:rPr>
      </w:pPr>
      <w:r>
        <w:rPr>
          <w:rFonts w:ascii="Arial" w:cs="Arial" w:eastAsia="Arial" w:hAnsi="Arial"/>
          <w:sz w:val="11"/>
          <w:szCs w:val="11"/>
          <w:color w:val="auto"/>
        </w:rPr>
        <w:t>December 20, 2023 at $18.94 per share. March 7, 2024 at $18.18 per share. October 31, 2024 at $25.64 per share.</w:t>
      </w:r>
    </w:p>
    <w:p>
      <w:pPr>
        <w:spacing w:after="0" w:line="87" w:lineRule="exact"/>
        <w:rPr>
          <w:rFonts w:ascii="Arial" w:cs="Arial" w:eastAsia="Arial" w:hAnsi="Arial"/>
          <w:sz w:val="12"/>
          <w:szCs w:val="12"/>
          <w:color w:val="auto"/>
        </w:rPr>
      </w:pPr>
    </w:p>
    <w:p>
      <w:pPr>
        <w:ind w:left="220" w:right="3580" w:hanging="215"/>
        <w:spacing w:after="0" w:line="283" w:lineRule="auto"/>
        <w:tabs>
          <w:tab w:leader="none" w:pos="2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Edwards had 20,000 shares vest in connection with two equity-based discretionary retention awards: 10,000 shares vested on December 20, 2023, in connection with an award issued December 20, 2022. 10,000 shares vested on October 31, 2024, in connection with an award issued December 13, 2021. Mr. Edwards had 89,609 shares vest in connection with three equity-based incentive awards:</w:t>
      </w:r>
    </w:p>
    <w:p>
      <w:pPr>
        <w:spacing w:after="0" w:line="1" w:lineRule="exact"/>
        <w:rPr>
          <w:rFonts w:ascii="Arial" w:cs="Arial" w:eastAsia="Arial" w:hAnsi="Arial"/>
          <w:sz w:val="12"/>
          <w:szCs w:val="12"/>
          <w:color w:val="auto"/>
        </w:rPr>
      </w:pPr>
    </w:p>
    <w:p>
      <w:pPr>
        <w:ind w:left="220" w:right="3680"/>
        <w:spacing w:after="0" w:line="278" w:lineRule="auto"/>
        <w:rPr>
          <w:rFonts w:ascii="Arial" w:cs="Arial" w:eastAsia="Arial" w:hAnsi="Arial"/>
          <w:sz w:val="12"/>
          <w:szCs w:val="12"/>
          <w:color w:val="auto"/>
        </w:rPr>
      </w:pPr>
      <w:r>
        <w:rPr>
          <w:rFonts w:ascii="Arial" w:cs="Arial" w:eastAsia="Arial" w:hAnsi="Arial"/>
          <w:sz w:val="12"/>
          <w:szCs w:val="12"/>
          <w:color w:val="auto"/>
        </w:rPr>
        <w:t>14,282 shares vested on December 20, 2023, in connection with an award issued December 20, 2022. 63,532 shares vested on March 7, 2024, in connection with an award issued March 7, 2023.</w:t>
      </w:r>
    </w:p>
    <w:p>
      <w:pPr>
        <w:ind w:left="220"/>
        <w:spacing w:after="0"/>
        <w:rPr>
          <w:rFonts w:ascii="Arial" w:cs="Arial" w:eastAsia="Arial" w:hAnsi="Arial"/>
          <w:sz w:val="12"/>
          <w:szCs w:val="12"/>
          <w:color w:val="auto"/>
        </w:rPr>
      </w:pPr>
      <w:r>
        <w:rPr>
          <w:rFonts w:ascii="Arial" w:cs="Arial" w:eastAsia="Arial" w:hAnsi="Arial"/>
          <w:sz w:val="12"/>
          <w:szCs w:val="12"/>
          <w:color w:val="auto"/>
        </w:rPr>
        <w:t>11,795 shares vested on October 31, 2024, in connection with an award issued November 1, 2023.</w:t>
      </w:r>
    </w:p>
    <w:p>
      <w:pPr>
        <w:spacing w:after="0" w:line="156" w:lineRule="exact"/>
        <w:rPr>
          <w:rFonts w:ascii="Arial" w:cs="Arial" w:eastAsia="Arial" w:hAnsi="Arial"/>
          <w:sz w:val="12"/>
          <w:szCs w:val="12"/>
          <w:color w:val="auto"/>
        </w:rPr>
      </w:pPr>
    </w:p>
    <w:p>
      <w:pPr>
        <w:ind w:left="220" w:right="3320" w:hanging="215"/>
        <w:spacing w:after="0" w:line="307" w:lineRule="auto"/>
        <w:tabs>
          <w:tab w:leader="none" w:pos="2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Mr. Palamountain had 10,000 shares vest in connection with two equity-based discretionary retention awards: 5,000 shares vested on December 20, 2023, in connection with an award issued December 20, 2022.</w:t>
      </w:r>
    </w:p>
    <w:p>
      <w:pPr>
        <w:ind w:left="220" w:right="3740"/>
        <w:spacing w:after="0" w:line="305" w:lineRule="auto"/>
        <w:rPr>
          <w:rFonts w:ascii="Arial" w:cs="Arial" w:eastAsia="Arial" w:hAnsi="Arial"/>
          <w:sz w:val="11"/>
          <w:szCs w:val="11"/>
          <w:color w:val="auto"/>
        </w:rPr>
      </w:pPr>
      <w:r>
        <w:rPr>
          <w:rFonts w:ascii="Arial" w:cs="Arial" w:eastAsia="Arial" w:hAnsi="Arial"/>
          <w:sz w:val="11"/>
          <w:szCs w:val="11"/>
          <w:color w:val="auto"/>
        </w:rPr>
        <w:t>5,000 shares vested on October 31, 2024, in connection with an award issued December 13, 2021. Mr. Palamountain had 59,147 shares vest in connection with four equity-based incentive awards: 8,340 shares vested on December 20, 2023, in connection with an award issued December 20, 2022. 6,790 shares vested on December 20, 2023, in connection with an award issued December 20, 2022. 38,119 shares vested on March 7, 2024, in connection with an award issued March 7, 2023.</w:t>
      </w:r>
    </w:p>
    <w:p>
      <w:pPr>
        <w:spacing w:after="0" w:line="2"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2"/>
          <w:szCs w:val="12"/>
          <w:color w:val="auto"/>
        </w:rPr>
        <w:t>5,898 shares vested on October 31, 2024, in connection with an award issued November 1, 2023.</w:t>
      </w:r>
    </w:p>
    <w:p>
      <w:pPr>
        <w:spacing w:after="0" w:line="164" w:lineRule="exact"/>
        <w:rPr>
          <w:rFonts w:ascii="Arial" w:cs="Arial" w:eastAsia="Arial" w:hAnsi="Arial"/>
          <w:sz w:val="11"/>
          <w:szCs w:val="11"/>
          <w:color w:val="auto"/>
        </w:rPr>
      </w:pPr>
    </w:p>
    <w:p>
      <w:pPr>
        <w:ind w:left="220" w:hanging="215"/>
        <w:spacing w:after="0"/>
        <w:tabs>
          <w:tab w:leader="none" w:pos="2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Company does not issue stock options or stock appreciation rights.</w:t>
      </w:r>
    </w:p>
    <w:p>
      <w:pPr>
        <w:sectPr>
          <w:pgSz w:w="11900" w:h="16838" w:orient="portrait"/>
          <w:cols w:equalWidth="0" w:num="1">
            <w:col w:w="9320"/>
          </w:cols>
          <w:pgMar w:left="1300" w:top="122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22" w:right="12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438BCB"/>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Pay Versus Performance (PVP)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Borders>
              <w:right w:val="single" w:sz="8" w:color="E5E9ED"/>
            </w:tcBorders>
            <w:shd w:val="clear" w:color="auto" w:fill="E5E9ED"/>
          </w:tcPr>
          <w:p>
            <w:pPr>
              <w:spacing w:after="0"/>
              <w:rPr>
                <w:sz w:val="18"/>
                <w:szCs w:val="18"/>
                <w:color w:val="auto"/>
              </w:rPr>
            </w:pPr>
          </w:p>
        </w:tc>
        <w:tc>
          <w:tcPr>
            <w:tcW w:w="1120" w:type="dxa"/>
            <w:vAlign w:val="bottom"/>
            <w:tcBorders>
              <w:right w:val="single" w:sz="8" w:color="E5E9ED"/>
            </w:tcBorders>
            <w:shd w:val="clear" w:color="auto" w:fill="E5E9ED"/>
          </w:tcPr>
          <w:p>
            <w:pPr>
              <w:spacing w:after="0"/>
              <w:rPr>
                <w:sz w:val="18"/>
                <w:szCs w:val="18"/>
                <w:color w:val="auto"/>
              </w:rPr>
            </w:pPr>
          </w:p>
        </w:tc>
        <w:tc>
          <w:tcPr>
            <w:tcW w:w="1200" w:type="dxa"/>
            <w:vAlign w:val="bottom"/>
            <w:tcBorders>
              <w:right w:val="single" w:sz="8" w:color="E5E9ED"/>
            </w:tcBorders>
            <w:shd w:val="clear" w:color="auto" w:fill="E5E9ED"/>
          </w:tcPr>
          <w:p>
            <w:pPr>
              <w:spacing w:after="0"/>
              <w:rPr>
                <w:sz w:val="18"/>
                <w:szCs w:val="18"/>
                <w:color w:val="auto"/>
              </w:rPr>
            </w:pP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Average</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Average</w:t>
            </w:r>
          </w:p>
        </w:tc>
        <w:tc>
          <w:tcPr>
            <w:tcW w:w="1040" w:type="dxa"/>
            <w:vAlign w:val="bottom"/>
            <w:tcBorders>
              <w:right w:val="single" w:sz="8" w:color="E5E9ED"/>
            </w:tcBorders>
            <w:shd w:val="clear" w:color="auto" w:fill="E5E9ED"/>
          </w:tcPr>
          <w:p>
            <w:pPr>
              <w:spacing w:after="0"/>
              <w:rPr>
                <w:sz w:val="18"/>
                <w:szCs w:val="18"/>
                <w:color w:val="auto"/>
              </w:rPr>
            </w:pPr>
          </w:p>
        </w:tc>
        <w:tc>
          <w:tcPr>
            <w:tcW w:w="980" w:type="dxa"/>
            <w:vAlign w:val="bottom"/>
            <w:tcBorders>
              <w:right w:val="single" w:sz="8" w:color="E5E9ED"/>
            </w:tcBorders>
            <w:shd w:val="clear" w:color="auto" w:fill="E5E9ED"/>
          </w:tcPr>
          <w:p>
            <w:pPr>
              <w:spacing w:after="0"/>
              <w:rPr>
                <w:sz w:val="18"/>
                <w:szCs w:val="18"/>
                <w:color w:val="auto"/>
              </w:rPr>
            </w:pPr>
          </w:p>
        </w:tc>
        <w:tc>
          <w:tcPr>
            <w:tcW w:w="1040" w:type="dxa"/>
            <w:vAlign w:val="bottom"/>
            <w:tcBorders>
              <w:right w:val="single" w:sz="8" w:color="E5E9ED"/>
            </w:tcBorders>
            <w:shd w:val="clear" w:color="auto" w:fill="E5E9ED"/>
          </w:tcPr>
          <w:p>
            <w:pPr>
              <w:spacing w:after="0"/>
              <w:rPr>
                <w:sz w:val="18"/>
                <w:szCs w:val="18"/>
                <w:color w:val="auto"/>
              </w:rPr>
            </w:pPr>
          </w:p>
        </w:tc>
        <w:tc>
          <w:tcPr>
            <w:tcW w:w="1040" w:type="dxa"/>
            <w:vAlign w:val="bottom"/>
            <w:shd w:val="clear" w:color="auto" w:fill="E5E9ED"/>
          </w:tcPr>
          <w:p>
            <w:pPr>
              <w:spacing w:after="0"/>
              <w:rPr>
                <w:sz w:val="18"/>
                <w:szCs w:val="18"/>
                <w:color w:val="auto"/>
              </w:rPr>
            </w:pPr>
          </w:p>
        </w:tc>
      </w:tr>
      <w:tr>
        <w:trPr>
          <w:trHeight w:val="192"/>
        </w:trPr>
        <w:tc>
          <w:tcPr>
            <w:tcW w:w="600" w:type="dxa"/>
            <w:vAlign w:val="bottom"/>
            <w:tcBorders>
              <w:right w:val="single" w:sz="8" w:color="E5E9ED"/>
            </w:tcBorders>
            <w:shd w:val="clear" w:color="auto" w:fill="E5E9ED"/>
          </w:tcPr>
          <w:p>
            <w:pPr>
              <w:spacing w:after="0"/>
              <w:rPr>
                <w:sz w:val="16"/>
                <w:szCs w:val="16"/>
                <w:color w:val="auto"/>
              </w:rPr>
            </w:pPr>
          </w:p>
        </w:tc>
        <w:tc>
          <w:tcPr>
            <w:tcW w:w="11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Summary</w:t>
            </w:r>
          </w:p>
        </w:tc>
        <w:tc>
          <w:tcPr>
            <w:tcW w:w="1200" w:type="dxa"/>
            <w:vAlign w:val="bottom"/>
            <w:tcBorders>
              <w:right w:val="single" w:sz="8" w:color="E5E9ED"/>
            </w:tcBorders>
            <w:shd w:val="clear" w:color="auto" w:fill="E5E9ED"/>
          </w:tcPr>
          <w:p>
            <w:pPr>
              <w:spacing w:after="0"/>
              <w:rPr>
                <w:sz w:val="16"/>
                <w:szCs w:val="16"/>
                <w:color w:val="auto"/>
              </w:rPr>
            </w:pP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8"/>
              </w:rPr>
              <w:t>Summary</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Compensation</w:t>
            </w:r>
          </w:p>
        </w:tc>
        <w:tc>
          <w:tcPr>
            <w:tcW w:w="1040" w:type="dxa"/>
            <w:vAlign w:val="bottom"/>
            <w:tcBorders>
              <w:right w:val="single" w:sz="8" w:color="E5E9ED"/>
            </w:tcBorders>
            <w:shd w:val="clear" w:color="auto" w:fill="E5E9ED"/>
          </w:tcPr>
          <w:p>
            <w:pPr>
              <w:spacing w:after="0"/>
              <w:rPr>
                <w:sz w:val="16"/>
                <w:szCs w:val="16"/>
                <w:color w:val="auto"/>
              </w:rPr>
            </w:pPr>
          </w:p>
        </w:tc>
        <w:tc>
          <w:tcPr>
            <w:tcW w:w="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Peer Group</w:t>
            </w:r>
          </w:p>
        </w:tc>
        <w:tc>
          <w:tcPr>
            <w:tcW w:w="1040" w:type="dxa"/>
            <w:vAlign w:val="bottom"/>
            <w:tcBorders>
              <w:right w:val="single" w:sz="8" w:color="E5E9ED"/>
            </w:tcBorders>
            <w:shd w:val="clear" w:color="auto" w:fill="E5E9ED"/>
          </w:tcPr>
          <w:p>
            <w:pPr>
              <w:spacing w:after="0"/>
              <w:rPr>
                <w:sz w:val="16"/>
                <w:szCs w:val="16"/>
                <w:color w:val="auto"/>
              </w:rPr>
            </w:pPr>
          </w:p>
        </w:tc>
        <w:tc>
          <w:tcPr>
            <w:tcW w:w="1040" w:type="dxa"/>
            <w:vAlign w:val="bottom"/>
            <w:shd w:val="clear" w:color="auto" w:fill="E5E9ED"/>
          </w:tcPr>
          <w:p>
            <w:pPr>
              <w:spacing w:after="0"/>
              <w:rPr>
                <w:sz w:val="16"/>
                <w:szCs w:val="16"/>
                <w:color w:val="auto"/>
              </w:rPr>
            </w:pPr>
          </w:p>
        </w:tc>
      </w:tr>
      <w:tr>
        <w:trPr>
          <w:trHeight w:val="192"/>
        </w:trPr>
        <w:tc>
          <w:tcPr>
            <w:tcW w:w="600" w:type="dxa"/>
            <w:vAlign w:val="bottom"/>
            <w:tcBorders>
              <w:right w:val="single" w:sz="8" w:color="E5E9ED"/>
            </w:tcBorders>
            <w:shd w:val="clear" w:color="auto" w:fill="E5E9ED"/>
          </w:tcPr>
          <w:p>
            <w:pPr>
              <w:spacing w:after="0"/>
              <w:rPr>
                <w:sz w:val="16"/>
                <w:szCs w:val="16"/>
                <w:color w:val="auto"/>
              </w:rPr>
            </w:pPr>
          </w:p>
        </w:tc>
        <w:tc>
          <w:tcPr>
            <w:tcW w:w="11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Compensation</w:t>
            </w:r>
          </w:p>
        </w:tc>
        <w:tc>
          <w:tcPr>
            <w:tcW w:w="12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Compensation</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Compensation</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Actually Paid to</w:t>
            </w:r>
          </w:p>
        </w:tc>
        <w:tc>
          <w:tcPr>
            <w:tcW w:w="10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0"/>
              </w:rPr>
              <w:t>Total</w:t>
            </w:r>
          </w:p>
        </w:tc>
        <w:tc>
          <w:tcPr>
            <w:tcW w:w="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Total</w:t>
            </w:r>
          </w:p>
        </w:tc>
        <w:tc>
          <w:tcPr>
            <w:tcW w:w="1040" w:type="dxa"/>
            <w:vAlign w:val="bottom"/>
            <w:tcBorders>
              <w:right w:val="single" w:sz="8" w:color="E5E9ED"/>
            </w:tcBorders>
            <w:shd w:val="clear" w:color="auto" w:fill="E5E9ED"/>
          </w:tcPr>
          <w:p>
            <w:pPr>
              <w:spacing w:after="0"/>
              <w:rPr>
                <w:sz w:val="16"/>
                <w:szCs w:val="16"/>
                <w:color w:val="auto"/>
              </w:rPr>
            </w:pPr>
          </w:p>
        </w:tc>
        <w:tc>
          <w:tcPr>
            <w:tcW w:w="1040" w:type="dxa"/>
            <w:vAlign w:val="bottom"/>
            <w:shd w:val="clear" w:color="auto" w:fill="E5E9ED"/>
          </w:tcPr>
          <w:p>
            <w:pPr>
              <w:spacing w:after="0"/>
              <w:rPr>
                <w:sz w:val="16"/>
                <w:szCs w:val="16"/>
                <w:color w:val="auto"/>
              </w:rPr>
            </w:pPr>
          </w:p>
        </w:tc>
      </w:tr>
      <w:tr>
        <w:trPr>
          <w:trHeight w:val="178"/>
        </w:trPr>
        <w:tc>
          <w:tcPr>
            <w:tcW w:w="600" w:type="dxa"/>
            <w:vAlign w:val="bottom"/>
            <w:tcBorders>
              <w:right w:val="single" w:sz="8" w:color="E5E9ED"/>
            </w:tcBorders>
            <w:shd w:val="clear" w:color="auto" w:fill="E5E9ED"/>
          </w:tcPr>
          <w:p>
            <w:pPr>
              <w:spacing w:after="0"/>
              <w:rPr>
                <w:sz w:val="15"/>
                <w:szCs w:val="15"/>
                <w:color w:val="auto"/>
              </w:rPr>
            </w:pPr>
          </w:p>
        </w:tc>
        <w:tc>
          <w:tcPr>
            <w:tcW w:w="112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6"/>
              </w:rPr>
              <w:t>Table Total for</w:t>
            </w:r>
          </w:p>
        </w:tc>
        <w:tc>
          <w:tcPr>
            <w:tcW w:w="12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Actually Paid</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6"/>
              </w:rPr>
              <w:t>Table Total for</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Non-CEO</w:t>
            </w:r>
          </w:p>
        </w:tc>
        <w:tc>
          <w:tcPr>
            <w:tcW w:w="10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9"/>
              </w:rPr>
              <w:t>Shareholder</w:t>
            </w:r>
          </w:p>
        </w:tc>
        <w:tc>
          <w:tcPr>
            <w:tcW w:w="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9"/>
              </w:rPr>
              <w:t>Shareholder</w:t>
            </w:r>
          </w:p>
        </w:tc>
        <w:tc>
          <w:tcPr>
            <w:tcW w:w="1040" w:type="dxa"/>
            <w:vAlign w:val="bottom"/>
            <w:tcBorders>
              <w:right w:val="single" w:sz="8" w:color="E5E9ED"/>
            </w:tcBorders>
            <w:shd w:val="clear" w:color="auto" w:fill="E5E9ED"/>
          </w:tcPr>
          <w:p>
            <w:pPr>
              <w:spacing w:after="0"/>
              <w:rPr>
                <w:sz w:val="15"/>
                <w:szCs w:val="15"/>
                <w:color w:val="auto"/>
              </w:rPr>
            </w:pPr>
          </w:p>
        </w:tc>
        <w:tc>
          <w:tcPr>
            <w:tcW w:w="10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w w:val="97"/>
              </w:rPr>
              <w:t>Adjusted</w:t>
            </w:r>
          </w:p>
        </w:tc>
      </w:tr>
      <w:tr>
        <w:trPr>
          <w:trHeight w:val="208"/>
        </w:trPr>
        <w:tc>
          <w:tcPr>
            <w:tcW w:w="600" w:type="dxa"/>
            <w:vAlign w:val="bottom"/>
            <w:tcBorders>
              <w:right w:val="single" w:sz="8" w:color="E5E9ED"/>
            </w:tcBorders>
            <w:shd w:val="clear" w:color="auto" w:fill="E5E9ED"/>
          </w:tcPr>
          <w:p>
            <w:pPr>
              <w:spacing w:after="0"/>
              <w:rPr>
                <w:sz w:val="18"/>
                <w:szCs w:val="18"/>
                <w:color w:val="auto"/>
              </w:rPr>
            </w:pPr>
          </w:p>
        </w:tc>
        <w:tc>
          <w:tcPr>
            <w:tcW w:w="112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23"/>
                <w:szCs w:val="23"/>
                <w:b w:val="1"/>
                <w:bCs w:val="1"/>
                <w:color w:val="auto"/>
                <w:w w:val="81"/>
                <w:vertAlign w:val="subscript"/>
              </w:rPr>
              <w:t>CEO</w:t>
            </w:r>
            <w:r>
              <w:rPr>
                <w:rFonts w:ascii="Arial" w:cs="Arial" w:eastAsia="Arial" w:hAnsi="Arial"/>
                <w:sz w:val="9"/>
                <w:szCs w:val="9"/>
                <w:b w:val="1"/>
                <w:bCs w:val="1"/>
                <w:color w:val="auto"/>
                <w:w w:val="81"/>
              </w:rPr>
              <w:t>(1)</w:t>
            </w:r>
          </w:p>
        </w:tc>
        <w:tc>
          <w:tcPr>
            <w:tcW w:w="12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1"/>
              </w:rPr>
              <w:t>(CAP) to CEO</w:t>
            </w:r>
            <w:r>
              <w:rPr>
                <w:rFonts w:ascii="Arial" w:cs="Arial" w:eastAsia="Arial" w:hAnsi="Arial"/>
                <w:sz w:val="17"/>
                <w:szCs w:val="17"/>
                <w:b w:val="1"/>
                <w:bCs w:val="1"/>
                <w:color w:val="auto"/>
                <w:w w:val="91"/>
                <w:vertAlign w:val="superscript"/>
              </w:rPr>
              <w:t>(1)(2)</w:t>
            </w:r>
          </w:p>
        </w:tc>
        <w:tc>
          <w:tcPr>
            <w:tcW w:w="11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6"/>
              </w:rPr>
              <w:t>Non-CEO NEOs</w:t>
            </w:r>
            <w:r>
              <w:rPr>
                <w:rFonts w:ascii="Arial" w:cs="Arial" w:eastAsia="Arial" w:hAnsi="Arial"/>
                <w:sz w:val="17"/>
                <w:szCs w:val="17"/>
                <w:b w:val="1"/>
                <w:bCs w:val="1"/>
                <w:color w:val="auto"/>
                <w:w w:val="96"/>
                <w:vertAlign w:val="superscript"/>
              </w:rPr>
              <w:t>(3)</w:t>
            </w:r>
          </w:p>
        </w:tc>
        <w:tc>
          <w:tcPr>
            <w:tcW w:w="1140" w:type="dxa"/>
            <w:vAlign w:val="bottom"/>
            <w:tcBorders>
              <w:right w:val="single" w:sz="8" w:color="E5E9ED"/>
            </w:tcBorders>
            <w:shd w:val="clear" w:color="auto" w:fill="E5E9ED"/>
          </w:tcPr>
          <w:p>
            <w:pPr>
              <w:jc w:val="center"/>
              <w:spacing w:after="0" w:line="208" w:lineRule="exact"/>
              <w:rPr>
                <w:sz w:val="20"/>
                <w:szCs w:val="20"/>
                <w:color w:val="auto"/>
              </w:rPr>
            </w:pPr>
            <w:r>
              <w:rPr>
                <w:rFonts w:ascii="Arial" w:cs="Arial" w:eastAsia="Arial" w:hAnsi="Arial"/>
                <w:sz w:val="23"/>
                <w:szCs w:val="23"/>
                <w:b w:val="1"/>
                <w:bCs w:val="1"/>
                <w:color w:val="auto"/>
                <w:w w:val="81"/>
                <w:vertAlign w:val="subscript"/>
              </w:rPr>
              <w:t>NEOs</w:t>
            </w:r>
            <w:r>
              <w:rPr>
                <w:rFonts w:ascii="Arial" w:cs="Arial" w:eastAsia="Arial" w:hAnsi="Arial"/>
                <w:sz w:val="9"/>
                <w:szCs w:val="9"/>
                <w:b w:val="1"/>
                <w:bCs w:val="1"/>
                <w:color w:val="auto"/>
                <w:w w:val="81"/>
              </w:rPr>
              <w:t>(2)(3)</w:t>
            </w:r>
          </w:p>
        </w:tc>
        <w:tc>
          <w:tcPr>
            <w:tcW w:w="104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Return (TSR)</w:t>
            </w:r>
            <w:r>
              <w:rPr>
                <w:rFonts w:ascii="Arial" w:cs="Arial" w:eastAsia="Arial" w:hAnsi="Arial"/>
                <w:sz w:val="17"/>
                <w:szCs w:val="17"/>
                <w:b w:val="1"/>
                <w:bCs w:val="1"/>
                <w:color w:val="auto"/>
                <w:w w:val="95"/>
                <w:vertAlign w:val="superscript"/>
              </w:rPr>
              <w:t>(4)</w:t>
            </w:r>
          </w:p>
        </w:tc>
        <w:tc>
          <w:tcPr>
            <w:tcW w:w="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Return</w:t>
            </w:r>
            <w:r>
              <w:rPr>
                <w:rFonts w:ascii="Arial" w:cs="Arial" w:eastAsia="Arial" w:hAnsi="Arial"/>
                <w:sz w:val="17"/>
                <w:szCs w:val="17"/>
                <w:b w:val="1"/>
                <w:bCs w:val="1"/>
                <w:color w:val="auto"/>
                <w:w w:val="95"/>
                <w:vertAlign w:val="superscript"/>
              </w:rPr>
              <w:t>(5)</w:t>
            </w:r>
          </w:p>
        </w:tc>
        <w:tc>
          <w:tcPr>
            <w:tcW w:w="1040" w:type="dxa"/>
            <w:vAlign w:val="bottom"/>
            <w:tcBorders>
              <w:right w:val="single" w:sz="8" w:color="E5E9ED"/>
            </w:tcBorders>
            <w:shd w:val="clear" w:color="auto" w:fill="E5E9ED"/>
          </w:tcPr>
          <w:p>
            <w:pPr>
              <w:jc w:val="right"/>
              <w:ind w:right="95"/>
              <w:spacing w:after="0"/>
              <w:rPr>
                <w:sz w:val="20"/>
                <w:szCs w:val="20"/>
                <w:color w:val="auto"/>
              </w:rPr>
            </w:pPr>
            <w:r>
              <w:rPr>
                <w:rFonts w:ascii="Arial" w:cs="Arial" w:eastAsia="Arial" w:hAnsi="Arial"/>
                <w:sz w:val="12"/>
                <w:szCs w:val="12"/>
                <w:b w:val="1"/>
                <w:bCs w:val="1"/>
                <w:color w:val="auto"/>
              </w:rPr>
              <w:t>Net Income</w:t>
            </w:r>
            <w:r>
              <w:rPr>
                <w:rFonts w:ascii="Arial" w:cs="Arial" w:eastAsia="Arial" w:hAnsi="Arial"/>
                <w:sz w:val="17"/>
                <w:szCs w:val="17"/>
                <w:b w:val="1"/>
                <w:bCs w:val="1"/>
                <w:color w:val="auto"/>
                <w:vertAlign w:val="superscript"/>
              </w:rPr>
              <w:t>(6)</w:t>
            </w:r>
          </w:p>
        </w:tc>
        <w:tc>
          <w:tcPr>
            <w:tcW w:w="1040" w:type="dxa"/>
            <w:vAlign w:val="bottom"/>
            <w:shd w:val="clear" w:color="auto" w:fill="E5E9ED"/>
          </w:tcPr>
          <w:p>
            <w:pPr>
              <w:jc w:val="center"/>
              <w:spacing w:after="0"/>
              <w:rPr>
                <w:sz w:val="20"/>
                <w:szCs w:val="20"/>
                <w:color w:val="auto"/>
              </w:rPr>
            </w:pPr>
            <w:r>
              <w:rPr>
                <w:rFonts w:ascii="Arial" w:cs="Arial" w:eastAsia="Arial" w:hAnsi="Arial"/>
                <w:sz w:val="12"/>
                <w:szCs w:val="12"/>
                <w:b w:val="1"/>
                <w:bCs w:val="1"/>
                <w:color w:val="auto"/>
                <w:w w:val="92"/>
              </w:rPr>
              <w:t>EBITDA</w:t>
            </w:r>
            <w:r>
              <w:rPr>
                <w:rFonts w:ascii="Arial" w:cs="Arial" w:eastAsia="Arial" w:hAnsi="Arial"/>
                <w:sz w:val="17"/>
                <w:szCs w:val="17"/>
                <w:b w:val="1"/>
                <w:bCs w:val="1"/>
                <w:color w:val="auto"/>
                <w:w w:val="92"/>
                <w:vertAlign w:val="superscript"/>
              </w:rPr>
              <w:t>(7)</w:t>
            </w:r>
          </w:p>
        </w:tc>
      </w:tr>
      <w:tr>
        <w:trPr>
          <w:trHeight w:val="215"/>
        </w:trPr>
        <w:tc>
          <w:tcPr>
            <w:tcW w:w="60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2"/>
                <w:szCs w:val="12"/>
                <w:b w:val="1"/>
                <w:bCs w:val="1"/>
                <w:color w:val="auto"/>
              </w:rPr>
              <w:t>Year</w:t>
            </w:r>
          </w:p>
        </w:tc>
        <w:tc>
          <w:tcPr>
            <w:tcW w:w="112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120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98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c>
          <w:tcPr>
            <w:tcW w:w="1040" w:type="dxa"/>
            <w:vAlign w:val="bottom"/>
            <w:tcBorders>
              <w:bottom w:val="single" w:sz="8" w:color="E5E9ED"/>
              <w:right w:val="single" w:sz="8" w:color="E5E9ED"/>
            </w:tcBorders>
            <w:shd w:val="clear" w:color="auto" w:fill="E5E9ED"/>
          </w:tcPr>
          <w:p>
            <w:pPr>
              <w:jc w:val="right"/>
              <w:ind w:right="395"/>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241"/>
        </w:trPr>
        <w:tc>
          <w:tcPr>
            <w:tcW w:w="60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2024</w:t>
            </w:r>
          </w:p>
        </w:tc>
        <w:tc>
          <w:tcPr>
            <w:tcW w:w="1120" w:type="dxa"/>
            <w:vAlign w:val="bottom"/>
            <w:tcBorders>
              <w:top w:val="single" w:sz="8" w:color="EBF7FC"/>
              <w:right w:val="single" w:sz="8" w:color="EBF7FC"/>
            </w:tcBorders>
          </w:tcPr>
          <w:p>
            <w:pPr>
              <w:jc w:val="right"/>
              <w:ind w:right="158"/>
              <w:spacing w:after="0"/>
              <w:rPr>
                <w:sz w:val="20"/>
                <w:szCs w:val="20"/>
                <w:color w:val="auto"/>
              </w:rPr>
            </w:pPr>
            <w:r>
              <w:rPr>
                <w:rFonts w:ascii="Arial" w:cs="Arial" w:eastAsia="Arial" w:hAnsi="Arial"/>
                <w:sz w:val="14"/>
                <w:szCs w:val="14"/>
                <w:color w:val="auto"/>
              </w:rPr>
              <w:t>2,498,908</w:t>
            </w:r>
          </w:p>
        </w:tc>
        <w:tc>
          <w:tcPr>
            <w:tcW w:w="1200" w:type="dxa"/>
            <w:vAlign w:val="bottom"/>
            <w:tcBorders>
              <w:top w:val="single" w:sz="8" w:color="EBF7FC"/>
              <w:right w:val="single" w:sz="8" w:color="EBF7FC"/>
            </w:tcBorders>
          </w:tcPr>
          <w:p>
            <w:pPr>
              <w:jc w:val="right"/>
              <w:ind w:right="156"/>
              <w:spacing w:after="0"/>
              <w:rPr>
                <w:sz w:val="20"/>
                <w:szCs w:val="20"/>
                <w:color w:val="auto"/>
              </w:rPr>
            </w:pPr>
            <w:r>
              <w:rPr>
                <w:rFonts w:ascii="Arial" w:cs="Arial" w:eastAsia="Arial" w:hAnsi="Arial"/>
                <w:sz w:val="14"/>
                <w:szCs w:val="14"/>
                <w:color w:val="auto"/>
              </w:rPr>
              <w:t>4,323,665</w:t>
            </w:r>
          </w:p>
        </w:tc>
        <w:tc>
          <w:tcPr>
            <w:tcW w:w="1140" w:type="dxa"/>
            <w:vAlign w:val="bottom"/>
            <w:tcBorders>
              <w:top w:val="single" w:sz="8" w:color="EBF7FC"/>
              <w:right w:val="single" w:sz="8" w:color="EBF7FC"/>
            </w:tcBorders>
          </w:tcPr>
          <w:p>
            <w:pPr>
              <w:jc w:val="right"/>
              <w:ind w:right="137"/>
              <w:spacing w:after="0"/>
              <w:rPr>
                <w:sz w:val="20"/>
                <w:szCs w:val="20"/>
                <w:color w:val="auto"/>
              </w:rPr>
            </w:pPr>
            <w:r>
              <w:rPr>
                <w:rFonts w:ascii="Arial" w:cs="Arial" w:eastAsia="Arial" w:hAnsi="Arial"/>
                <w:sz w:val="14"/>
                <w:szCs w:val="14"/>
                <w:color w:val="auto"/>
              </w:rPr>
              <w:t>1,482,822</w:t>
            </w:r>
          </w:p>
        </w:tc>
        <w:tc>
          <w:tcPr>
            <w:tcW w:w="1140" w:type="dxa"/>
            <w:vAlign w:val="bottom"/>
            <w:tcBorders>
              <w:top w:val="single" w:sz="8" w:color="EBF7FC"/>
              <w:right w:val="single" w:sz="8" w:color="EBF7FC"/>
            </w:tcBorders>
          </w:tcPr>
          <w:p>
            <w:pPr>
              <w:jc w:val="right"/>
              <w:ind w:right="159"/>
              <w:spacing w:after="0"/>
              <w:rPr>
                <w:sz w:val="20"/>
                <w:szCs w:val="20"/>
                <w:color w:val="auto"/>
              </w:rPr>
            </w:pPr>
            <w:r>
              <w:rPr>
                <w:rFonts w:ascii="Arial" w:cs="Arial" w:eastAsia="Arial" w:hAnsi="Arial"/>
                <w:sz w:val="14"/>
                <w:szCs w:val="14"/>
                <w:color w:val="auto"/>
              </w:rPr>
              <w:t>2,520,733</w:t>
            </w:r>
          </w:p>
        </w:tc>
        <w:tc>
          <w:tcPr>
            <w:tcW w:w="1040" w:type="dxa"/>
            <w:vAlign w:val="bottom"/>
            <w:tcBorders>
              <w:top w:val="single" w:sz="8" w:color="EBF7FC"/>
              <w:right w:val="single" w:sz="8" w:color="EBF7FC"/>
            </w:tcBorders>
          </w:tcPr>
          <w:p>
            <w:pPr>
              <w:jc w:val="right"/>
              <w:ind w:right="276"/>
              <w:spacing w:after="0"/>
              <w:rPr>
                <w:sz w:val="20"/>
                <w:szCs w:val="20"/>
                <w:color w:val="auto"/>
              </w:rPr>
            </w:pPr>
            <w:r>
              <w:rPr>
                <w:rFonts w:ascii="Arial" w:cs="Arial" w:eastAsia="Arial" w:hAnsi="Arial"/>
                <w:sz w:val="14"/>
                <w:szCs w:val="14"/>
                <w:color w:val="auto"/>
              </w:rPr>
              <w:t>200</w:t>
            </w:r>
          </w:p>
        </w:tc>
        <w:tc>
          <w:tcPr>
            <w:tcW w:w="980" w:type="dxa"/>
            <w:vAlign w:val="bottom"/>
            <w:tcBorders>
              <w:top w:val="single" w:sz="8" w:color="EBF7FC"/>
              <w:right w:val="single" w:sz="8" w:color="EBF7FC"/>
            </w:tcBorders>
          </w:tcPr>
          <w:p>
            <w:pPr>
              <w:jc w:val="center"/>
              <w:spacing w:after="0"/>
              <w:rPr>
                <w:sz w:val="20"/>
                <w:szCs w:val="20"/>
                <w:color w:val="auto"/>
              </w:rPr>
            </w:pPr>
            <w:r>
              <w:rPr>
                <w:rFonts w:ascii="Arial" w:cs="Arial" w:eastAsia="Arial" w:hAnsi="Arial"/>
                <w:sz w:val="14"/>
                <w:szCs w:val="14"/>
                <w:color w:val="auto"/>
              </w:rPr>
              <w:t>124</w:t>
            </w:r>
          </w:p>
        </w:tc>
        <w:tc>
          <w:tcPr>
            <w:tcW w:w="1040" w:type="dxa"/>
            <w:vAlign w:val="bottom"/>
            <w:tcBorders>
              <w:top w:val="single" w:sz="8" w:color="EBF7FC"/>
              <w:right w:val="single" w:sz="8" w:color="EBF7FC"/>
            </w:tcBorders>
          </w:tcPr>
          <w:p>
            <w:pPr>
              <w:jc w:val="right"/>
              <w:ind w:right="95"/>
              <w:spacing w:after="0"/>
              <w:rPr>
                <w:sz w:val="20"/>
                <w:szCs w:val="20"/>
                <w:color w:val="auto"/>
              </w:rPr>
            </w:pPr>
            <w:r>
              <w:rPr>
                <w:rFonts w:ascii="Arial" w:cs="Arial" w:eastAsia="Arial" w:hAnsi="Arial"/>
                <w:sz w:val="14"/>
                <w:szCs w:val="14"/>
                <w:color w:val="auto"/>
              </w:rPr>
              <w:t>7,174,000</w:t>
            </w:r>
          </w:p>
        </w:tc>
        <w:tc>
          <w:tcPr>
            <w:tcW w:w="1040" w:type="dxa"/>
            <w:vAlign w:val="bottom"/>
            <w:tcBorders>
              <w:top w:val="single" w:sz="8" w:color="EBF7FC"/>
            </w:tcBorders>
          </w:tcPr>
          <w:p>
            <w:pPr>
              <w:jc w:val="right"/>
              <w:ind w:right="95"/>
              <w:spacing w:after="0"/>
              <w:rPr>
                <w:sz w:val="20"/>
                <w:szCs w:val="20"/>
                <w:color w:val="auto"/>
              </w:rPr>
            </w:pPr>
            <w:r>
              <w:rPr>
                <w:rFonts w:ascii="Arial" w:cs="Arial" w:eastAsia="Arial" w:hAnsi="Arial"/>
                <w:sz w:val="14"/>
                <w:szCs w:val="14"/>
                <w:color w:val="auto"/>
              </w:rPr>
              <w:t>26,718,000</w:t>
            </w:r>
          </w:p>
        </w:tc>
      </w:tr>
      <w:tr>
        <w:trPr>
          <w:trHeight w:val="58"/>
        </w:trPr>
        <w:tc>
          <w:tcPr>
            <w:tcW w:w="60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200" w:type="dxa"/>
            <w:vAlign w:val="bottom"/>
            <w:tcBorders>
              <w:bottom w:val="single" w:sz="8" w:color="EBF7FC"/>
              <w:right w:val="single" w:sz="8" w:color="EBF7FC"/>
            </w:tcBorders>
          </w:tcPr>
          <w:p>
            <w:pPr>
              <w:spacing w:after="0"/>
              <w:rPr>
                <w:sz w:val="5"/>
                <w:szCs w:val="5"/>
                <w:color w:val="auto"/>
              </w:rPr>
            </w:pPr>
          </w:p>
        </w:tc>
        <w:tc>
          <w:tcPr>
            <w:tcW w:w="1140" w:type="dxa"/>
            <w:vAlign w:val="bottom"/>
            <w:tcBorders>
              <w:bottom w:val="single" w:sz="8" w:color="EBF7FC"/>
              <w:right w:val="single" w:sz="8" w:color="EBF7FC"/>
            </w:tcBorders>
          </w:tcPr>
          <w:p>
            <w:pPr>
              <w:spacing w:after="0"/>
              <w:rPr>
                <w:sz w:val="5"/>
                <w:szCs w:val="5"/>
                <w:color w:val="auto"/>
              </w:rPr>
            </w:pPr>
          </w:p>
        </w:tc>
        <w:tc>
          <w:tcPr>
            <w:tcW w:w="1140" w:type="dxa"/>
            <w:vAlign w:val="bottom"/>
            <w:tcBorders>
              <w:bottom w:val="single" w:sz="8" w:color="EBF7FC"/>
              <w:right w:val="single" w:sz="8" w:color="EBF7FC"/>
            </w:tcBorders>
          </w:tcPr>
          <w:p>
            <w:pPr>
              <w:spacing w:after="0"/>
              <w:rPr>
                <w:sz w:val="5"/>
                <w:szCs w:val="5"/>
                <w:color w:val="auto"/>
              </w:rPr>
            </w:pPr>
          </w:p>
        </w:tc>
        <w:tc>
          <w:tcPr>
            <w:tcW w:w="1040" w:type="dxa"/>
            <w:vAlign w:val="bottom"/>
            <w:tcBorders>
              <w:bottom w:val="single" w:sz="8" w:color="EBF7FC"/>
              <w:right w:val="single" w:sz="8" w:color="EBF7FC"/>
            </w:tcBorders>
          </w:tcPr>
          <w:p>
            <w:pPr>
              <w:spacing w:after="0"/>
              <w:rPr>
                <w:sz w:val="5"/>
                <w:szCs w:val="5"/>
                <w:color w:val="auto"/>
              </w:rPr>
            </w:pPr>
          </w:p>
        </w:tc>
        <w:tc>
          <w:tcPr>
            <w:tcW w:w="980" w:type="dxa"/>
            <w:vAlign w:val="bottom"/>
            <w:tcBorders>
              <w:bottom w:val="single" w:sz="8" w:color="EBF7FC"/>
              <w:right w:val="single" w:sz="8" w:color="EBF7FC"/>
            </w:tcBorders>
          </w:tcPr>
          <w:p>
            <w:pPr>
              <w:spacing w:after="0"/>
              <w:rPr>
                <w:sz w:val="5"/>
                <w:szCs w:val="5"/>
                <w:color w:val="auto"/>
              </w:rPr>
            </w:pPr>
          </w:p>
        </w:tc>
        <w:tc>
          <w:tcPr>
            <w:tcW w:w="1040" w:type="dxa"/>
            <w:vAlign w:val="bottom"/>
            <w:tcBorders>
              <w:bottom w:val="single" w:sz="8" w:color="EBF7FC"/>
              <w:right w:val="single" w:sz="8" w:color="EBF7FC"/>
            </w:tcBorders>
          </w:tcPr>
          <w:p>
            <w:pPr>
              <w:spacing w:after="0"/>
              <w:rPr>
                <w:sz w:val="5"/>
                <w:szCs w:val="5"/>
                <w:color w:val="auto"/>
              </w:rPr>
            </w:pPr>
          </w:p>
        </w:tc>
        <w:tc>
          <w:tcPr>
            <w:tcW w:w="1040" w:type="dxa"/>
            <w:vAlign w:val="bottom"/>
            <w:tcBorders>
              <w:bottom w:val="single" w:sz="8" w:color="EBF7FC"/>
            </w:tcBorders>
          </w:tcPr>
          <w:p>
            <w:pPr>
              <w:spacing w:after="0"/>
              <w:rPr>
                <w:sz w:val="5"/>
                <w:szCs w:val="5"/>
                <w:color w:val="auto"/>
              </w:rPr>
            </w:pPr>
          </w:p>
        </w:tc>
      </w:tr>
      <w:tr>
        <w:trPr>
          <w:trHeight w:val="305"/>
        </w:trPr>
        <w:tc>
          <w:tcPr>
            <w:tcW w:w="60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2023</w:t>
            </w:r>
          </w:p>
        </w:tc>
        <w:tc>
          <w:tcPr>
            <w:tcW w:w="1120" w:type="dxa"/>
            <w:vAlign w:val="bottom"/>
            <w:tcBorders>
              <w:bottom w:val="single" w:sz="8" w:color="F3F9FD"/>
              <w:right w:val="single" w:sz="8" w:color="EBF7FC"/>
            </w:tcBorders>
            <w:shd w:val="clear" w:color="auto" w:fill="F3F9FD"/>
          </w:tcPr>
          <w:p>
            <w:pPr>
              <w:jc w:val="right"/>
              <w:ind w:right="158"/>
              <w:spacing w:after="0"/>
              <w:rPr>
                <w:sz w:val="20"/>
                <w:szCs w:val="20"/>
                <w:color w:val="auto"/>
              </w:rPr>
            </w:pPr>
            <w:r>
              <w:rPr>
                <w:rFonts w:ascii="Arial" w:cs="Arial" w:eastAsia="Arial" w:hAnsi="Arial"/>
                <w:sz w:val="14"/>
                <w:szCs w:val="14"/>
                <w:color w:val="auto"/>
              </w:rPr>
              <w:t>3,653,352</w:t>
            </w:r>
          </w:p>
        </w:tc>
        <w:tc>
          <w:tcPr>
            <w:tcW w:w="1200" w:type="dxa"/>
            <w:vAlign w:val="bottom"/>
            <w:tcBorders>
              <w:bottom w:val="single" w:sz="8" w:color="F3F9FD"/>
              <w:right w:val="single" w:sz="8" w:color="EBF7FC"/>
            </w:tcBorders>
            <w:shd w:val="clear" w:color="auto" w:fill="F3F9FD"/>
          </w:tcPr>
          <w:p>
            <w:pPr>
              <w:jc w:val="right"/>
              <w:ind w:right="156"/>
              <w:spacing w:after="0"/>
              <w:rPr>
                <w:sz w:val="20"/>
                <w:szCs w:val="20"/>
                <w:color w:val="auto"/>
              </w:rPr>
            </w:pPr>
            <w:r>
              <w:rPr>
                <w:rFonts w:ascii="Arial" w:cs="Arial" w:eastAsia="Arial" w:hAnsi="Arial"/>
                <w:sz w:val="14"/>
                <w:szCs w:val="14"/>
                <w:color w:val="auto"/>
              </w:rPr>
              <w:t>3,710,212</w:t>
            </w:r>
          </w:p>
        </w:tc>
        <w:tc>
          <w:tcPr>
            <w:tcW w:w="1140" w:type="dxa"/>
            <w:vAlign w:val="bottom"/>
            <w:tcBorders>
              <w:bottom w:val="single" w:sz="8" w:color="F3F9FD"/>
              <w:right w:val="single" w:sz="8" w:color="EBF7FC"/>
            </w:tcBorders>
            <w:shd w:val="clear" w:color="auto" w:fill="F3F9FD"/>
          </w:tcPr>
          <w:p>
            <w:pPr>
              <w:jc w:val="right"/>
              <w:ind w:right="137"/>
              <w:spacing w:after="0"/>
              <w:rPr>
                <w:sz w:val="20"/>
                <w:szCs w:val="20"/>
                <w:color w:val="auto"/>
              </w:rPr>
            </w:pPr>
            <w:r>
              <w:rPr>
                <w:rFonts w:ascii="Arial" w:cs="Arial" w:eastAsia="Arial" w:hAnsi="Arial"/>
                <w:sz w:val="14"/>
                <w:szCs w:val="14"/>
                <w:color w:val="auto"/>
              </w:rPr>
              <w:t>2,160,670</w:t>
            </w:r>
          </w:p>
        </w:tc>
        <w:tc>
          <w:tcPr>
            <w:tcW w:w="1140" w:type="dxa"/>
            <w:vAlign w:val="bottom"/>
            <w:tcBorders>
              <w:bottom w:val="single" w:sz="8" w:color="F3F9FD"/>
              <w:right w:val="single" w:sz="8" w:color="EBF7FC"/>
            </w:tcBorders>
            <w:shd w:val="clear" w:color="auto" w:fill="F3F9FD"/>
          </w:tcPr>
          <w:p>
            <w:pPr>
              <w:jc w:val="right"/>
              <w:ind w:right="159"/>
              <w:spacing w:after="0"/>
              <w:rPr>
                <w:sz w:val="20"/>
                <w:szCs w:val="20"/>
                <w:color w:val="auto"/>
              </w:rPr>
            </w:pPr>
            <w:r>
              <w:rPr>
                <w:rFonts w:ascii="Arial" w:cs="Arial" w:eastAsia="Arial" w:hAnsi="Arial"/>
                <w:sz w:val="14"/>
                <w:szCs w:val="14"/>
                <w:color w:val="auto"/>
              </w:rPr>
              <w:t>2,278,244</w:t>
            </w:r>
          </w:p>
        </w:tc>
        <w:tc>
          <w:tcPr>
            <w:tcW w:w="1040" w:type="dxa"/>
            <w:vAlign w:val="bottom"/>
            <w:tcBorders>
              <w:bottom w:val="single" w:sz="8" w:color="F3F9FD"/>
              <w:right w:val="single" w:sz="8" w:color="EBF7FC"/>
            </w:tcBorders>
            <w:shd w:val="clear" w:color="auto" w:fill="F3F9FD"/>
          </w:tcPr>
          <w:p>
            <w:pPr>
              <w:jc w:val="right"/>
              <w:ind w:right="276"/>
              <w:spacing w:after="0"/>
              <w:rPr>
                <w:sz w:val="20"/>
                <w:szCs w:val="20"/>
                <w:color w:val="auto"/>
              </w:rPr>
            </w:pPr>
            <w:r>
              <w:rPr>
                <w:rFonts w:ascii="Arial" w:cs="Arial" w:eastAsia="Arial" w:hAnsi="Arial"/>
                <w:sz w:val="14"/>
                <w:szCs w:val="14"/>
                <w:color w:val="auto"/>
              </w:rPr>
              <w:t>110</w:t>
            </w:r>
          </w:p>
        </w:tc>
        <w:tc>
          <w:tcPr>
            <w:tcW w:w="980" w:type="dxa"/>
            <w:vAlign w:val="bottom"/>
            <w:tcBorders>
              <w:bottom w:val="single" w:sz="8" w:color="F3F9FD"/>
              <w:right w:val="single" w:sz="8" w:color="EBF7FC"/>
            </w:tcBorders>
            <w:shd w:val="clear" w:color="auto" w:fill="F3F9FD"/>
          </w:tcPr>
          <w:p>
            <w:pPr>
              <w:jc w:val="center"/>
              <w:spacing w:after="0"/>
              <w:rPr>
                <w:sz w:val="20"/>
                <w:szCs w:val="20"/>
                <w:color w:val="auto"/>
              </w:rPr>
            </w:pPr>
            <w:r>
              <w:rPr>
                <w:rFonts w:ascii="Arial" w:cs="Arial" w:eastAsia="Arial" w:hAnsi="Arial"/>
                <w:sz w:val="14"/>
                <w:szCs w:val="14"/>
                <w:color w:val="auto"/>
                <w:w w:val="85"/>
              </w:rPr>
              <w:t>116</w:t>
            </w:r>
          </w:p>
        </w:tc>
        <w:tc>
          <w:tcPr>
            <w:tcW w:w="1040" w:type="dxa"/>
            <w:vAlign w:val="bottom"/>
            <w:tcBorders>
              <w:bottom w:val="single" w:sz="8" w:color="F3F9FD"/>
              <w:right w:val="single" w:sz="8" w:color="EBF7FC"/>
            </w:tcBorders>
            <w:shd w:val="clear" w:color="auto" w:fill="F3F9FD"/>
          </w:tcPr>
          <w:p>
            <w:pPr>
              <w:jc w:val="right"/>
              <w:ind w:right="95"/>
              <w:spacing w:after="0"/>
              <w:rPr>
                <w:sz w:val="20"/>
                <w:szCs w:val="20"/>
                <w:color w:val="auto"/>
              </w:rPr>
            </w:pPr>
            <w:r>
              <w:rPr>
                <w:rFonts w:ascii="Arial" w:cs="Arial" w:eastAsia="Arial" w:hAnsi="Arial"/>
                <w:sz w:val="14"/>
                <w:szCs w:val="14"/>
                <w:color w:val="auto"/>
              </w:rPr>
              <w:t>9,117,000</w:t>
            </w:r>
          </w:p>
        </w:tc>
        <w:tc>
          <w:tcPr>
            <w:tcW w:w="1040" w:type="dxa"/>
            <w:vAlign w:val="bottom"/>
            <w:tcBorders>
              <w:bottom w:val="single" w:sz="8" w:color="F3F9FD"/>
            </w:tcBorders>
            <w:shd w:val="clear" w:color="auto" w:fill="F3F9FD"/>
          </w:tcPr>
          <w:p>
            <w:pPr>
              <w:jc w:val="right"/>
              <w:ind w:right="55"/>
              <w:spacing w:after="0"/>
              <w:rPr>
                <w:sz w:val="20"/>
                <w:szCs w:val="20"/>
                <w:color w:val="auto"/>
              </w:rPr>
            </w:pPr>
            <w:r>
              <w:rPr>
                <w:rFonts w:ascii="Arial" w:cs="Arial" w:eastAsia="Arial" w:hAnsi="Arial"/>
                <w:sz w:val="14"/>
                <w:szCs w:val="14"/>
                <w:color w:val="auto"/>
              </w:rPr>
              <w:t>(224,000)</w:t>
            </w:r>
          </w:p>
        </w:tc>
      </w:tr>
      <w:tr>
        <w:trPr>
          <w:trHeight w:val="241"/>
        </w:trPr>
        <w:tc>
          <w:tcPr>
            <w:tcW w:w="60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2022</w:t>
            </w:r>
          </w:p>
        </w:tc>
        <w:tc>
          <w:tcPr>
            <w:tcW w:w="1120" w:type="dxa"/>
            <w:vAlign w:val="bottom"/>
            <w:tcBorders>
              <w:top w:val="single" w:sz="8" w:color="EBF7FC"/>
              <w:right w:val="single" w:sz="8" w:color="EBF7FC"/>
            </w:tcBorders>
          </w:tcPr>
          <w:p>
            <w:pPr>
              <w:jc w:val="right"/>
              <w:ind w:right="158"/>
              <w:spacing w:after="0"/>
              <w:rPr>
                <w:sz w:val="20"/>
                <w:szCs w:val="20"/>
                <w:color w:val="auto"/>
              </w:rPr>
            </w:pPr>
            <w:r>
              <w:rPr>
                <w:rFonts w:ascii="Arial" w:cs="Arial" w:eastAsia="Arial" w:hAnsi="Arial"/>
                <w:sz w:val="14"/>
                <w:szCs w:val="14"/>
                <w:color w:val="auto"/>
              </w:rPr>
              <w:t>2,001,234</w:t>
            </w:r>
          </w:p>
        </w:tc>
        <w:tc>
          <w:tcPr>
            <w:tcW w:w="1200" w:type="dxa"/>
            <w:vAlign w:val="bottom"/>
            <w:tcBorders>
              <w:top w:val="single" w:sz="8" w:color="EBF7FC"/>
              <w:right w:val="single" w:sz="8" w:color="EBF7FC"/>
            </w:tcBorders>
          </w:tcPr>
          <w:p>
            <w:pPr>
              <w:jc w:val="right"/>
              <w:ind w:right="156"/>
              <w:spacing w:after="0"/>
              <w:rPr>
                <w:sz w:val="20"/>
                <w:szCs w:val="20"/>
                <w:color w:val="auto"/>
              </w:rPr>
            </w:pPr>
            <w:r>
              <w:rPr>
                <w:rFonts w:ascii="Arial" w:cs="Arial" w:eastAsia="Arial" w:hAnsi="Arial"/>
                <w:sz w:val="14"/>
                <w:szCs w:val="14"/>
                <w:color w:val="auto"/>
              </w:rPr>
              <w:t>1,331,988</w:t>
            </w:r>
          </w:p>
        </w:tc>
        <w:tc>
          <w:tcPr>
            <w:tcW w:w="1140" w:type="dxa"/>
            <w:vAlign w:val="bottom"/>
            <w:tcBorders>
              <w:top w:val="single" w:sz="8" w:color="EBF7FC"/>
              <w:right w:val="single" w:sz="8" w:color="EBF7FC"/>
            </w:tcBorders>
          </w:tcPr>
          <w:p>
            <w:pPr>
              <w:jc w:val="right"/>
              <w:ind w:right="137"/>
              <w:spacing w:after="0"/>
              <w:rPr>
                <w:sz w:val="20"/>
                <w:szCs w:val="20"/>
                <w:color w:val="auto"/>
              </w:rPr>
            </w:pPr>
            <w:r>
              <w:rPr>
                <w:rFonts w:ascii="Arial" w:cs="Arial" w:eastAsia="Arial" w:hAnsi="Arial"/>
                <w:sz w:val="14"/>
                <w:szCs w:val="14"/>
                <w:color w:val="auto"/>
              </w:rPr>
              <w:t>866,917</w:t>
            </w:r>
          </w:p>
        </w:tc>
        <w:tc>
          <w:tcPr>
            <w:tcW w:w="1140" w:type="dxa"/>
            <w:vAlign w:val="bottom"/>
            <w:tcBorders>
              <w:top w:val="single" w:sz="8" w:color="EBF7FC"/>
              <w:right w:val="single" w:sz="8" w:color="EBF7FC"/>
            </w:tcBorders>
          </w:tcPr>
          <w:p>
            <w:pPr>
              <w:jc w:val="right"/>
              <w:ind w:right="159"/>
              <w:spacing w:after="0"/>
              <w:rPr>
                <w:sz w:val="20"/>
                <w:szCs w:val="20"/>
                <w:color w:val="auto"/>
              </w:rPr>
            </w:pPr>
            <w:r>
              <w:rPr>
                <w:rFonts w:ascii="Arial" w:cs="Arial" w:eastAsia="Arial" w:hAnsi="Arial"/>
                <w:sz w:val="14"/>
                <w:szCs w:val="14"/>
                <w:color w:val="auto"/>
              </w:rPr>
              <w:t>635,772</w:t>
            </w:r>
          </w:p>
        </w:tc>
        <w:tc>
          <w:tcPr>
            <w:tcW w:w="1040" w:type="dxa"/>
            <w:vAlign w:val="bottom"/>
            <w:tcBorders>
              <w:top w:val="single" w:sz="8" w:color="EBF7FC"/>
              <w:right w:val="single" w:sz="8" w:color="EBF7FC"/>
            </w:tcBorders>
          </w:tcPr>
          <w:p>
            <w:pPr>
              <w:jc w:val="right"/>
              <w:ind w:right="276"/>
              <w:spacing w:after="0"/>
              <w:rPr>
                <w:sz w:val="20"/>
                <w:szCs w:val="20"/>
                <w:color w:val="auto"/>
              </w:rPr>
            </w:pPr>
            <w:r>
              <w:rPr>
                <w:rFonts w:ascii="Arial" w:cs="Arial" w:eastAsia="Arial" w:hAnsi="Arial"/>
                <w:sz w:val="14"/>
                <w:szCs w:val="14"/>
                <w:color w:val="auto"/>
              </w:rPr>
              <w:t>90</w:t>
            </w:r>
          </w:p>
        </w:tc>
        <w:tc>
          <w:tcPr>
            <w:tcW w:w="980" w:type="dxa"/>
            <w:vAlign w:val="bottom"/>
            <w:tcBorders>
              <w:top w:val="single" w:sz="8" w:color="EBF7FC"/>
              <w:right w:val="single" w:sz="8" w:color="EBF7FC"/>
            </w:tcBorders>
          </w:tcPr>
          <w:p>
            <w:pPr>
              <w:jc w:val="center"/>
              <w:spacing w:after="0"/>
              <w:rPr>
                <w:sz w:val="20"/>
                <w:szCs w:val="20"/>
                <w:color w:val="auto"/>
              </w:rPr>
            </w:pPr>
            <w:r>
              <w:rPr>
                <w:rFonts w:ascii="Arial" w:cs="Arial" w:eastAsia="Arial" w:hAnsi="Arial"/>
                <w:sz w:val="14"/>
                <w:szCs w:val="14"/>
                <w:color w:val="auto"/>
              </w:rPr>
              <w:t>133</w:t>
            </w:r>
          </w:p>
        </w:tc>
        <w:tc>
          <w:tcPr>
            <w:tcW w:w="1040" w:type="dxa"/>
            <w:vAlign w:val="bottom"/>
            <w:tcBorders>
              <w:top w:val="single" w:sz="8" w:color="EBF7FC"/>
              <w:right w:val="single" w:sz="8" w:color="EBF7FC"/>
            </w:tcBorders>
          </w:tcPr>
          <w:p>
            <w:pPr>
              <w:jc w:val="right"/>
              <w:ind w:right="55"/>
              <w:spacing w:after="0"/>
              <w:rPr>
                <w:sz w:val="20"/>
                <w:szCs w:val="20"/>
                <w:color w:val="auto"/>
              </w:rPr>
            </w:pPr>
            <w:r>
              <w:rPr>
                <w:rFonts w:ascii="Arial" w:cs="Arial" w:eastAsia="Arial" w:hAnsi="Arial"/>
                <w:sz w:val="14"/>
                <w:szCs w:val="14"/>
                <w:color w:val="auto"/>
              </w:rPr>
              <w:t>(474,000)</w:t>
            </w:r>
          </w:p>
        </w:tc>
        <w:tc>
          <w:tcPr>
            <w:tcW w:w="1040" w:type="dxa"/>
            <w:vAlign w:val="bottom"/>
            <w:tcBorders>
              <w:top w:val="single" w:sz="8" w:color="EBF7FC"/>
            </w:tcBorders>
          </w:tcPr>
          <w:p>
            <w:pPr>
              <w:jc w:val="right"/>
              <w:ind w:right="95"/>
              <w:spacing w:after="0"/>
              <w:rPr>
                <w:sz w:val="20"/>
                <w:szCs w:val="20"/>
                <w:color w:val="auto"/>
              </w:rPr>
            </w:pPr>
            <w:r>
              <w:rPr>
                <w:rFonts w:ascii="Arial" w:cs="Arial" w:eastAsia="Arial" w:hAnsi="Arial"/>
                <w:sz w:val="14"/>
                <w:szCs w:val="14"/>
                <w:color w:val="auto"/>
              </w:rPr>
              <w:t>11,894,000</w:t>
            </w:r>
          </w:p>
        </w:tc>
      </w:tr>
      <w:tr>
        <w:trPr>
          <w:trHeight w:val="58"/>
        </w:trPr>
        <w:tc>
          <w:tcPr>
            <w:tcW w:w="60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200" w:type="dxa"/>
            <w:vAlign w:val="bottom"/>
            <w:tcBorders>
              <w:bottom w:val="single" w:sz="8" w:color="EBF7FC"/>
              <w:right w:val="single" w:sz="8" w:color="EBF7FC"/>
            </w:tcBorders>
          </w:tcPr>
          <w:p>
            <w:pPr>
              <w:spacing w:after="0"/>
              <w:rPr>
                <w:sz w:val="5"/>
                <w:szCs w:val="5"/>
                <w:color w:val="auto"/>
              </w:rPr>
            </w:pPr>
          </w:p>
        </w:tc>
        <w:tc>
          <w:tcPr>
            <w:tcW w:w="1140" w:type="dxa"/>
            <w:vAlign w:val="bottom"/>
            <w:tcBorders>
              <w:bottom w:val="single" w:sz="8" w:color="EBF7FC"/>
              <w:right w:val="single" w:sz="8" w:color="EBF7FC"/>
            </w:tcBorders>
          </w:tcPr>
          <w:p>
            <w:pPr>
              <w:spacing w:after="0"/>
              <w:rPr>
                <w:sz w:val="5"/>
                <w:szCs w:val="5"/>
                <w:color w:val="auto"/>
              </w:rPr>
            </w:pPr>
          </w:p>
        </w:tc>
        <w:tc>
          <w:tcPr>
            <w:tcW w:w="1140" w:type="dxa"/>
            <w:vAlign w:val="bottom"/>
            <w:tcBorders>
              <w:bottom w:val="single" w:sz="8" w:color="EBF7FC"/>
              <w:right w:val="single" w:sz="8" w:color="EBF7FC"/>
            </w:tcBorders>
          </w:tcPr>
          <w:p>
            <w:pPr>
              <w:spacing w:after="0"/>
              <w:rPr>
                <w:sz w:val="5"/>
                <w:szCs w:val="5"/>
                <w:color w:val="auto"/>
              </w:rPr>
            </w:pPr>
          </w:p>
        </w:tc>
        <w:tc>
          <w:tcPr>
            <w:tcW w:w="1040" w:type="dxa"/>
            <w:vAlign w:val="bottom"/>
            <w:tcBorders>
              <w:bottom w:val="single" w:sz="8" w:color="EBF7FC"/>
              <w:right w:val="single" w:sz="8" w:color="EBF7FC"/>
            </w:tcBorders>
          </w:tcPr>
          <w:p>
            <w:pPr>
              <w:spacing w:after="0"/>
              <w:rPr>
                <w:sz w:val="5"/>
                <w:szCs w:val="5"/>
                <w:color w:val="auto"/>
              </w:rPr>
            </w:pPr>
          </w:p>
        </w:tc>
        <w:tc>
          <w:tcPr>
            <w:tcW w:w="980" w:type="dxa"/>
            <w:vAlign w:val="bottom"/>
            <w:tcBorders>
              <w:bottom w:val="single" w:sz="8" w:color="EBF7FC"/>
              <w:right w:val="single" w:sz="8" w:color="EBF7FC"/>
            </w:tcBorders>
          </w:tcPr>
          <w:p>
            <w:pPr>
              <w:spacing w:after="0"/>
              <w:rPr>
                <w:sz w:val="5"/>
                <w:szCs w:val="5"/>
                <w:color w:val="auto"/>
              </w:rPr>
            </w:pPr>
          </w:p>
        </w:tc>
        <w:tc>
          <w:tcPr>
            <w:tcW w:w="1040" w:type="dxa"/>
            <w:vAlign w:val="bottom"/>
            <w:tcBorders>
              <w:bottom w:val="single" w:sz="8" w:color="EBF7FC"/>
              <w:right w:val="single" w:sz="8" w:color="EBF7FC"/>
            </w:tcBorders>
          </w:tcPr>
          <w:p>
            <w:pPr>
              <w:spacing w:after="0"/>
              <w:rPr>
                <w:sz w:val="5"/>
                <w:szCs w:val="5"/>
                <w:color w:val="auto"/>
              </w:rPr>
            </w:pPr>
          </w:p>
        </w:tc>
        <w:tc>
          <w:tcPr>
            <w:tcW w:w="1040" w:type="dxa"/>
            <w:vAlign w:val="bottom"/>
            <w:tcBorders>
              <w:bottom w:val="single" w:sz="8" w:color="EBF7FC"/>
            </w:tcBorders>
          </w:tcPr>
          <w:p>
            <w:pPr>
              <w:spacing w:after="0"/>
              <w:rPr>
                <w:sz w:val="5"/>
                <w:szCs w:val="5"/>
                <w:color w:val="auto"/>
              </w:rPr>
            </w:pPr>
          </w:p>
        </w:tc>
      </w:tr>
      <w:tr>
        <w:trPr>
          <w:trHeight w:val="280"/>
        </w:trPr>
        <w:tc>
          <w:tcPr>
            <w:tcW w:w="60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2021</w:t>
            </w:r>
          </w:p>
        </w:tc>
        <w:tc>
          <w:tcPr>
            <w:tcW w:w="1120" w:type="dxa"/>
            <w:vAlign w:val="bottom"/>
            <w:tcBorders>
              <w:bottom w:val="single" w:sz="8" w:color="F3F9FD"/>
              <w:right w:val="single" w:sz="8" w:color="EBF7FC"/>
            </w:tcBorders>
            <w:shd w:val="clear" w:color="auto" w:fill="F3F9FD"/>
          </w:tcPr>
          <w:p>
            <w:pPr>
              <w:jc w:val="right"/>
              <w:ind w:right="158"/>
              <w:spacing w:after="0"/>
              <w:rPr>
                <w:sz w:val="20"/>
                <w:szCs w:val="20"/>
                <w:color w:val="auto"/>
              </w:rPr>
            </w:pPr>
            <w:r>
              <w:rPr>
                <w:rFonts w:ascii="Arial" w:cs="Arial" w:eastAsia="Arial" w:hAnsi="Arial"/>
                <w:sz w:val="14"/>
                <w:szCs w:val="14"/>
                <w:color w:val="auto"/>
              </w:rPr>
              <w:t>1,319,648</w:t>
            </w:r>
          </w:p>
        </w:tc>
        <w:tc>
          <w:tcPr>
            <w:tcW w:w="1200" w:type="dxa"/>
            <w:vAlign w:val="bottom"/>
            <w:tcBorders>
              <w:bottom w:val="single" w:sz="8" w:color="F3F9FD"/>
              <w:right w:val="single" w:sz="8" w:color="EBF7FC"/>
            </w:tcBorders>
            <w:shd w:val="clear" w:color="auto" w:fill="F3F9FD"/>
          </w:tcPr>
          <w:p>
            <w:pPr>
              <w:jc w:val="right"/>
              <w:ind w:right="156"/>
              <w:spacing w:after="0"/>
              <w:rPr>
                <w:sz w:val="20"/>
                <w:szCs w:val="20"/>
                <w:color w:val="auto"/>
              </w:rPr>
            </w:pPr>
            <w:r>
              <w:rPr>
                <w:rFonts w:ascii="Arial" w:cs="Arial" w:eastAsia="Arial" w:hAnsi="Arial"/>
                <w:sz w:val="14"/>
                <w:szCs w:val="14"/>
                <w:color w:val="auto"/>
              </w:rPr>
              <w:t>1,452,446</w:t>
            </w:r>
          </w:p>
        </w:tc>
        <w:tc>
          <w:tcPr>
            <w:tcW w:w="1140" w:type="dxa"/>
            <w:vAlign w:val="bottom"/>
            <w:tcBorders>
              <w:bottom w:val="single" w:sz="8" w:color="F3F9FD"/>
              <w:right w:val="single" w:sz="8" w:color="EBF7FC"/>
            </w:tcBorders>
            <w:shd w:val="clear" w:color="auto" w:fill="F3F9FD"/>
          </w:tcPr>
          <w:p>
            <w:pPr>
              <w:jc w:val="right"/>
              <w:ind w:right="137"/>
              <w:spacing w:after="0"/>
              <w:rPr>
                <w:sz w:val="20"/>
                <w:szCs w:val="20"/>
                <w:color w:val="auto"/>
              </w:rPr>
            </w:pPr>
            <w:r>
              <w:rPr>
                <w:rFonts w:ascii="Arial" w:cs="Arial" w:eastAsia="Arial" w:hAnsi="Arial"/>
                <w:sz w:val="14"/>
                <w:szCs w:val="14"/>
                <w:color w:val="auto"/>
              </w:rPr>
              <w:t>761,867</w:t>
            </w:r>
          </w:p>
        </w:tc>
        <w:tc>
          <w:tcPr>
            <w:tcW w:w="1140" w:type="dxa"/>
            <w:vAlign w:val="bottom"/>
            <w:tcBorders>
              <w:bottom w:val="single" w:sz="8" w:color="F3F9FD"/>
              <w:right w:val="single" w:sz="8" w:color="EBF7FC"/>
            </w:tcBorders>
            <w:shd w:val="clear" w:color="auto" w:fill="F3F9FD"/>
          </w:tcPr>
          <w:p>
            <w:pPr>
              <w:jc w:val="right"/>
              <w:ind w:right="159"/>
              <w:spacing w:after="0"/>
              <w:rPr>
                <w:sz w:val="20"/>
                <w:szCs w:val="20"/>
                <w:color w:val="auto"/>
              </w:rPr>
            </w:pPr>
            <w:r>
              <w:rPr>
                <w:rFonts w:ascii="Arial" w:cs="Arial" w:eastAsia="Arial" w:hAnsi="Arial"/>
                <w:sz w:val="14"/>
                <w:szCs w:val="14"/>
                <w:color w:val="auto"/>
              </w:rPr>
              <w:t>828,332</w:t>
            </w:r>
          </w:p>
        </w:tc>
        <w:tc>
          <w:tcPr>
            <w:tcW w:w="1040" w:type="dxa"/>
            <w:vAlign w:val="bottom"/>
            <w:tcBorders>
              <w:bottom w:val="single" w:sz="8" w:color="F3F9FD"/>
              <w:right w:val="single" w:sz="8" w:color="EBF7FC"/>
            </w:tcBorders>
            <w:shd w:val="clear" w:color="auto" w:fill="F3F9FD"/>
          </w:tcPr>
          <w:p>
            <w:pPr>
              <w:jc w:val="right"/>
              <w:ind w:right="276"/>
              <w:spacing w:after="0"/>
              <w:rPr>
                <w:sz w:val="20"/>
                <w:szCs w:val="20"/>
                <w:color w:val="auto"/>
              </w:rPr>
            </w:pPr>
            <w:r>
              <w:rPr>
                <w:rFonts w:ascii="Arial" w:cs="Arial" w:eastAsia="Arial" w:hAnsi="Arial"/>
                <w:sz w:val="14"/>
                <w:szCs w:val="14"/>
                <w:color w:val="auto"/>
              </w:rPr>
              <w:t>119</w:t>
            </w:r>
          </w:p>
        </w:tc>
        <w:tc>
          <w:tcPr>
            <w:tcW w:w="980" w:type="dxa"/>
            <w:vAlign w:val="bottom"/>
            <w:tcBorders>
              <w:bottom w:val="single" w:sz="8" w:color="F3F9FD"/>
              <w:right w:val="single" w:sz="8" w:color="EBF7FC"/>
            </w:tcBorders>
            <w:shd w:val="clear" w:color="auto" w:fill="F3F9FD"/>
          </w:tcPr>
          <w:p>
            <w:pPr>
              <w:jc w:val="center"/>
              <w:spacing w:after="0"/>
              <w:rPr>
                <w:sz w:val="20"/>
                <w:szCs w:val="20"/>
                <w:color w:val="auto"/>
              </w:rPr>
            </w:pPr>
            <w:r>
              <w:rPr>
                <w:rFonts w:ascii="Arial" w:cs="Arial" w:eastAsia="Arial" w:hAnsi="Arial"/>
                <w:sz w:val="14"/>
                <w:szCs w:val="14"/>
                <w:color w:val="auto"/>
                <w:w w:val="85"/>
              </w:rPr>
              <w:t>117</w:t>
            </w:r>
          </w:p>
        </w:tc>
        <w:tc>
          <w:tcPr>
            <w:tcW w:w="1040" w:type="dxa"/>
            <w:vAlign w:val="bottom"/>
            <w:tcBorders>
              <w:bottom w:val="single" w:sz="8" w:color="F3F9FD"/>
              <w:right w:val="single" w:sz="8" w:color="EBF7FC"/>
            </w:tcBorders>
            <w:shd w:val="clear" w:color="auto" w:fill="F3F9FD"/>
          </w:tcPr>
          <w:p>
            <w:pPr>
              <w:jc w:val="right"/>
              <w:ind w:right="55"/>
              <w:spacing w:after="0"/>
              <w:rPr>
                <w:sz w:val="20"/>
                <w:szCs w:val="20"/>
                <w:color w:val="auto"/>
              </w:rPr>
            </w:pPr>
            <w:r>
              <w:rPr>
                <w:rFonts w:ascii="Arial" w:cs="Arial" w:eastAsia="Arial" w:hAnsi="Arial"/>
                <w:sz w:val="14"/>
                <w:szCs w:val="14"/>
                <w:color w:val="auto"/>
              </w:rPr>
              <w:t>(3,897,000)</w:t>
            </w:r>
          </w:p>
        </w:tc>
        <w:tc>
          <w:tcPr>
            <w:tcW w:w="1040" w:type="dxa"/>
            <w:vAlign w:val="bottom"/>
            <w:tcBorders>
              <w:bottom w:val="single" w:sz="8" w:color="F3F9FD"/>
            </w:tcBorders>
            <w:shd w:val="clear" w:color="auto" w:fill="F3F9FD"/>
          </w:tcPr>
          <w:p>
            <w:pPr>
              <w:jc w:val="right"/>
              <w:ind w:right="95"/>
              <w:spacing w:after="0"/>
              <w:rPr>
                <w:sz w:val="20"/>
                <w:szCs w:val="20"/>
                <w:color w:val="auto"/>
              </w:rPr>
            </w:pPr>
            <w:r>
              <w:rPr>
                <w:rFonts w:ascii="Arial" w:cs="Arial" w:eastAsia="Arial" w:hAnsi="Arial"/>
                <w:sz w:val="14"/>
                <w:szCs w:val="14"/>
                <w:color w:val="auto"/>
              </w:rPr>
              <w:t>9,918,000</w:t>
            </w:r>
          </w:p>
        </w:tc>
      </w:tr>
      <w:tr>
        <w:trPr>
          <w:trHeight w:val="20"/>
        </w:trPr>
        <w:tc>
          <w:tcPr>
            <w:tcW w:w="600" w:type="dxa"/>
            <w:vAlign w:val="bottom"/>
            <w:tcBorders>
              <w:right w:val="single" w:sz="8" w:color="EBF7FC"/>
            </w:tcBorders>
            <w:shd w:val="clear" w:color="auto" w:fill="EBF7FC"/>
          </w:tcPr>
          <w:p>
            <w:pPr>
              <w:spacing w:after="0" w:line="20" w:lineRule="exact"/>
              <w:rPr>
                <w:sz w:val="1"/>
                <w:szCs w:val="1"/>
                <w:color w:val="auto"/>
              </w:rPr>
            </w:pPr>
          </w:p>
        </w:tc>
        <w:tc>
          <w:tcPr>
            <w:tcW w:w="1120" w:type="dxa"/>
            <w:vAlign w:val="bottom"/>
            <w:tcBorders>
              <w:right w:val="single" w:sz="8" w:color="EBF7FC"/>
            </w:tcBorders>
            <w:shd w:val="clear" w:color="auto" w:fill="EBF7FC"/>
          </w:tcPr>
          <w:p>
            <w:pPr>
              <w:spacing w:after="0" w:line="20" w:lineRule="exact"/>
              <w:rPr>
                <w:sz w:val="1"/>
                <w:szCs w:val="1"/>
                <w:color w:val="auto"/>
              </w:rPr>
            </w:pPr>
          </w:p>
        </w:tc>
        <w:tc>
          <w:tcPr>
            <w:tcW w:w="1200" w:type="dxa"/>
            <w:vAlign w:val="bottom"/>
            <w:tcBorders>
              <w:right w:val="single" w:sz="8" w:color="EBF7FC"/>
            </w:tcBorders>
            <w:shd w:val="clear" w:color="auto" w:fill="EBF7FC"/>
          </w:tcPr>
          <w:p>
            <w:pPr>
              <w:spacing w:after="0" w:line="20" w:lineRule="exact"/>
              <w:rPr>
                <w:sz w:val="1"/>
                <w:szCs w:val="1"/>
                <w:color w:val="auto"/>
              </w:rPr>
            </w:pPr>
          </w:p>
        </w:tc>
        <w:tc>
          <w:tcPr>
            <w:tcW w:w="1140" w:type="dxa"/>
            <w:vAlign w:val="bottom"/>
            <w:tcBorders>
              <w:right w:val="single" w:sz="8" w:color="EBF7FC"/>
            </w:tcBorders>
            <w:shd w:val="clear" w:color="auto" w:fill="EBF7FC"/>
          </w:tcPr>
          <w:p>
            <w:pPr>
              <w:spacing w:after="0" w:line="20" w:lineRule="exact"/>
              <w:rPr>
                <w:sz w:val="1"/>
                <w:szCs w:val="1"/>
                <w:color w:val="auto"/>
              </w:rPr>
            </w:pPr>
          </w:p>
        </w:tc>
        <w:tc>
          <w:tcPr>
            <w:tcW w:w="1140" w:type="dxa"/>
            <w:vAlign w:val="bottom"/>
            <w:tcBorders>
              <w:right w:val="single" w:sz="8" w:color="EBF7FC"/>
            </w:tcBorders>
            <w:shd w:val="clear" w:color="auto" w:fill="EBF7FC"/>
          </w:tcPr>
          <w:p>
            <w:pPr>
              <w:spacing w:after="0" w:line="20" w:lineRule="exact"/>
              <w:rPr>
                <w:sz w:val="1"/>
                <w:szCs w:val="1"/>
                <w:color w:val="auto"/>
              </w:rPr>
            </w:pPr>
          </w:p>
        </w:tc>
        <w:tc>
          <w:tcPr>
            <w:tcW w:w="1040" w:type="dxa"/>
            <w:vAlign w:val="bottom"/>
            <w:tcBorders>
              <w:right w:val="single" w:sz="8" w:color="EBF7FC"/>
            </w:tcBorders>
            <w:shd w:val="clear" w:color="auto" w:fill="EBF7FC"/>
          </w:tcPr>
          <w:p>
            <w:pPr>
              <w:spacing w:after="0" w:line="20" w:lineRule="exact"/>
              <w:rPr>
                <w:sz w:val="1"/>
                <w:szCs w:val="1"/>
                <w:color w:val="auto"/>
              </w:rPr>
            </w:pPr>
          </w:p>
        </w:tc>
        <w:tc>
          <w:tcPr>
            <w:tcW w:w="980" w:type="dxa"/>
            <w:vAlign w:val="bottom"/>
            <w:tcBorders>
              <w:right w:val="single" w:sz="8" w:color="EBF7FC"/>
            </w:tcBorders>
            <w:shd w:val="clear" w:color="auto" w:fill="EBF7FC"/>
          </w:tcPr>
          <w:p>
            <w:pPr>
              <w:spacing w:after="0" w:line="20" w:lineRule="exact"/>
              <w:rPr>
                <w:sz w:val="1"/>
                <w:szCs w:val="1"/>
                <w:color w:val="auto"/>
              </w:rPr>
            </w:pPr>
          </w:p>
        </w:tc>
        <w:tc>
          <w:tcPr>
            <w:tcW w:w="1040" w:type="dxa"/>
            <w:vAlign w:val="bottom"/>
            <w:tcBorders>
              <w:right w:val="single" w:sz="8" w:color="EBF7FC"/>
            </w:tcBorders>
            <w:shd w:val="clear" w:color="auto" w:fill="EBF7FC"/>
          </w:tcPr>
          <w:p>
            <w:pPr>
              <w:spacing w:after="0" w:line="20" w:lineRule="exact"/>
              <w:rPr>
                <w:sz w:val="1"/>
                <w:szCs w:val="1"/>
                <w:color w:val="auto"/>
              </w:rPr>
            </w:pPr>
          </w:p>
        </w:tc>
        <w:tc>
          <w:tcPr>
            <w:tcW w:w="1040" w:type="dxa"/>
            <w:vAlign w:val="bottom"/>
            <w:shd w:val="clear" w:color="auto" w:fill="EBF7FC"/>
          </w:tcPr>
          <w:p>
            <w:pPr>
              <w:spacing w:after="0" w:line="20" w:lineRule="exact"/>
              <w:rPr>
                <w:sz w:val="1"/>
                <w:szCs w:val="1"/>
                <w:color w:val="auto"/>
              </w:rPr>
            </w:pPr>
          </w:p>
        </w:tc>
      </w:tr>
    </w:tbl>
    <w:p>
      <w:pPr>
        <w:spacing w:after="0" w:line="238" w:lineRule="exact"/>
        <w:rPr>
          <w:sz w:val="20"/>
          <w:szCs w:val="20"/>
          <w:color w:val="auto"/>
        </w:rPr>
      </w:pPr>
    </w:p>
    <w:p>
      <w:pPr>
        <w:ind w:left="220" w:hanging="215"/>
        <w:spacing w:after="0"/>
        <w:tabs>
          <w:tab w:leader="none" w:pos="2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Company’s Chief Executive Officer for all years presented is Harold Edwards.</w:t>
      </w:r>
    </w:p>
    <w:p>
      <w:pPr>
        <w:spacing w:after="0" w:line="143" w:lineRule="exact"/>
        <w:rPr>
          <w:rFonts w:ascii="Arial" w:cs="Arial" w:eastAsia="Arial" w:hAnsi="Arial"/>
          <w:sz w:val="12"/>
          <w:szCs w:val="12"/>
          <w:color w:val="auto"/>
        </w:rPr>
      </w:pPr>
    </w:p>
    <w:p>
      <w:pPr>
        <w:ind w:left="220" w:hanging="215"/>
        <w:spacing w:after="0"/>
        <w:tabs>
          <w:tab w:leader="none" w:pos="2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Deductions from, and additions to, total compensation in the Summary Compensation Table by year to calculate Compensation Actually Paid include: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Borders>
              <w:right w:val="single" w:sz="8" w:color="E5E9ED"/>
            </w:tcBorders>
            <w:shd w:val="clear" w:color="auto" w:fill="E5E9ED"/>
          </w:tcPr>
          <w:p>
            <w:pPr>
              <w:spacing w:after="0"/>
              <w:rPr>
                <w:sz w:val="19"/>
                <w:szCs w:val="19"/>
                <w:color w:val="auto"/>
              </w:rPr>
            </w:pPr>
          </w:p>
        </w:tc>
        <w:tc>
          <w:tcPr>
            <w:tcW w:w="1780" w:type="dxa"/>
            <w:vAlign w:val="bottom"/>
            <w:tcBorders>
              <w:right w:val="single" w:sz="8" w:color="E5E9ED"/>
            </w:tcBorders>
            <w:gridSpan w:val="2"/>
            <w:shd w:val="clear" w:color="auto" w:fill="E5E9ED"/>
          </w:tcPr>
          <w:p>
            <w:pPr>
              <w:jc w:val="right"/>
              <w:ind w:right="697"/>
              <w:spacing w:after="0"/>
              <w:rPr>
                <w:sz w:val="20"/>
                <w:szCs w:val="20"/>
                <w:color w:val="auto"/>
              </w:rPr>
            </w:pPr>
            <w:r>
              <w:rPr>
                <w:rFonts w:ascii="Arial" w:cs="Arial" w:eastAsia="Arial" w:hAnsi="Arial"/>
                <w:sz w:val="14"/>
                <w:szCs w:val="14"/>
                <w:b w:val="1"/>
                <w:bCs w:val="1"/>
                <w:color w:val="auto"/>
              </w:rPr>
              <w:t>2024</w:t>
            </w:r>
          </w:p>
        </w:tc>
        <w:tc>
          <w:tcPr>
            <w:tcW w:w="1760" w:type="dxa"/>
            <w:vAlign w:val="bottom"/>
            <w:tcBorders>
              <w:right w:val="single" w:sz="8" w:color="E5E9ED"/>
            </w:tcBorders>
            <w:gridSpan w:val="2"/>
            <w:shd w:val="clear" w:color="auto" w:fill="E5E9ED"/>
          </w:tcPr>
          <w:p>
            <w:pPr>
              <w:jc w:val="right"/>
              <w:ind w:right="697"/>
              <w:spacing w:after="0"/>
              <w:rPr>
                <w:sz w:val="20"/>
                <w:szCs w:val="20"/>
                <w:color w:val="auto"/>
              </w:rPr>
            </w:pPr>
            <w:r>
              <w:rPr>
                <w:rFonts w:ascii="Arial" w:cs="Arial" w:eastAsia="Arial" w:hAnsi="Arial"/>
                <w:sz w:val="14"/>
                <w:szCs w:val="14"/>
                <w:b w:val="1"/>
                <w:bCs w:val="1"/>
                <w:color w:val="auto"/>
              </w:rPr>
              <w:t>2023</w:t>
            </w:r>
          </w:p>
        </w:tc>
        <w:tc>
          <w:tcPr>
            <w:tcW w:w="1740" w:type="dxa"/>
            <w:vAlign w:val="bottom"/>
            <w:tcBorders>
              <w:right w:val="single" w:sz="8" w:color="E5E9ED"/>
            </w:tcBorders>
            <w:gridSpan w:val="2"/>
            <w:shd w:val="clear" w:color="auto" w:fill="E5E9ED"/>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2"/>
            <w:shd w:val="clear" w:color="auto" w:fill="E5E9ED"/>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r>
      <w:tr>
        <w:trPr>
          <w:trHeight w:val="256"/>
        </w:trPr>
        <w:tc>
          <w:tcPr>
            <w:tcW w:w="2260" w:type="dxa"/>
            <w:vAlign w:val="bottom"/>
            <w:tcBorders>
              <w:right w:val="single" w:sz="8" w:color="E5E9ED"/>
            </w:tcBorders>
            <w:shd w:val="clear" w:color="auto" w:fill="E5E9ED"/>
          </w:tcPr>
          <w:p>
            <w:pPr>
              <w:spacing w:after="0"/>
              <w:rPr>
                <w:sz w:val="22"/>
                <w:szCs w:val="22"/>
                <w:color w:val="auto"/>
              </w:rPr>
            </w:pPr>
          </w:p>
        </w:tc>
        <w:tc>
          <w:tcPr>
            <w:tcW w:w="880" w:type="dxa"/>
            <w:vAlign w:val="bottom"/>
            <w:tcBorders>
              <w:right w:val="single" w:sz="8" w:color="E5E9ED"/>
            </w:tcBorders>
            <w:shd w:val="clear" w:color="auto" w:fill="E5E9ED"/>
          </w:tcPr>
          <w:p>
            <w:pPr>
              <w:spacing w:after="0"/>
              <w:rPr>
                <w:sz w:val="22"/>
                <w:szCs w:val="22"/>
                <w:color w:val="auto"/>
              </w:rPr>
            </w:pPr>
          </w:p>
        </w:tc>
        <w:tc>
          <w:tcPr>
            <w:tcW w:w="9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Average</w:t>
            </w:r>
          </w:p>
        </w:tc>
        <w:tc>
          <w:tcPr>
            <w:tcW w:w="880" w:type="dxa"/>
            <w:vAlign w:val="bottom"/>
            <w:tcBorders>
              <w:right w:val="single" w:sz="8" w:color="E5E9ED"/>
            </w:tcBorders>
            <w:shd w:val="clear" w:color="auto" w:fill="E5E9ED"/>
          </w:tcPr>
          <w:p>
            <w:pPr>
              <w:spacing w:after="0"/>
              <w:rPr>
                <w:sz w:val="22"/>
                <w:szCs w:val="22"/>
                <w:color w:val="auto"/>
              </w:rPr>
            </w:pPr>
          </w:p>
        </w:tc>
        <w:tc>
          <w:tcPr>
            <w:tcW w:w="8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880" w:type="dxa"/>
            <w:vAlign w:val="bottom"/>
            <w:tcBorders>
              <w:right w:val="single" w:sz="8" w:color="E5E9ED"/>
            </w:tcBorders>
            <w:shd w:val="clear" w:color="auto" w:fill="E5E9ED"/>
          </w:tcPr>
          <w:p>
            <w:pPr>
              <w:spacing w:after="0"/>
              <w:rPr>
                <w:sz w:val="22"/>
                <w:szCs w:val="22"/>
                <w:color w:val="auto"/>
              </w:rPr>
            </w:pP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880" w:type="dxa"/>
            <w:vAlign w:val="bottom"/>
            <w:tcBorders>
              <w:right w:val="single" w:sz="8" w:color="E5E9ED"/>
            </w:tcBorders>
            <w:shd w:val="clear" w:color="auto" w:fill="E5E9ED"/>
          </w:tcPr>
          <w:p>
            <w:pPr>
              <w:spacing w:after="0"/>
              <w:rPr>
                <w:sz w:val="22"/>
                <w:szCs w:val="22"/>
                <w:color w:val="auto"/>
              </w:rPr>
            </w:pPr>
          </w:p>
        </w:tc>
        <w:tc>
          <w:tcPr>
            <w:tcW w:w="84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20" w:type="dxa"/>
            <w:vAlign w:val="bottom"/>
          </w:tcPr>
          <w:p>
            <w:pPr>
              <w:spacing w:after="0"/>
              <w:rPr>
                <w:sz w:val="22"/>
                <w:szCs w:val="22"/>
                <w:color w:val="auto"/>
              </w:rPr>
            </w:pPr>
          </w:p>
        </w:tc>
      </w:tr>
      <w:tr>
        <w:trPr>
          <w:trHeight w:val="184"/>
        </w:trPr>
        <w:tc>
          <w:tcPr>
            <w:tcW w:w="2260" w:type="dxa"/>
            <w:vAlign w:val="bottom"/>
            <w:tcBorders>
              <w:right w:val="single" w:sz="8" w:color="E5E9ED"/>
            </w:tcBorders>
            <w:shd w:val="clear" w:color="auto" w:fill="E5E9ED"/>
          </w:tcPr>
          <w:p>
            <w:pPr>
              <w:spacing w:after="0"/>
              <w:rPr>
                <w:sz w:val="15"/>
                <w:szCs w:val="15"/>
                <w:color w:val="auto"/>
              </w:rPr>
            </w:pPr>
          </w:p>
        </w:tc>
        <w:tc>
          <w:tcPr>
            <w:tcW w:w="880" w:type="dxa"/>
            <w:vAlign w:val="bottom"/>
            <w:tcBorders>
              <w:right w:val="single" w:sz="8" w:color="E5E9ED"/>
            </w:tcBorders>
            <w:shd w:val="clear" w:color="auto" w:fill="E5E9ED"/>
          </w:tcPr>
          <w:p>
            <w:pPr>
              <w:spacing w:after="0"/>
              <w:rPr>
                <w:sz w:val="15"/>
                <w:szCs w:val="15"/>
                <w:color w:val="auto"/>
              </w:rPr>
            </w:pPr>
          </w:p>
        </w:tc>
        <w:tc>
          <w:tcPr>
            <w:tcW w:w="9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Non-CEO</w:t>
            </w:r>
          </w:p>
        </w:tc>
        <w:tc>
          <w:tcPr>
            <w:tcW w:w="880" w:type="dxa"/>
            <w:vAlign w:val="bottom"/>
            <w:tcBorders>
              <w:right w:val="single" w:sz="8" w:color="E5E9ED"/>
            </w:tcBorders>
            <w:shd w:val="clear" w:color="auto" w:fill="E5E9ED"/>
          </w:tcPr>
          <w:p>
            <w:pPr>
              <w:spacing w:after="0"/>
              <w:rPr>
                <w:sz w:val="15"/>
                <w:szCs w:val="15"/>
                <w:color w:val="auto"/>
              </w:rPr>
            </w:pPr>
          </w:p>
        </w:tc>
        <w:tc>
          <w:tcPr>
            <w:tcW w:w="8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Non-CEO</w:t>
            </w:r>
          </w:p>
        </w:tc>
        <w:tc>
          <w:tcPr>
            <w:tcW w:w="880" w:type="dxa"/>
            <w:vAlign w:val="bottom"/>
            <w:tcBorders>
              <w:right w:val="single" w:sz="8" w:color="E5E9ED"/>
            </w:tcBorders>
            <w:shd w:val="clear" w:color="auto" w:fill="E5E9ED"/>
          </w:tcPr>
          <w:p>
            <w:pPr>
              <w:spacing w:after="0"/>
              <w:rPr>
                <w:sz w:val="15"/>
                <w:szCs w:val="15"/>
                <w:color w:val="auto"/>
              </w:rPr>
            </w:pP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Non-CEO</w:t>
            </w:r>
          </w:p>
        </w:tc>
        <w:tc>
          <w:tcPr>
            <w:tcW w:w="880" w:type="dxa"/>
            <w:vAlign w:val="bottom"/>
            <w:tcBorders>
              <w:right w:val="single" w:sz="8" w:color="E5E9ED"/>
            </w:tcBorders>
            <w:shd w:val="clear" w:color="auto" w:fill="E5E9ED"/>
          </w:tcPr>
          <w:p>
            <w:pPr>
              <w:spacing w:after="0"/>
              <w:rPr>
                <w:sz w:val="15"/>
                <w:szCs w:val="15"/>
                <w:color w:val="auto"/>
              </w:rPr>
            </w:pPr>
          </w:p>
        </w:tc>
        <w:tc>
          <w:tcPr>
            <w:tcW w:w="84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Non-CEO</w:t>
            </w:r>
          </w:p>
        </w:tc>
        <w:tc>
          <w:tcPr>
            <w:tcW w:w="20" w:type="dxa"/>
            <w:vAlign w:val="bottom"/>
          </w:tcPr>
          <w:p>
            <w:pPr>
              <w:spacing w:after="0"/>
              <w:rPr>
                <w:sz w:val="15"/>
                <w:szCs w:val="15"/>
                <w:color w:val="auto"/>
              </w:rPr>
            </w:pPr>
          </w:p>
        </w:tc>
      </w:tr>
      <w:tr>
        <w:trPr>
          <w:trHeight w:val="192"/>
        </w:trPr>
        <w:tc>
          <w:tcPr>
            <w:tcW w:w="2260" w:type="dxa"/>
            <w:vAlign w:val="bottom"/>
            <w:tcBorders>
              <w:right w:val="single" w:sz="8" w:color="E5E9ED"/>
            </w:tcBorders>
            <w:shd w:val="clear" w:color="auto" w:fill="E5E9ED"/>
          </w:tcPr>
          <w:p>
            <w:pPr>
              <w:spacing w:after="0"/>
              <w:rPr>
                <w:sz w:val="16"/>
                <w:szCs w:val="16"/>
                <w:color w:val="auto"/>
              </w:rPr>
            </w:pPr>
          </w:p>
        </w:tc>
        <w:tc>
          <w:tcPr>
            <w:tcW w:w="880" w:type="dxa"/>
            <w:vAlign w:val="bottom"/>
            <w:tcBorders>
              <w:right w:val="single" w:sz="8" w:color="E5E9ED"/>
            </w:tcBorders>
            <w:shd w:val="clear" w:color="auto" w:fill="E5E9ED"/>
          </w:tcPr>
          <w:p>
            <w:pPr>
              <w:jc w:val="right"/>
              <w:ind w:right="238"/>
              <w:spacing w:after="0"/>
              <w:rPr>
                <w:sz w:val="20"/>
                <w:szCs w:val="20"/>
                <w:color w:val="auto"/>
              </w:rPr>
            </w:pPr>
            <w:r>
              <w:rPr>
                <w:rFonts w:ascii="Arial" w:cs="Arial" w:eastAsia="Arial" w:hAnsi="Arial"/>
                <w:sz w:val="14"/>
                <w:szCs w:val="14"/>
                <w:b w:val="1"/>
                <w:bCs w:val="1"/>
                <w:color w:val="auto"/>
              </w:rPr>
              <w:t>CEO</w:t>
            </w:r>
          </w:p>
        </w:tc>
        <w:tc>
          <w:tcPr>
            <w:tcW w:w="90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9"/>
              </w:rPr>
              <w:t>NEOs</w:t>
            </w:r>
          </w:p>
        </w:tc>
        <w:tc>
          <w:tcPr>
            <w:tcW w:w="880" w:type="dxa"/>
            <w:vAlign w:val="bottom"/>
            <w:tcBorders>
              <w:right w:val="single" w:sz="8" w:color="E5E9ED"/>
            </w:tcBorders>
            <w:shd w:val="clear" w:color="auto" w:fill="E5E9ED"/>
          </w:tcPr>
          <w:p>
            <w:pPr>
              <w:jc w:val="right"/>
              <w:ind w:right="258"/>
              <w:spacing w:after="0"/>
              <w:rPr>
                <w:sz w:val="20"/>
                <w:szCs w:val="20"/>
                <w:color w:val="auto"/>
              </w:rPr>
            </w:pPr>
            <w:r>
              <w:rPr>
                <w:rFonts w:ascii="Arial" w:cs="Arial" w:eastAsia="Arial" w:hAnsi="Arial"/>
                <w:sz w:val="14"/>
                <w:szCs w:val="14"/>
                <w:b w:val="1"/>
                <w:bCs w:val="1"/>
                <w:color w:val="auto"/>
              </w:rPr>
              <w:t>CEO</w:t>
            </w:r>
          </w:p>
        </w:tc>
        <w:tc>
          <w:tcPr>
            <w:tcW w:w="8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NEOs</w:t>
            </w:r>
          </w:p>
        </w:tc>
        <w:tc>
          <w:tcPr>
            <w:tcW w:w="880" w:type="dxa"/>
            <w:vAlign w:val="bottom"/>
            <w:tcBorders>
              <w:right w:val="single" w:sz="8" w:color="E5E9ED"/>
            </w:tcBorders>
            <w:shd w:val="clear" w:color="auto" w:fill="E5E9ED"/>
          </w:tcPr>
          <w:p>
            <w:pPr>
              <w:jc w:val="right"/>
              <w:ind w:right="258"/>
              <w:spacing w:after="0"/>
              <w:rPr>
                <w:sz w:val="20"/>
                <w:szCs w:val="20"/>
                <w:color w:val="auto"/>
              </w:rPr>
            </w:pPr>
            <w:r>
              <w:rPr>
                <w:rFonts w:ascii="Arial" w:cs="Arial" w:eastAsia="Arial" w:hAnsi="Arial"/>
                <w:sz w:val="14"/>
                <w:szCs w:val="14"/>
                <w:b w:val="1"/>
                <w:bCs w:val="1"/>
                <w:color w:val="auto"/>
              </w:rPr>
              <w:t>CEO</w:t>
            </w:r>
          </w:p>
        </w:tc>
        <w:tc>
          <w:tcPr>
            <w:tcW w:w="8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NEOs</w:t>
            </w:r>
          </w:p>
        </w:tc>
        <w:tc>
          <w:tcPr>
            <w:tcW w:w="880" w:type="dxa"/>
            <w:vAlign w:val="bottom"/>
            <w:tcBorders>
              <w:right w:val="single" w:sz="8" w:color="E5E9ED"/>
            </w:tcBorders>
            <w:shd w:val="clear" w:color="auto" w:fill="E5E9ED"/>
          </w:tcPr>
          <w:p>
            <w:pPr>
              <w:jc w:val="right"/>
              <w:ind w:right="238"/>
              <w:spacing w:after="0"/>
              <w:rPr>
                <w:sz w:val="20"/>
                <w:szCs w:val="20"/>
                <w:color w:val="auto"/>
              </w:rPr>
            </w:pPr>
            <w:r>
              <w:rPr>
                <w:rFonts w:ascii="Arial" w:cs="Arial" w:eastAsia="Arial" w:hAnsi="Arial"/>
                <w:sz w:val="14"/>
                <w:szCs w:val="14"/>
                <w:b w:val="1"/>
                <w:bCs w:val="1"/>
                <w:color w:val="auto"/>
              </w:rPr>
              <w:t>CEO</w:t>
            </w:r>
          </w:p>
        </w:tc>
        <w:tc>
          <w:tcPr>
            <w:tcW w:w="84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4"/>
              </w:rPr>
              <w:t>NEOs</w:t>
            </w:r>
          </w:p>
        </w:tc>
        <w:tc>
          <w:tcPr>
            <w:tcW w:w="20" w:type="dxa"/>
            <w:vAlign w:val="bottom"/>
          </w:tcPr>
          <w:p>
            <w:pPr>
              <w:spacing w:after="0"/>
              <w:rPr>
                <w:sz w:val="16"/>
                <w:szCs w:val="16"/>
                <w:color w:val="auto"/>
              </w:rPr>
            </w:pPr>
          </w:p>
        </w:tc>
      </w:tr>
      <w:tr>
        <w:trPr>
          <w:trHeight w:val="207"/>
        </w:trPr>
        <w:tc>
          <w:tcPr>
            <w:tcW w:w="2260" w:type="dxa"/>
            <w:vAlign w:val="bottom"/>
            <w:tcBorders>
              <w:bottom w:val="single" w:sz="8" w:color="EBF7FC"/>
              <w:right w:val="single" w:sz="8" w:color="E5E9ED"/>
            </w:tcBorders>
            <w:shd w:val="clear" w:color="auto" w:fill="E5E9ED"/>
          </w:tcPr>
          <w:p>
            <w:pPr>
              <w:spacing w:after="0"/>
              <w:rPr>
                <w:sz w:val="18"/>
                <w:szCs w:val="18"/>
                <w:color w:val="auto"/>
              </w:rPr>
            </w:pPr>
          </w:p>
        </w:tc>
        <w:tc>
          <w:tcPr>
            <w:tcW w:w="880" w:type="dxa"/>
            <w:vAlign w:val="bottom"/>
            <w:tcBorders>
              <w:bottom w:val="single" w:sz="8" w:color="EBF7FC"/>
              <w:right w:val="single" w:sz="8" w:color="E5E9ED"/>
            </w:tcBorders>
            <w:shd w:val="clear" w:color="auto" w:fill="E5E9ED"/>
          </w:tcPr>
          <w:p>
            <w:pPr>
              <w:jc w:val="right"/>
              <w:ind w:right="29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EBF7FC"/>
              <w:right w:val="single" w:sz="8" w:color="E5E9ED"/>
            </w:tcBorders>
            <w:shd w:val="clear" w:color="auto" w:fill="E5E9ED"/>
          </w:tcPr>
          <w:p>
            <w:pPr>
              <w:jc w:val="right"/>
              <w:ind w:right="31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EBF7FC"/>
              <w:right w:val="single" w:sz="8" w:color="E5E9ED"/>
            </w:tcBorders>
            <w:shd w:val="clear" w:color="auto" w:fill="E5E9ED"/>
          </w:tcPr>
          <w:p>
            <w:pPr>
              <w:jc w:val="right"/>
              <w:ind w:right="31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EBF7FC"/>
              <w:right w:val="single" w:sz="8" w:color="E5E9ED"/>
            </w:tcBorders>
            <w:shd w:val="clear" w:color="auto" w:fill="E5E9ED"/>
          </w:tcPr>
          <w:p>
            <w:pPr>
              <w:jc w:val="right"/>
              <w:ind w:right="29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EBF7FC"/>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EBF7FC"/>
            </w:tcBorders>
          </w:tcPr>
          <w:p>
            <w:pPr>
              <w:spacing w:after="0"/>
              <w:rPr>
                <w:sz w:val="18"/>
                <w:szCs w:val="18"/>
                <w:color w:val="auto"/>
              </w:rPr>
            </w:pPr>
          </w:p>
        </w:tc>
      </w:tr>
      <w:tr>
        <w:trPr>
          <w:trHeight w:val="210"/>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b w:val="1"/>
                <w:bCs w:val="1"/>
                <w:color w:val="auto"/>
              </w:rPr>
              <w:t>Total Compensation from Summary</w:t>
            </w:r>
          </w:p>
        </w:tc>
        <w:tc>
          <w:tcPr>
            <w:tcW w:w="880" w:type="dxa"/>
            <w:vAlign w:val="bottom"/>
            <w:tcBorders>
              <w:right w:val="single" w:sz="8" w:color="EBF7FC"/>
            </w:tcBorders>
          </w:tcPr>
          <w:p>
            <w:pPr>
              <w:spacing w:after="0"/>
              <w:rPr>
                <w:sz w:val="18"/>
                <w:szCs w:val="18"/>
                <w:color w:val="auto"/>
              </w:rPr>
            </w:pPr>
          </w:p>
        </w:tc>
        <w:tc>
          <w:tcPr>
            <w:tcW w:w="900" w:type="dxa"/>
            <w:vAlign w:val="bottom"/>
            <w:tcBorders>
              <w:right w:val="single" w:sz="8" w:color="EBF7FC"/>
            </w:tcBorders>
          </w:tcPr>
          <w:p>
            <w:pPr>
              <w:spacing w:after="0"/>
              <w:rPr>
                <w:sz w:val="18"/>
                <w:szCs w:val="18"/>
                <w:color w:val="auto"/>
              </w:rPr>
            </w:pPr>
          </w:p>
        </w:tc>
        <w:tc>
          <w:tcPr>
            <w:tcW w:w="880" w:type="dxa"/>
            <w:vAlign w:val="bottom"/>
            <w:tcBorders>
              <w:right w:val="single" w:sz="8" w:color="EBF7FC"/>
            </w:tcBorders>
          </w:tcPr>
          <w:p>
            <w:pPr>
              <w:spacing w:after="0"/>
              <w:rPr>
                <w:sz w:val="18"/>
                <w:szCs w:val="18"/>
                <w:color w:val="auto"/>
              </w:rPr>
            </w:pPr>
          </w:p>
        </w:tc>
        <w:tc>
          <w:tcPr>
            <w:tcW w:w="880" w:type="dxa"/>
            <w:vAlign w:val="bottom"/>
            <w:tcBorders>
              <w:right w:val="single" w:sz="8" w:color="EBF7FC"/>
            </w:tcBorders>
          </w:tcPr>
          <w:p>
            <w:pPr>
              <w:spacing w:after="0"/>
              <w:rPr>
                <w:sz w:val="18"/>
                <w:szCs w:val="18"/>
                <w:color w:val="auto"/>
              </w:rPr>
            </w:pPr>
          </w:p>
        </w:tc>
        <w:tc>
          <w:tcPr>
            <w:tcW w:w="880" w:type="dxa"/>
            <w:vAlign w:val="bottom"/>
            <w:tcBorders>
              <w:right w:val="single" w:sz="8" w:color="EBF7FC"/>
            </w:tcBorders>
          </w:tcPr>
          <w:p>
            <w:pPr>
              <w:spacing w:after="0"/>
              <w:rPr>
                <w:sz w:val="18"/>
                <w:szCs w:val="18"/>
                <w:color w:val="auto"/>
              </w:rPr>
            </w:pPr>
          </w:p>
        </w:tc>
        <w:tc>
          <w:tcPr>
            <w:tcW w:w="860" w:type="dxa"/>
            <w:vAlign w:val="bottom"/>
            <w:tcBorders>
              <w:right w:val="single" w:sz="8" w:color="EBF7FC"/>
            </w:tcBorders>
          </w:tcPr>
          <w:p>
            <w:pPr>
              <w:spacing w:after="0"/>
              <w:rPr>
                <w:sz w:val="18"/>
                <w:szCs w:val="18"/>
                <w:color w:val="auto"/>
              </w:rPr>
            </w:pPr>
          </w:p>
        </w:tc>
        <w:tc>
          <w:tcPr>
            <w:tcW w:w="880" w:type="dxa"/>
            <w:vAlign w:val="bottom"/>
            <w:tcBorders>
              <w:right w:val="single" w:sz="8" w:color="EBF7FC"/>
            </w:tcBorders>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b w:val="1"/>
                <w:bCs w:val="1"/>
                <w:color w:val="auto"/>
              </w:rPr>
              <w:t>Compensation Table</w:t>
            </w:r>
          </w:p>
        </w:tc>
        <w:tc>
          <w:tcPr>
            <w:tcW w:w="880" w:type="dxa"/>
            <w:vAlign w:val="bottom"/>
            <w:tcBorders>
              <w:right w:val="single" w:sz="8" w:color="EBF7FC"/>
            </w:tcBorders>
          </w:tcPr>
          <w:p>
            <w:pPr>
              <w:jc w:val="right"/>
              <w:ind w:right="58"/>
              <w:spacing w:after="0"/>
              <w:rPr>
                <w:sz w:val="20"/>
                <w:szCs w:val="20"/>
                <w:color w:val="auto"/>
              </w:rPr>
            </w:pPr>
            <w:r>
              <w:rPr>
                <w:rFonts w:ascii="Arial" w:cs="Arial" w:eastAsia="Arial" w:hAnsi="Arial"/>
                <w:sz w:val="12"/>
                <w:szCs w:val="12"/>
                <w:color w:val="auto"/>
              </w:rPr>
              <w:t>2,498,908</w:t>
            </w:r>
          </w:p>
        </w:tc>
        <w:tc>
          <w:tcPr>
            <w:tcW w:w="90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1,482,822</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3,653,352</w:t>
            </w:r>
          </w:p>
        </w:tc>
        <w:tc>
          <w:tcPr>
            <w:tcW w:w="88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2,160,670</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2,001,234</w:t>
            </w:r>
          </w:p>
        </w:tc>
        <w:tc>
          <w:tcPr>
            <w:tcW w:w="860" w:type="dxa"/>
            <w:vAlign w:val="bottom"/>
            <w:tcBorders>
              <w:right w:val="single" w:sz="8" w:color="EBF7FC"/>
            </w:tcBorders>
          </w:tcPr>
          <w:p>
            <w:pPr>
              <w:jc w:val="right"/>
              <w:ind w:right="57"/>
              <w:spacing w:after="0"/>
              <w:rPr>
                <w:sz w:val="20"/>
                <w:szCs w:val="20"/>
                <w:color w:val="auto"/>
              </w:rPr>
            </w:pPr>
            <w:r>
              <w:rPr>
                <w:rFonts w:ascii="Arial" w:cs="Arial" w:eastAsia="Arial" w:hAnsi="Arial"/>
                <w:sz w:val="12"/>
                <w:szCs w:val="12"/>
                <w:color w:val="auto"/>
              </w:rPr>
              <w:t>866,917</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1,319,648</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761,867</w:t>
            </w:r>
          </w:p>
        </w:tc>
        <w:tc>
          <w:tcPr>
            <w:tcW w:w="20" w:type="dxa"/>
            <w:vAlign w:val="bottom"/>
          </w:tcPr>
          <w:p>
            <w:pPr>
              <w:spacing w:after="0"/>
              <w:rPr>
                <w:sz w:val="16"/>
                <w:szCs w:val="16"/>
                <w:color w:val="auto"/>
              </w:rPr>
            </w:pPr>
          </w:p>
        </w:tc>
      </w:tr>
      <w:tr>
        <w:trPr>
          <w:trHeight w:val="46"/>
        </w:trPr>
        <w:tc>
          <w:tcPr>
            <w:tcW w:w="2260" w:type="dxa"/>
            <w:vAlign w:val="bottom"/>
            <w:tcBorders>
              <w:bottom w:val="single" w:sz="8" w:color="EBF7FC"/>
              <w:right w:val="single" w:sz="8" w:color="EBF7FC"/>
            </w:tcBorders>
          </w:tcPr>
          <w:p>
            <w:pPr>
              <w:spacing w:after="0"/>
              <w:rPr>
                <w:sz w:val="3"/>
                <w:szCs w:val="3"/>
                <w:color w:val="auto"/>
              </w:rPr>
            </w:pPr>
          </w:p>
        </w:tc>
        <w:tc>
          <w:tcPr>
            <w:tcW w:w="880" w:type="dxa"/>
            <w:vAlign w:val="bottom"/>
            <w:tcBorders>
              <w:bottom w:val="single" w:sz="8" w:color="EBF7FC"/>
              <w:right w:val="single" w:sz="8" w:color="EBF7FC"/>
            </w:tcBorders>
          </w:tcPr>
          <w:p>
            <w:pPr>
              <w:spacing w:after="0"/>
              <w:rPr>
                <w:sz w:val="3"/>
                <w:szCs w:val="3"/>
                <w:color w:val="auto"/>
              </w:rPr>
            </w:pPr>
          </w:p>
        </w:tc>
        <w:tc>
          <w:tcPr>
            <w:tcW w:w="900" w:type="dxa"/>
            <w:vAlign w:val="bottom"/>
            <w:tcBorders>
              <w:bottom w:val="single" w:sz="8" w:color="EBF7FC"/>
              <w:right w:val="single" w:sz="8" w:color="EBF7FC"/>
            </w:tcBorders>
          </w:tcPr>
          <w:p>
            <w:pPr>
              <w:spacing w:after="0"/>
              <w:rPr>
                <w:sz w:val="3"/>
                <w:szCs w:val="3"/>
                <w:color w:val="auto"/>
              </w:rPr>
            </w:pPr>
          </w:p>
        </w:tc>
        <w:tc>
          <w:tcPr>
            <w:tcW w:w="880" w:type="dxa"/>
            <w:vAlign w:val="bottom"/>
            <w:tcBorders>
              <w:bottom w:val="single" w:sz="8" w:color="EBF7FC"/>
              <w:right w:val="single" w:sz="8" w:color="EBF7FC"/>
            </w:tcBorders>
          </w:tcPr>
          <w:p>
            <w:pPr>
              <w:spacing w:after="0"/>
              <w:rPr>
                <w:sz w:val="3"/>
                <w:szCs w:val="3"/>
                <w:color w:val="auto"/>
              </w:rPr>
            </w:pPr>
          </w:p>
        </w:tc>
        <w:tc>
          <w:tcPr>
            <w:tcW w:w="880" w:type="dxa"/>
            <w:vAlign w:val="bottom"/>
            <w:tcBorders>
              <w:bottom w:val="single" w:sz="8" w:color="EBF7FC"/>
              <w:right w:val="single" w:sz="8" w:color="EBF7FC"/>
            </w:tcBorders>
          </w:tcPr>
          <w:p>
            <w:pPr>
              <w:spacing w:after="0"/>
              <w:rPr>
                <w:sz w:val="3"/>
                <w:szCs w:val="3"/>
                <w:color w:val="auto"/>
              </w:rPr>
            </w:pPr>
          </w:p>
        </w:tc>
        <w:tc>
          <w:tcPr>
            <w:tcW w:w="880" w:type="dxa"/>
            <w:vAlign w:val="bottom"/>
            <w:tcBorders>
              <w:bottom w:val="single" w:sz="8" w:color="EBF7FC"/>
              <w:right w:val="single" w:sz="8" w:color="EBF7FC"/>
            </w:tcBorders>
          </w:tcPr>
          <w:p>
            <w:pPr>
              <w:spacing w:after="0"/>
              <w:rPr>
                <w:sz w:val="3"/>
                <w:szCs w:val="3"/>
                <w:color w:val="auto"/>
              </w:rPr>
            </w:pPr>
          </w:p>
        </w:tc>
        <w:tc>
          <w:tcPr>
            <w:tcW w:w="860" w:type="dxa"/>
            <w:vAlign w:val="bottom"/>
            <w:tcBorders>
              <w:bottom w:val="single" w:sz="8" w:color="EBF7FC"/>
              <w:right w:val="single" w:sz="8" w:color="EBF7FC"/>
            </w:tcBorders>
          </w:tcPr>
          <w:p>
            <w:pPr>
              <w:spacing w:after="0"/>
              <w:rPr>
                <w:sz w:val="3"/>
                <w:szCs w:val="3"/>
                <w:color w:val="auto"/>
              </w:rPr>
            </w:pPr>
          </w:p>
        </w:tc>
        <w:tc>
          <w:tcPr>
            <w:tcW w:w="880" w:type="dxa"/>
            <w:vAlign w:val="bottom"/>
            <w:tcBorders>
              <w:bottom w:val="single" w:sz="8" w:color="EBF7FC"/>
              <w:right w:val="single" w:sz="8" w:color="EBF7FC"/>
            </w:tcBorders>
          </w:tcPr>
          <w:p>
            <w:pPr>
              <w:spacing w:after="0"/>
              <w:rPr>
                <w:sz w:val="3"/>
                <w:szCs w:val="3"/>
                <w:color w:val="auto"/>
              </w:rPr>
            </w:pPr>
          </w:p>
        </w:tc>
        <w:tc>
          <w:tcPr>
            <w:tcW w:w="840" w:type="dxa"/>
            <w:vAlign w:val="bottom"/>
            <w:tcBorders>
              <w:bottom w:val="single" w:sz="8" w:color="EBF7FC"/>
            </w:tcBorders>
          </w:tcPr>
          <w:p>
            <w:pPr>
              <w:spacing w:after="0"/>
              <w:rPr>
                <w:sz w:val="3"/>
                <w:szCs w:val="3"/>
                <w:color w:val="auto"/>
              </w:rPr>
            </w:pPr>
          </w:p>
        </w:tc>
        <w:tc>
          <w:tcPr>
            <w:tcW w:w="20" w:type="dxa"/>
            <w:vAlign w:val="bottom"/>
          </w:tcPr>
          <w:p>
            <w:pPr>
              <w:spacing w:after="0"/>
              <w:rPr>
                <w:sz w:val="3"/>
                <w:szCs w:val="3"/>
                <w:color w:val="auto"/>
              </w:rPr>
            </w:pPr>
          </w:p>
        </w:tc>
      </w:tr>
      <w:tr>
        <w:trPr>
          <w:trHeight w:val="197"/>
        </w:trPr>
        <w:tc>
          <w:tcPr>
            <w:tcW w:w="22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Less: Change in Pension Value per the</w:t>
            </w:r>
          </w:p>
        </w:tc>
        <w:tc>
          <w:tcPr>
            <w:tcW w:w="880" w:type="dxa"/>
            <w:vAlign w:val="bottom"/>
            <w:tcBorders>
              <w:right w:val="single" w:sz="8" w:color="EBF7FC"/>
            </w:tcBorders>
            <w:shd w:val="clear" w:color="auto" w:fill="F3F9FD"/>
          </w:tcPr>
          <w:p>
            <w:pPr>
              <w:spacing w:after="0"/>
              <w:rPr>
                <w:sz w:val="17"/>
                <w:szCs w:val="17"/>
                <w:color w:val="auto"/>
              </w:rPr>
            </w:pPr>
          </w:p>
        </w:tc>
        <w:tc>
          <w:tcPr>
            <w:tcW w:w="90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6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40" w:type="dxa"/>
            <w:vAlign w:val="bottom"/>
            <w:shd w:val="clear" w:color="auto" w:fill="F3F9FD"/>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22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Summary Compensation Table</w:t>
            </w:r>
          </w:p>
        </w:tc>
        <w:tc>
          <w:tcPr>
            <w:tcW w:w="880" w:type="dxa"/>
            <w:vAlign w:val="bottom"/>
            <w:tcBorders>
              <w:bottom w:val="single" w:sz="8" w:color="F3F9FD"/>
              <w:right w:val="single" w:sz="8" w:color="EBF7FC"/>
            </w:tcBorders>
            <w:shd w:val="clear" w:color="auto" w:fill="F3F9FD"/>
          </w:tcPr>
          <w:p>
            <w:pPr>
              <w:jc w:val="right"/>
              <w:ind w:right="5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F3F9FD"/>
              <w:right w:val="single" w:sz="8" w:color="EBF7FC"/>
            </w:tcBorders>
            <w:shd w:val="clear" w:color="auto" w:fill="F3F9FD"/>
          </w:tcPr>
          <w:p>
            <w:pPr>
              <w:jc w:val="right"/>
              <w:ind w:right="5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(134)</w:t>
            </w:r>
          </w:p>
        </w:tc>
        <w:tc>
          <w:tcPr>
            <w:tcW w:w="840" w:type="dxa"/>
            <w:vAlign w:val="bottom"/>
            <w:tcBorders>
              <w:bottom w:val="single" w:sz="8" w:color="F3F9FD"/>
            </w:tcBorders>
            <w:shd w:val="clear" w:color="auto" w:fill="F3F9FD"/>
          </w:tcPr>
          <w:p>
            <w:pPr>
              <w:jc w:val="right"/>
              <w:ind w:right="37"/>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r>
      <w:tr>
        <w:trPr>
          <w:trHeight w:val="197"/>
        </w:trPr>
        <w:tc>
          <w:tcPr>
            <w:tcW w:w="226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2"/>
                <w:szCs w:val="12"/>
                <w:color w:val="auto"/>
              </w:rPr>
              <w:t>Less: Stock Awards per the Summary</w:t>
            </w:r>
          </w:p>
        </w:tc>
        <w:tc>
          <w:tcPr>
            <w:tcW w:w="880" w:type="dxa"/>
            <w:vAlign w:val="bottom"/>
            <w:tcBorders>
              <w:top w:val="single" w:sz="8" w:color="EBF7FC"/>
              <w:right w:val="single" w:sz="8" w:color="EBF7FC"/>
            </w:tcBorders>
          </w:tcPr>
          <w:p>
            <w:pPr>
              <w:spacing w:after="0"/>
              <w:rPr>
                <w:sz w:val="17"/>
                <w:szCs w:val="17"/>
                <w:color w:val="auto"/>
              </w:rPr>
            </w:pPr>
          </w:p>
        </w:tc>
        <w:tc>
          <w:tcPr>
            <w:tcW w:w="90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6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40" w:type="dxa"/>
            <w:vAlign w:val="bottom"/>
            <w:tcBorders>
              <w:top w:val="single" w:sz="8" w:color="EBF7FC"/>
            </w:tcBorders>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color w:val="auto"/>
              </w:rPr>
              <w:t>Compensation Table</w:t>
            </w:r>
          </w:p>
        </w:tc>
        <w:tc>
          <w:tcPr>
            <w:tcW w:w="880" w:type="dxa"/>
            <w:vAlign w:val="bottom"/>
            <w:tcBorders>
              <w:right w:val="single" w:sz="8" w:color="EBF7FC"/>
            </w:tcBorders>
          </w:tcPr>
          <w:p>
            <w:pPr>
              <w:jc w:val="right"/>
              <w:ind w:right="58"/>
              <w:spacing w:after="0"/>
              <w:rPr>
                <w:sz w:val="20"/>
                <w:szCs w:val="20"/>
                <w:color w:val="auto"/>
              </w:rPr>
            </w:pPr>
            <w:r>
              <w:rPr>
                <w:rFonts w:ascii="Arial" w:cs="Arial" w:eastAsia="Arial" w:hAnsi="Arial"/>
                <w:sz w:val="12"/>
                <w:szCs w:val="12"/>
                <w:color w:val="auto"/>
              </w:rPr>
              <w:t>(955,704)</w:t>
            </w:r>
          </w:p>
        </w:tc>
        <w:tc>
          <w:tcPr>
            <w:tcW w:w="90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(523,422)</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(1,766,543)</w:t>
            </w:r>
          </w:p>
        </w:tc>
        <w:tc>
          <w:tcPr>
            <w:tcW w:w="88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(1,016,200)</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(825,550)</w:t>
            </w:r>
          </w:p>
        </w:tc>
        <w:tc>
          <w:tcPr>
            <w:tcW w:w="860" w:type="dxa"/>
            <w:vAlign w:val="bottom"/>
            <w:tcBorders>
              <w:right w:val="single" w:sz="8" w:color="EBF7FC"/>
            </w:tcBorders>
          </w:tcPr>
          <w:p>
            <w:pPr>
              <w:jc w:val="right"/>
              <w:ind w:right="57"/>
              <w:spacing w:after="0"/>
              <w:rPr>
                <w:sz w:val="20"/>
                <w:szCs w:val="20"/>
                <w:color w:val="auto"/>
              </w:rPr>
            </w:pPr>
            <w:r>
              <w:rPr>
                <w:rFonts w:ascii="Arial" w:cs="Arial" w:eastAsia="Arial" w:hAnsi="Arial"/>
                <w:sz w:val="12"/>
                <w:szCs w:val="12"/>
                <w:color w:val="auto"/>
              </w:rPr>
              <w:t>(266,983)</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(610,400)</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(305,200)</w:t>
            </w:r>
          </w:p>
        </w:tc>
        <w:tc>
          <w:tcPr>
            <w:tcW w:w="20" w:type="dxa"/>
            <w:vAlign w:val="bottom"/>
          </w:tcPr>
          <w:p>
            <w:pPr>
              <w:spacing w:after="0"/>
              <w:rPr>
                <w:sz w:val="16"/>
                <w:szCs w:val="16"/>
                <w:color w:val="auto"/>
              </w:rPr>
            </w:pPr>
          </w:p>
        </w:tc>
      </w:tr>
      <w:tr>
        <w:trPr>
          <w:trHeight w:val="52"/>
        </w:trPr>
        <w:tc>
          <w:tcPr>
            <w:tcW w:w="2260" w:type="dxa"/>
            <w:vAlign w:val="bottom"/>
            <w:tcBorders>
              <w:bottom w:val="single" w:sz="8" w:color="EBF7FC"/>
              <w:right w:val="single" w:sz="8" w:color="EBF7FC"/>
            </w:tcBorders>
          </w:tcPr>
          <w:p>
            <w:pPr>
              <w:spacing w:after="0"/>
              <w:rPr>
                <w:sz w:val="4"/>
                <w:szCs w:val="4"/>
                <w:color w:val="auto"/>
              </w:rPr>
            </w:pPr>
          </w:p>
        </w:tc>
        <w:tc>
          <w:tcPr>
            <w:tcW w:w="880" w:type="dxa"/>
            <w:vAlign w:val="bottom"/>
            <w:tcBorders>
              <w:bottom w:val="single" w:sz="8" w:color="EBF7FC"/>
              <w:right w:val="single" w:sz="8" w:color="EBF7FC"/>
            </w:tcBorders>
          </w:tcPr>
          <w:p>
            <w:pPr>
              <w:spacing w:after="0"/>
              <w:rPr>
                <w:sz w:val="4"/>
                <w:szCs w:val="4"/>
                <w:color w:val="auto"/>
              </w:rPr>
            </w:pPr>
          </w:p>
        </w:tc>
        <w:tc>
          <w:tcPr>
            <w:tcW w:w="900" w:type="dxa"/>
            <w:vAlign w:val="bottom"/>
            <w:tcBorders>
              <w:bottom w:val="single" w:sz="8" w:color="EBF7FC"/>
              <w:right w:val="single" w:sz="8" w:color="EBF7FC"/>
            </w:tcBorders>
          </w:tcPr>
          <w:p>
            <w:pPr>
              <w:spacing w:after="0"/>
              <w:rPr>
                <w:sz w:val="4"/>
                <w:szCs w:val="4"/>
                <w:color w:val="auto"/>
              </w:rPr>
            </w:pPr>
          </w:p>
        </w:tc>
        <w:tc>
          <w:tcPr>
            <w:tcW w:w="880" w:type="dxa"/>
            <w:vAlign w:val="bottom"/>
            <w:tcBorders>
              <w:bottom w:val="single" w:sz="8" w:color="EBF7FC"/>
              <w:right w:val="single" w:sz="8" w:color="EBF7FC"/>
            </w:tcBorders>
          </w:tcPr>
          <w:p>
            <w:pPr>
              <w:spacing w:after="0"/>
              <w:rPr>
                <w:sz w:val="4"/>
                <w:szCs w:val="4"/>
                <w:color w:val="auto"/>
              </w:rPr>
            </w:pPr>
          </w:p>
        </w:tc>
        <w:tc>
          <w:tcPr>
            <w:tcW w:w="880" w:type="dxa"/>
            <w:vAlign w:val="bottom"/>
            <w:tcBorders>
              <w:bottom w:val="single" w:sz="8" w:color="EBF7FC"/>
              <w:right w:val="single" w:sz="8" w:color="EBF7FC"/>
            </w:tcBorders>
          </w:tcPr>
          <w:p>
            <w:pPr>
              <w:spacing w:after="0"/>
              <w:rPr>
                <w:sz w:val="4"/>
                <w:szCs w:val="4"/>
                <w:color w:val="auto"/>
              </w:rPr>
            </w:pPr>
          </w:p>
        </w:tc>
        <w:tc>
          <w:tcPr>
            <w:tcW w:w="880" w:type="dxa"/>
            <w:vAlign w:val="bottom"/>
            <w:tcBorders>
              <w:bottom w:val="single" w:sz="8" w:color="EBF7FC"/>
              <w:right w:val="single" w:sz="8" w:color="EBF7FC"/>
            </w:tcBorders>
          </w:tcPr>
          <w:p>
            <w:pPr>
              <w:spacing w:after="0"/>
              <w:rPr>
                <w:sz w:val="4"/>
                <w:szCs w:val="4"/>
                <w:color w:val="auto"/>
              </w:rPr>
            </w:pPr>
          </w:p>
        </w:tc>
        <w:tc>
          <w:tcPr>
            <w:tcW w:w="860" w:type="dxa"/>
            <w:vAlign w:val="bottom"/>
            <w:tcBorders>
              <w:bottom w:val="single" w:sz="8" w:color="EBF7FC"/>
              <w:right w:val="single" w:sz="8" w:color="EBF7FC"/>
            </w:tcBorders>
          </w:tcPr>
          <w:p>
            <w:pPr>
              <w:spacing w:after="0"/>
              <w:rPr>
                <w:sz w:val="4"/>
                <w:szCs w:val="4"/>
                <w:color w:val="auto"/>
              </w:rPr>
            </w:pPr>
          </w:p>
        </w:tc>
        <w:tc>
          <w:tcPr>
            <w:tcW w:w="880" w:type="dxa"/>
            <w:vAlign w:val="bottom"/>
            <w:tcBorders>
              <w:bottom w:val="single" w:sz="8" w:color="EBF7FC"/>
              <w:right w:val="single" w:sz="8" w:color="EBF7FC"/>
            </w:tcBorders>
          </w:tcPr>
          <w:p>
            <w:pPr>
              <w:spacing w:after="0"/>
              <w:rPr>
                <w:sz w:val="4"/>
                <w:szCs w:val="4"/>
                <w:color w:val="auto"/>
              </w:rPr>
            </w:pPr>
          </w:p>
        </w:tc>
        <w:tc>
          <w:tcPr>
            <w:tcW w:w="840" w:type="dxa"/>
            <w:vAlign w:val="bottom"/>
            <w:tcBorders>
              <w:bottom w:val="single" w:sz="8" w:color="EBF7FC"/>
            </w:tcBorders>
          </w:tcPr>
          <w:p>
            <w:pPr>
              <w:spacing w:after="0"/>
              <w:rPr>
                <w:sz w:val="4"/>
                <w:szCs w:val="4"/>
                <w:color w:val="auto"/>
              </w:rPr>
            </w:pPr>
          </w:p>
        </w:tc>
        <w:tc>
          <w:tcPr>
            <w:tcW w:w="20" w:type="dxa"/>
            <w:vAlign w:val="bottom"/>
          </w:tcPr>
          <w:p>
            <w:pPr>
              <w:spacing w:after="0"/>
              <w:rPr>
                <w:sz w:val="4"/>
                <w:szCs w:val="4"/>
                <w:color w:val="auto"/>
              </w:rPr>
            </w:pPr>
          </w:p>
        </w:tc>
      </w:tr>
      <w:tr>
        <w:trPr>
          <w:trHeight w:val="197"/>
        </w:trPr>
        <w:tc>
          <w:tcPr>
            <w:tcW w:w="22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Add: Year-end fair value of unvested</w:t>
            </w:r>
          </w:p>
        </w:tc>
        <w:tc>
          <w:tcPr>
            <w:tcW w:w="880" w:type="dxa"/>
            <w:vAlign w:val="bottom"/>
            <w:tcBorders>
              <w:right w:val="single" w:sz="8" w:color="EBF7FC"/>
            </w:tcBorders>
            <w:shd w:val="clear" w:color="auto" w:fill="F3F9FD"/>
          </w:tcPr>
          <w:p>
            <w:pPr>
              <w:spacing w:after="0"/>
              <w:rPr>
                <w:sz w:val="17"/>
                <w:szCs w:val="17"/>
                <w:color w:val="auto"/>
              </w:rPr>
            </w:pPr>
          </w:p>
        </w:tc>
        <w:tc>
          <w:tcPr>
            <w:tcW w:w="90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6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40" w:type="dxa"/>
            <w:vAlign w:val="bottom"/>
            <w:shd w:val="clear" w:color="auto" w:fill="F3F9FD"/>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22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awards granted in the current year</w:t>
            </w:r>
          </w:p>
        </w:tc>
        <w:tc>
          <w:tcPr>
            <w:tcW w:w="880" w:type="dxa"/>
            <w:vAlign w:val="bottom"/>
            <w:tcBorders>
              <w:bottom w:val="single" w:sz="8" w:color="F3F9FD"/>
              <w:right w:val="single" w:sz="8" w:color="EBF7FC"/>
            </w:tcBorders>
            <w:shd w:val="clear" w:color="auto" w:fill="F3F9FD"/>
          </w:tcPr>
          <w:p>
            <w:pPr>
              <w:jc w:val="right"/>
              <w:ind w:right="58"/>
              <w:spacing w:after="0"/>
              <w:rPr>
                <w:sz w:val="20"/>
                <w:szCs w:val="20"/>
                <w:color w:val="auto"/>
              </w:rPr>
            </w:pPr>
            <w:r>
              <w:rPr>
                <w:rFonts w:ascii="Arial" w:cs="Arial" w:eastAsia="Arial" w:hAnsi="Arial"/>
                <w:sz w:val="12"/>
                <w:szCs w:val="12"/>
                <w:color w:val="auto"/>
              </w:rPr>
              <w:t>1,615,397</w:t>
            </w:r>
          </w:p>
        </w:tc>
        <w:tc>
          <w:tcPr>
            <w:tcW w:w="90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color w:val="auto"/>
              </w:rPr>
              <w:t>903,323</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1,744,738</w:t>
            </w:r>
          </w:p>
        </w:tc>
        <w:tc>
          <w:tcPr>
            <w:tcW w:w="88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color w:val="auto"/>
              </w:rPr>
              <w:t>1,094,443</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238,600</w:t>
            </w:r>
          </w:p>
        </w:tc>
        <w:tc>
          <w:tcPr>
            <w:tcW w:w="860" w:type="dxa"/>
            <w:vAlign w:val="bottom"/>
            <w:tcBorders>
              <w:bottom w:val="single" w:sz="8" w:color="F3F9FD"/>
              <w:right w:val="single" w:sz="8" w:color="EBF7FC"/>
            </w:tcBorders>
            <w:shd w:val="clear" w:color="auto" w:fill="F3F9FD"/>
          </w:tcPr>
          <w:p>
            <w:pPr>
              <w:jc w:val="right"/>
              <w:ind w:right="57"/>
              <w:spacing w:after="0"/>
              <w:rPr>
                <w:sz w:val="20"/>
                <w:szCs w:val="20"/>
                <w:color w:val="auto"/>
              </w:rPr>
            </w:pPr>
            <w:r>
              <w:rPr>
                <w:rFonts w:ascii="Arial" w:cs="Arial" w:eastAsia="Arial" w:hAnsi="Arial"/>
                <w:sz w:val="12"/>
                <w:szCs w:val="12"/>
                <w:color w:val="auto"/>
              </w:rPr>
              <w:t>59,650</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430,123</w:t>
            </w:r>
          </w:p>
        </w:tc>
        <w:tc>
          <w:tcPr>
            <w:tcW w:w="840" w:type="dxa"/>
            <w:vAlign w:val="bottom"/>
            <w:tcBorders>
              <w:bottom w:val="single" w:sz="8" w:color="F3F9FD"/>
            </w:tcBorders>
            <w:shd w:val="clear" w:color="auto" w:fill="F3F9FD"/>
          </w:tcPr>
          <w:p>
            <w:pPr>
              <w:jc w:val="right"/>
              <w:ind w:right="37"/>
              <w:spacing w:after="0"/>
              <w:rPr>
                <w:sz w:val="20"/>
                <w:szCs w:val="20"/>
                <w:color w:val="auto"/>
              </w:rPr>
            </w:pPr>
            <w:r>
              <w:rPr>
                <w:rFonts w:ascii="Arial" w:cs="Arial" w:eastAsia="Arial" w:hAnsi="Arial"/>
                <w:sz w:val="12"/>
                <w:szCs w:val="12"/>
                <w:color w:val="auto"/>
              </w:rPr>
              <w:t>215,061</w:t>
            </w:r>
          </w:p>
        </w:tc>
        <w:tc>
          <w:tcPr>
            <w:tcW w:w="20" w:type="dxa"/>
            <w:vAlign w:val="bottom"/>
          </w:tcPr>
          <w:p>
            <w:pPr>
              <w:spacing w:after="0"/>
              <w:rPr>
                <w:sz w:val="21"/>
                <w:szCs w:val="21"/>
                <w:color w:val="auto"/>
              </w:rPr>
            </w:pPr>
          </w:p>
        </w:tc>
      </w:tr>
      <w:tr>
        <w:trPr>
          <w:trHeight w:val="197"/>
        </w:trPr>
        <w:tc>
          <w:tcPr>
            <w:tcW w:w="226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2"/>
                <w:szCs w:val="12"/>
                <w:color w:val="auto"/>
              </w:rPr>
              <w:t>Add: Year-over-year difference of year-</w:t>
            </w:r>
          </w:p>
        </w:tc>
        <w:tc>
          <w:tcPr>
            <w:tcW w:w="880" w:type="dxa"/>
            <w:vAlign w:val="bottom"/>
            <w:tcBorders>
              <w:top w:val="single" w:sz="8" w:color="EBF7FC"/>
              <w:right w:val="single" w:sz="8" w:color="EBF7FC"/>
            </w:tcBorders>
          </w:tcPr>
          <w:p>
            <w:pPr>
              <w:spacing w:after="0"/>
              <w:rPr>
                <w:sz w:val="17"/>
                <w:szCs w:val="17"/>
                <w:color w:val="auto"/>
              </w:rPr>
            </w:pPr>
          </w:p>
        </w:tc>
        <w:tc>
          <w:tcPr>
            <w:tcW w:w="90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6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40" w:type="dxa"/>
            <w:vAlign w:val="bottom"/>
            <w:tcBorders>
              <w:top w:val="single" w:sz="8" w:color="EBF7FC"/>
            </w:tcBorders>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color w:val="auto"/>
              </w:rPr>
              <w:t>end fair values for unvested awards</w:t>
            </w:r>
          </w:p>
        </w:tc>
        <w:tc>
          <w:tcPr>
            <w:tcW w:w="880" w:type="dxa"/>
            <w:vAlign w:val="bottom"/>
            <w:tcBorders>
              <w:right w:val="single" w:sz="8" w:color="EBF7FC"/>
            </w:tcBorders>
          </w:tcPr>
          <w:p>
            <w:pPr>
              <w:spacing w:after="0"/>
              <w:rPr>
                <w:sz w:val="16"/>
                <w:szCs w:val="16"/>
                <w:color w:val="auto"/>
              </w:rPr>
            </w:pPr>
          </w:p>
        </w:tc>
        <w:tc>
          <w:tcPr>
            <w:tcW w:w="90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6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color w:val="auto"/>
              </w:rPr>
              <w:t>granted in prior years</w:t>
            </w:r>
          </w:p>
        </w:tc>
        <w:tc>
          <w:tcPr>
            <w:tcW w:w="880" w:type="dxa"/>
            <w:vAlign w:val="bottom"/>
            <w:tcBorders>
              <w:right w:val="single" w:sz="8" w:color="EBF7FC"/>
            </w:tcBorders>
          </w:tcPr>
          <w:p>
            <w:pPr>
              <w:jc w:val="right"/>
              <w:ind w:right="58"/>
              <w:spacing w:after="0"/>
              <w:rPr>
                <w:sz w:val="20"/>
                <w:szCs w:val="20"/>
                <w:color w:val="auto"/>
              </w:rPr>
            </w:pPr>
            <w:r>
              <w:rPr>
                <w:rFonts w:ascii="Arial" w:cs="Arial" w:eastAsia="Arial" w:hAnsi="Arial"/>
                <w:sz w:val="12"/>
                <w:szCs w:val="12"/>
                <w:color w:val="auto"/>
              </w:rPr>
              <w:t>389,089</w:t>
            </w:r>
          </w:p>
        </w:tc>
        <w:tc>
          <w:tcPr>
            <w:tcW w:w="90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208,148</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23,600</w:t>
            </w:r>
          </w:p>
        </w:tc>
        <w:tc>
          <w:tcPr>
            <w:tcW w:w="88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11,800</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(55,999)</w:t>
            </w:r>
          </w:p>
        </w:tc>
        <w:tc>
          <w:tcPr>
            <w:tcW w:w="860" w:type="dxa"/>
            <w:vAlign w:val="bottom"/>
            <w:tcBorders>
              <w:right w:val="single" w:sz="8" w:color="EBF7FC"/>
            </w:tcBorders>
          </w:tcPr>
          <w:p>
            <w:pPr>
              <w:jc w:val="right"/>
              <w:ind w:right="57"/>
              <w:spacing w:after="0"/>
              <w:rPr>
                <w:sz w:val="20"/>
                <w:szCs w:val="20"/>
                <w:color w:val="auto"/>
              </w:rPr>
            </w:pPr>
            <w:r>
              <w:rPr>
                <w:rFonts w:ascii="Arial" w:cs="Arial" w:eastAsia="Arial" w:hAnsi="Arial"/>
                <w:sz w:val="12"/>
                <w:szCs w:val="12"/>
                <w:color w:val="auto"/>
              </w:rPr>
              <w:t>(13,999)</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49,066</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24,532</w:t>
            </w:r>
          </w:p>
        </w:tc>
        <w:tc>
          <w:tcPr>
            <w:tcW w:w="20" w:type="dxa"/>
            <w:vAlign w:val="bottom"/>
          </w:tcPr>
          <w:p>
            <w:pPr>
              <w:spacing w:after="0"/>
              <w:rPr>
                <w:sz w:val="15"/>
                <w:szCs w:val="15"/>
                <w:color w:val="auto"/>
              </w:rPr>
            </w:pPr>
          </w:p>
        </w:tc>
      </w:tr>
      <w:tr>
        <w:trPr>
          <w:trHeight w:val="64"/>
        </w:trPr>
        <w:tc>
          <w:tcPr>
            <w:tcW w:w="226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90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6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4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197"/>
        </w:trPr>
        <w:tc>
          <w:tcPr>
            <w:tcW w:w="22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Add: Fair value at vest date for awards</w:t>
            </w:r>
          </w:p>
        </w:tc>
        <w:tc>
          <w:tcPr>
            <w:tcW w:w="880" w:type="dxa"/>
            <w:vAlign w:val="bottom"/>
            <w:tcBorders>
              <w:right w:val="single" w:sz="8" w:color="EBF7FC"/>
            </w:tcBorders>
            <w:shd w:val="clear" w:color="auto" w:fill="F3F9FD"/>
          </w:tcPr>
          <w:p>
            <w:pPr>
              <w:spacing w:after="0"/>
              <w:rPr>
                <w:sz w:val="17"/>
                <w:szCs w:val="17"/>
                <w:color w:val="auto"/>
              </w:rPr>
            </w:pPr>
          </w:p>
        </w:tc>
        <w:tc>
          <w:tcPr>
            <w:tcW w:w="90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6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40" w:type="dxa"/>
            <w:vAlign w:val="bottom"/>
            <w:shd w:val="clear" w:color="auto" w:fill="F3F9FD"/>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22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2"/>
                <w:szCs w:val="12"/>
                <w:color w:val="auto"/>
              </w:rPr>
              <w:t>granted and vested in current year</w:t>
            </w:r>
          </w:p>
        </w:tc>
        <w:tc>
          <w:tcPr>
            <w:tcW w:w="880" w:type="dxa"/>
            <w:vAlign w:val="bottom"/>
            <w:tcBorders>
              <w:bottom w:val="single" w:sz="8" w:color="F3F9FD"/>
              <w:right w:val="single" w:sz="8" w:color="EBF7FC"/>
            </w:tcBorders>
            <w:shd w:val="clear" w:color="auto" w:fill="F3F9FD"/>
          </w:tcPr>
          <w:p>
            <w:pPr>
              <w:jc w:val="right"/>
              <w:ind w:right="58"/>
              <w:spacing w:after="0"/>
              <w:rPr>
                <w:sz w:val="20"/>
                <w:szCs w:val="20"/>
                <w:color w:val="auto"/>
              </w:rPr>
            </w:pPr>
            <w:r>
              <w:rPr>
                <w:rFonts w:ascii="Arial" w:cs="Arial" w:eastAsia="Arial" w:hAnsi="Arial"/>
                <w:sz w:val="12"/>
                <w:szCs w:val="12"/>
                <w:color w:val="auto"/>
              </w:rPr>
              <w:t>302,424</w:t>
            </w:r>
          </w:p>
        </w:tc>
        <w:tc>
          <w:tcPr>
            <w:tcW w:w="90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color w:val="auto"/>
              </w:rPr>
              <w:t>151,225</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119,300</w:t>
            </w:r>
          </w:p>
        </w:tc>
        <w:tc>
          <w:tcPr>
            <w:tcW w:w="860" w:type="dxa"/>
            <w:vAlign w:val="bottom"/>
            <w:tcBorders>
              <w:bottom w:val="single" w:sz="8" w:color="F3F9FD"/>
              <w:right w:val="single" w:sz="8" w:color="EBF7FC"/>
            </w:tcBorders>
            <w:shd w:val="clear" w:color="auto" w:fill="F3F9FD"/>
          </w:tcPr>
          <w:p>
            <w:pPr>
              <w:jc w:val="right"/>
              <w:ind w:right="57"/>
              <w:spacing w:after="0"/>
              <w:rPr>
                <w:sz w:val="20"/>
                <w:szCs w:val="20"/>
                <w:color w:val="auto"/>
              </w:rPr>
            </w:pPr>
            <w:r>
              <w:rPr>
                <w:rFonts w:ascii="Arial" w:cs="Arial" w:eastAsia="Arial" w:hAnsi="Arial"/>
                <w:sz w:val="12"/>
                <w:szCs w:val="12"/>
                <w:color w:val="auto"/>
              </w:rPr>
              <w:t>29,825</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color w:val="auto"/>
              </w:rPr>
              <w:t>215,077</w:t>
            </w:r>
          </w:p>
        </w:tc>
        <w:tc>
          <w:tcPr>
            <w:tcW w:w="840" w:type="dxa"/>
            <w:vAlign w:val="bottom"/>
            <w:tcBorders>
              <w:bottom w:val="single" w:sz="8" w:color="F3F9FD"/>
            </w:tcBorders>
            <w:shd w:val="clear" w:color="auto" w:fill="F3F9FD"/>
          </w:tcPr>
          <w:p>
            <w:pPr>
              <w:jc w:val="right"/>
              <w:ind w:right="37"/>
              <w:spacing w:after="0"/>
              <w:rPr>
                <w:sz w:val="20"/>
                <w:szCs w:val="20"/>
                <w:color w:val="auto"/>
              </w:rPr>
            </w:pPr>
            <w:r>
              <w:rPr>
                <w:rFonts w:ascii="Arial" w:cs="Arial" w:eastAsia="Arial" w:hAnsi="Arial"/>
                <w:sz w:val="12"/>
                <w:szCs w:val="12"/>
                <w:color w:val="auto"/>
              </w:rPr>
              <w:t>107,539</w:t>
            </w:r>
          </w:p>
        </w:tc>
        <w:tc>
          <w:tcPr>
            <w:tcW w:w="20" w:type="dxa"/>
            <w:vAlign w:val="bottom"/>
          </w:tcPr>
          <w:p>
            <w:pPr>
              <w:spacing w:after="0"/>
              <w:rPr>
                <w:sz w:val="21"/>
                <w:szCs w:val="21"/>
                <w:color w:val="auto"/>
              </w:rPr>
            </w:pPr>
          </w:p>
        </w:tc>
      </w:tr>
      <w:tr>
        <w:trPr>
          <w:trHeight w:val="197"/>
        </w:trPr>
        <w:tc>
          <w:tcPr>
            <w:tcW w:w="226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2"/>
                <w:szCs w:val="12"/>
                <w:color w:val="auto"/>
              </w:rPr>
              <w:t>Add: Difference in fair value between</w:t>
            </w:r>
          </w:p>
        </w:tc>
        <w:tc>
          <w:tcPr>
            <w:tcW w:w="880" w:type="dxa"/>
            <w:vAlign w:val="bottom"/>
            <w:tcBorders>
              <w:top w:val="single" w:sz="8" w:color="EBF7FC"/>
              <w:right w:val="single" w:sz="8" w:color="EBF7FC"/>
            </w:tcBorders>
          </w:tcPr>
          <w:p>
            <w:pPr>
              <w:spacing w:after="0"/>
              <w:rPr>
                <w:sz w:val="17"/>
                <w:szCs w:val="17"/>
                <w:color w:val="auto"/>
              </w:rPr>
            </w:pPr>
          </w:p>
        </w:tc>
        <w:tc>
          <w:tcPr>
            <w:tcW w:w="90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60" w:type="dxa"/>
            <w:vAlign w:val="bottom"/>
            <w:tcBorders>
              <w:top w:val="single" w:sz="8" w:color="EBF7FC"/>
              <w:right w:val="single" w:sz="8" w:color="EBF7FC"/>
            </w:tcBorders>
          </w:tcPr>
          <w:p>
            <w:pPr>
              <w:spacing w:after="0"/>
              <w:rPr>
                <w:sz w:val="17"/>
                <w:szCs w:val="17"/>
                <w:color w:val="auto"/>
              </w:rPr>
            </w:pPr>
          </w:p>
        </w:tc>
        <w:tc>
          <w:tcPr>
            <w:tcW w:w="880" w:type="dxa"/>
            <w:vAlign w:val="bottom"/>
            <w:tcBorders>
              <w:top w:val="single" w:sz="8" w:color="EBF7FC"/>
              <w:right w:val="single" w:sz="8" w:color="EBF7FC"/>
            </w:tcBorders>
          </w:tcPr>
          <w:p>
            <w:pPr>
              <w:spacing w:after="0"/>
              <w:rPr>
                <w:sz w:val="17"/>
                <w:szCs w:val="17"/>
                <w:color w:val="auto"/>
              </w:rPr>
            </w:pPr>
          </w:p>
        </w:tc>
        <w:tc>
          <w:tcPr>
            <w:tcW w:w="840" w:type="dxa"/>
            <w:vAlign w:val="bottom"/>
            <w:tcBorders>
              <w:top w:val="single" w:sz="8" w:color="EBF7FC"/>
            </w:tcBorders>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color w:val="auto"/>
              </w:rPr>
              <w:t>prior year-end fair value and vest date</w:t>
            </w:r>
          </w:p>
        </w:tc>
        <w:tc>
          <w:tcPr>
            <w:tcW w:w="880" w:type="dxa"/>
            <w:vAlign w:val="bottom"/>
            <w:tcBorders>
              <w:right w:val="single" w:sz="8" w:color="EBF7FC"/>
            </w:tcBorders>
          </w:tcPr>
          <w:p>
            <w:pPr>
              <w:spacing w:after="0"/>
              <w:rPr>
                <w:sz w:val="16"/>
                <w:szCs w:val="16"/>
                <w:color w:val="auto"/>
              </w:rPr>
            </w:pPr>
          </w:p>
        </w:tc>
        <w:tc>
          <w:tcPr>
            <w:tcW w:w="90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60" w:type="dxa"/>
            <w:vAlign w:val="bottom"/>
            <w:tcBorders>
              <w:right w:val="single" w:sz="8" w:color="EBF7FC"/>
            </w:tcBorders>
          </w:tcPr>
          <w:p>
            <w:pPr>
              <w:spacing w:after="0"/>
              <w:rPr>
                <w:sz w:val="16"/>
                <w:szCs w:val="16"/>
                <w:color w:val="auto"/>
              </w:rPr>
            </w:pPr>
          </w:p>
        </w:tc>
        <w:tc>
          <w:tcPr>
            <w:tcW w:w="880" w:type="dxa"/>
            <w:vAlign w:val="bottom"/>
            <w:tcBorders>
              <w:right w:val="single" w:sz="8" w:color="EBF7FC"/>
            </w:tcBorders>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color w:val="auto"/>
              </w:rPr>
              <w:t>fair value for awards granted in prior</w:t>
            </w:r>
          </w:p>
        </w:tc>
        <w:tc>
          <w:tcPr>
            <w:tcW w:w="880" w:type="dxa"/>
            <w:vAlign w:val="bottom"/>
            <w:tcBorders>
              <w:right w:val="single" w:sz="8" w:color="EBF7FC"/>
            </w:tcBorders>
          </w:tcPr>
          <w:p>
            <w:pPr>
              <w:spacing w:after="0"/>
              <w:rPr>
                <w:sz w:val="15"/>
                <w:szCs w:val="15"/>
                <w:color w:val="auto"/>
              </w:rPr>
            </w:pPr>
          </w:p>
        </w:tc>
        <w:tc>
          <w:tcPr>
            <w:tcW w:w="900" w:type="dxa"/>
            <w:vAlign w:val="bottom"/>
            <w:tcBorders>
              <w:right w:val="single" w:sz="8" w:color="EBF7FC"/>
            </w:tcBorders>
          </w:tcPr>
          <w:p>
            <w:pPr>
              <w:spacing w:after="0"/>
              <w:rPr>
                <w:sz w:val="15"/>
                <w:szCs w:val="15"/>
                <w:color w:val="auto"/>
              </w:rPr>
            </w:pPr>
          </w:p>
        </w:tc>
        <w:tc>
          <w:tcPr>
            <w:tcW w:w="880" w:type="dxa"/>
            <w:vAlign w:val="bottom"/>
            <w:tcBorders>
              <w:right w:val="single" w:sz="8" w:color="EBF7FC"/>
            </w:tcBorders>
          </w:tcPr>
          <w:p>
            <w:pPr>
              <w:spacing w:after="0"/>
              <w:rPr>
                <w:sz w:val="15"/>
                <w:szCs w:val="15"/>
                <w:color w:val="auto"/>
              </w:rPr>
            </w:pPr>
          </w:p>
        </w:tc>
        <w:tc>
          <w:tcPr>
            <w:tcW w:w="880" w:type="dxa"/>
            <w:vAlign w:val="bottom"/>
            <w:tcBorders>
              <w:right w:val="single" w:sz="8" w:color="EBF7FC"/>
            </w:tcBorders>
          </w:tcPr>
          <w:p>
            <w:pPr>
              <w:spacing w:after="0"/>
              <w:rPr>
                <w:sz w:val="15"/>
                <w:szCs w:val="15"/>
                <w:color w:val="auto"/>
              </w:rPr>
            </w:pPr>
          </w:p>
        </w:tc>
        <w:tc>
          <w:tcPr>
            <w:tcW w:w="880" w:type="dxa"/>
            <w:vAlign w:val="bottom"/>
            <w:tcBorders>
              <w:right w:val="single" w:sz="8" w:color="EBF7FC"/>
            </w:tcBorders>
          </w:tcPr>
          <w:p>
            <w:pPr>
              <w:spacing w:after="0"/>
              <w:rPr>
                <w:sz w:val="15"/>
                <w:szCs w:val="15"/>
                <w:color w:val="auto"/>
              </w:rPr>
            </w:pPr>
          </w:p>
        </w:tc>
        <w:tc>
          <w:tcPr>
            <w:tcW w:w="860" w:type="dxa"/>
            <w:vAlign w:val="bottom"/>
            <w:tcBorders>
              <w:right w:val="single" w:sz="8" w:color="EBF7FC"/>
            </w:tcBorders>
          </w:tcPr>
          <w:p>
            <w:pPr>
              <w:spacing w:after="0"/>
              <w:rPr>
                <w:sz w:val="15"/>
                <w:szCs w:val="15"/>
                <w:color w:val="auto"/>
              </w:rPr>
            </w:pPr>
          </w:p>
        </w:tc>
        <w:tc>
          <w:tcPr>
            <w:tcW w:w="880" w:type="dxa"/>
            <w:vAlign w:val="bottom"/>
            <w:tcBorders>
              <w:right w:val="single" w:sz="8" w:color="EBF7FC"/>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260" w:type="dxa"/>
            <w:vAlign w:val="bottom"/>
            <w:tcBorders>
              <w:right w:val="single" w:sz="8" w:color="EBF7FC"/>
            </w:tcBorders>
          </w:tcPr>
          <w:p>
            <w:pPr>
              <w:ind w:left="80"/>
              <w:spacing w:after="0"/>
              <w:rPr>
                <w:sz w:val="20"/>
                <w:szCs w:val="20"/>
                <w:color w:val="auto"/>
              </w:rPr>
            </w:pPr>
            <w:r>
              <w:rPr>
                <w:rFonts w:ascii="Arial" w:cs="Arial" w:eastAsia="Arial" w:hAnsi="Arial"/>
                <w:sz w:val="12"/>
                <w:szCs w:val="12"/>
                <w:color w:val="auto"/>
              </w:rPr>
              <w:t>years</w:t>
            </w:r>
          </w:p>
        </w:tc>
        <w:tc>
          <w:tcPr>
            <w:tcW w:w="880" w:type="dxa"/>
            <w:vAlign w:val="bottom"/>
            <w:tcBorders>
              <w:right w:val="single" w:sz="8" w:color="EBF7FC"/>
            </w:tcBorders>
          </w:tcPr>
          <w:p>
            <w:pPr>
              <w:jc w:val="right"/>
              <w:ind w:right="58"/>
              <w:spacing w:after="0"/>
              <w:rPr>
                <w:sz w:val="20"/>
                <w:szCs w:val="20"/>
                <w:color w:val="auto"/>
              </w:rPr>
            </w:pPr>
            <w:r>
              <w:rPr>
                <w:rFonts w:ascii="Arial" w:cs="Arial" w:eastAsia="Arial" w:hAnsi="Arial"/>
                <w:sz w:val="12"/>
                <w:szCs w:val="12"/>
                <w:color w:val="auto"/>
              </w:rPr>
              <w:t>473,551</w:t>
            </w:r>
          </w:p>
        </w:tc>
        <w:tc>
          <w:tcPr>
            <w:tcW w:w="90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298,637</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55,066</w:t>
            </w:r>
          </w:p>
        </w:tc>
        <w:tc>
          <w:tcPr>
            <w:tcW w:w="880" w:type="dxa"/>
            <w:vAlign w:val="bottom"/>
            <w:tcBorders>
              <w:right w:val="single" w:sz="8" w:color="EBF7FC"/>
            </w:tcBorders>
          </w:tcPr>
          <w:p>
            <w:pPr>
              <w:jc w:val="right"/>
              <w:ind w:right="77"/>
              <w:spacing w:after="0"/>
              <w:rPr>
                <w:sz w:val="20"/>
                <w:szCs w:val="20"/>
                <w:color w:val="auto"/>
              </w:rPr>
            </w:pPr>
            <w:r>
              <w:rPr>
                <w:rFonts w:ascii="Arial" w:cs="Arial" w:eastAsia="Arial" w:hAnsi="Arial"/>
                <w:sz w:val="12"/>
                <w:szCs w:val="12"/>
                <w:color w:val="auto"/>
              </w:rPr>
              <w:t>27,532</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(145,597)</w:t>
            </w:r>
          </w:p>
        </w:tc>
        <w:tc>
          <w:tcPr>
            <w:tcW w:w="860" w:type="dxa"/>
            <w:vAlign w:val="bottom"/>
            <w:tcBorders>
              <w:right w:val="single" w:sz="8" w:color="EBF7FC"/>
            </w:tcBorders>
          </w:tcPr>
          <w:p>
            <w:pPr>
              <w:jc w:val="right"/>
              <w:ind w:right="57"/>
              <w:spacing w:after="0"/>
              <w:rPr>
                <w:sz w:val="20"/>
                <w:szCs w:val="20"/>
                <w:color w:val="auto"/>
              </w:rPr>
            </w:pPr>
            <w:r>
              <w:rPr>
                <w:rFonts w:ascii="Arial" w:cs="Arial" w:eastAsia="Arial" w:hAnsi="Arial"/>
                <w:sz w:val="12"/>
                <w:szCs w:val="12"/>
                <w:color w:val="auto"/>
              </w:rPr>
              <w:t>(39,639)</w:t>
            </w:r>
          </w:p>
        </w:tc>
        <w:tc>
          <w:tcPr>
            <w:tcW w:w="880" w:type="dxa"/>
            <w:vAlign w:val="bottom"/>
            <w:tcBorders>
              <w:right w:val="single" w:sz="8" w:color="EBF7FC"/>
            </w:tcBorders>
          </w:tcPr>
          <w:p>
            <w:pPr>
              <w:jc w:val="right"/>
              <w:ind w:right="78"/>
              <w:spacing w:after="0"/>
              <w:rPr>
                <w:sz w:val="20"/>
                <w:szCs w:val="20"/>
                <w:color w:val="auto"/>
              </w:rPr>
            </w:pPr>
            <w:r>
              <w:rPr>
                <w:rFonts w:ascii="Arial" w:cs="Arial" w:eastAsia="Arial" w:hAnsi="Arial"/>
                <w:sz w:val="12"/>
                <w:szCs w:val="12"/>
                <w:color w:val="auto"/>
              </w:rPr>
              <w:t>49,066</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24,534</w:t>
            </w:r>
          </w:p>
        </w:tc>
        <w:tc>
          <w:tcPr>
            <w:tcW w:w="20" w:type="dxa"/>
            <w:vAlign w:val="bottom"/>
          </w:tcPr>
          <w:p>
            <w:pPr>
              <w:spacing w:after="0"/>
              <w:rPr>
                <w:sz w:val="16"/>
                <w:szCs w:val="16"/>
                <w:color w:val="auto"/>
              </w:rPr>
            </w:pPr>
          </w:p>
        </w:tc>
      </w:tr>
      <w:tr>
        <w:trPr>
          <w:trHeight w:val="64"/>
        </w:trPr>
        <w:tc>
          <w:tcPr>
            <w:tcW w:w="226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90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60" w:type="dxa"/>
            <w:vAlign w:val="bottom"/>
            <w:tcBorders>
              <w:bottom w:val="single" w:sz="8" w:color="EBF7FC"/>
              <w:right w:val="single" w:sz="8" w:color="EBF7FC"/>
            </w:tcBorders>
          </w:tcPr>
          <w:p>
            <w:pPr>
              <w:spacing w:after="0"/>
              <w:rPr>
                <w:sz w:val="5"/>
                <w:szCs w:val="5"/>
                <w:color w:val="auto"/>
              </w:rPr>
            </w:pPr>
          </w:p>
        </w:tc>
        <w:tc>
          <w:tcPr>
            <w:tcW w:w="880" w:type="dxa"/>
            <w:vAlign w:val="bottom"/>
            <w:tcBorders>
              <w:bottom w:val="single" w:sz="8" w:color="EBF7FC"/>
              <w:right w:val="single" w:sz="8" w:color="EBF7FC"/>
            </w:tcBorders>
          </w:tcPr>
          <w:p>
            <w:pPr>
              <w:spacing w:after="0"/>
              <w:rPr>
                <w:sz w:val="5"/>
                <w:szCs w:val="5"/>
                <w:color w:val="auto"/>
              </w:rPr>
            </w:pPr>
          </w:p>
        </w:tc>
        <w:tc>
          <w:tcPr>
            <w:tcW w:w="84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r>
        <w:trPr>
          <w:trHeight w:val="203"/>
        </w:trPr>
        <w:tc>
          <w:tcPr>
            <w:tcW w:w="2260" w:type="dxa"/>
            <w:vAlign w:val="bottom"/>
            <w:tcBorders>
              <w:right w:val="single" w:sz="8" w:color="EBF7FC"/>
            </w:tcBorders>
            <w:shd w:val="clear" w:color="auto" w:fill="F3F9FD"/>
          </w:tcPr>
          <w:p>
            <w:pPr>
              <w:ind w:left="80"/>
              <w:spacing w:after="0"/>
              <w:rPr>
                <w:sz w:val="20"/>
                <w:szCs w:val="20"/>
                <w:color w:val="auto"/>
              </w:rPr>
            </w:pPr>
            <w:r>
              <w:rPr>
                <w:rFonts w:ascii="Arial" w:cs="Arial" w:eastAsia="Arial" w:hAnsi="Arial"/>
                <w:sz w:val="12"/>
                <w:szCs w:val="12"/>
                <w:b w:val="1"/>
                <w:bCs w:val="1"/>
                <w:color w:val="auto"/>
              </w:rPr>
              <w:t>Compensation Actually Paid (as</w:t>
            </w:r>
          </w:p>
        </w:tc>
        <w:tc>
          <w:tcPr>
            <w:tcW w:w="880" w:type="dxa"/>
            <w:vAlign w:val="bottom"/>
            <w:tcBorders>
              <w:right w:val="single" w:sz="8" w:color="EBF7FC"/>
            </w:tcBorders>
            <w:shd w:val="clear" w:color="auto" w:fill="F3F9FD"/>
          </w:tcPr>
          <w:p>
            <w:pPr>
              <w:spacing w:after="0"/>
              <w:rPr>
                <w:sz w:val="17"/>
                <w:szCs w:val="17"/>
                <w:color w:val="auto"/>
              </w:rPr>
            </w:pPr>
          </w:p>
        </w:tc>
        <w:tc>
          <w:tcPr>
            <w:tcW w:w="90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60" w:type="dxa"/>
            <w:vAlign w:val="bottom"/>
            <w:tcBorders>
              <w:right w:val="single" w:sz="8" w:color="EBF7FC"/>
            </w:tcBorders>
            <w:shd w:val="clear" w:color="auto" w:fill="F3F9FD"/>
          </w:tcPr>
          <w:p>
            <w:pPr>
              <w:spacing w:after="0"/>
              <w:rPr>
                <w:sz w:val="17"/>
                <w:szCs w:val="17"/>
                <w:color w:val="auto"/>
              </w:rPr>
            </w:pPr>
          </w:p>
        </w:tc>
        <w:tc>
          <w:tcPr>
            <w:tcW w:w="880" w:type="dxa"/>
            <w:vAlign w:val="bottom"/>
            <w:tcBorders>
              <w:right w:val="single" w:sz="8" w:color="EBF7FC"/>
            </w:tcBorders>
            <w:shd w:val="clear" w:color="auto" w:fill="F3F9FD"/>
          </w:tcPr>
          <w:p>
            <w:pPr>
              <w:spacing w:after="0"/>
              <w:rPr>
                <w:sz w:val="17"/>
                <w:szCs w:val="17"/>
                <w:color w:val="auto"/>
              </w:rPr>
            </w:pPr>
          </w:p>
        </w:tc>
        <w:tc>
          <w:tcPr>
            <w:tcW w:w="840" w:type="dxa"/>
            <w:vAlign w:val="bottom"/>
            <w:shd w:val="clear" w:color="auto" w:fill="F3F9FD"/>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2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2"/>
                <w:szCs w:val="12"/>
                <w:b w:val="1"/>
                <w:bCs w:val="1"/>
                <w:color w:val="auto"/>
              </w:rPr>
              <w:t>calculated)</w:t>
            </w:r>
          </w:p>
        </w:tc>
        <w:tc>
          <w:tcPr>
            <w:tcW w:w="880" w:type="dxa"/>
            <w:vAlign w:val="bottom"/>
            <w:tcBorders>
              <w:bottom w:val="single" w:sz="8" w:color="F3F9FD"/>
              <w:right w:val="single" w:sz="8" w:color="EBF7FC"/>
            </w:tcBorders>
            <w:shd w:val="clear" w:color="auto" w:fill="F3F9FD"/>
          </w:tcPr>
          <w:p>
            <w:pPr>
              <w:jc w:val="right"/>
              <w:ind w:right="58"/>
              <w:spacing w:after="0"/>
              <w:rPr>
                <w:sz w:val="20"/>
                <w:szCs w:val="20"/>
                <w:color w:val="auto"/>
              </w:rPr>
            </w:pPr>
            <w:r>
              <w:rPr>
                <w:rFonts w:ascii="Arial" w:cs="Arial" w:eastAsia="Arial" w:hAnsi="Arial"/>
                <w:sz w:val="12"/>
                <w:szCs w:val="12"/>
                <w:b w:val="1"/>
                <w:bCs w:val="1"/>
                <w:color w:val="auto"/>
              </w:rPr>
              <w:t>4,323,665</w:t>
            </w:r>
          </w:p>
        </w:tc>
        <w:tc>
          <w:tcPr>
            <w:tcW w:w="90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b w:val="1"/>
                <w:bCs w:val="1"/>
                <w:color w:val="auto"/>
              </w:rPr>
              <w:t>2,520,733</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b w:val="1"/>
                <w:bCs w:val="1"/>
                <w:color w:val="auto"/>
              </w:rPr>
              <w:t>3,710,212</w:t>
            </w:r>
          </w:p>
        </w:tc>
        <w:tc>
          <w:tcPr>
            <w:tcW w:w="880" w:type="dxa"/>
            <w:vAlign w:val="bottom"/>
            <w:tcBorders>
              <w:bottom w:val="single" w:sz="8" w:color="F3F9FD"/>
              <w:right w:val="single" w:sz="8" w:color="EBF7FC"/>
            </w:tcBorders>
            <w:shd w:val="clear" w:color="auto" w:fill="F3F9FD"/>
          </w:tcPr>
          <w:p>
            <w:pPr>
              <w:jc w:val="right"/>
              <w:ind w:right="77"/>
              <w:spacing w:after="0"/>
              <w:rPr>
                <w:sz w:val="20"/>
                <w:szCs w:val="20"/>
                <w:color w:val="auto"/>
              </w:rPr>
            </w:pPr>
            <w:r>
              <w:rPr>
                <w:rFonts w:ascii="Arial" w:cs="Arial" w:eastAsia="Arial" w:hAnsi="Arial"/>
                <w:sz w:val="12"/>
                <w:szCs w:val="12"/>
                <w:b w:val="1"/>
                <w:bCs w:val="1"/>
                <w:color w:val="auto"/>
              </w:rPr>
              <w:t>2,278,244</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b w:val="1"/>
                <w:bCs w:val="1"/>
                <w:color w:val="auto"/>
              </w:rPr>
              <w:t>1,331,988</w:t>
            </w:r>
          </w:p>
        </w:tc>
        <w:tc>
          <w:tcPr>
            <w:tcW w:w="860" w:type="dxa"/>
            <w:vAlign w:val="bottom"/>
            <w:tcBorders>
              <w:bottom w:val="single" w:sz="8" w:color="F3F9FD"/>
              <w:right w:val="single" w:sz="8" w:color="EBF7FC"/>
            </w:tcBorders>
            <w:shd w:val="clear" w:color="auto" w:fill="F3F9FD"/>
          </w:tcPr>
          <w:p>
            <w:pPr>
              <w:jc w:val="right"/>
              <w:ind w:right="57"/>
              <w:spacing w:after="0"/>
              <w:rPr>
                <w:sz w:val="20"/>
                <w:szCs w:val="20"/>
                <w:color w:val="auto"/>
              </w:rPr>
            </w:pPr>
            <w:r>
              <w:rPr>
                <w:rFonts w:ascii="Arial" w:cs="Arial" w:eastAsia="Arial" w:hAnsi="Arial"/>
                <w:sz w:val="12"/>
                <w:szCs w:val="12"/>
                <w:b w:val="1"/>
                <w:bCs w:val="1"/>
                <w:color w:val="auto"/>
              </w:rPr>
              <w:t>635,772</w:t>
            </w:r>
          </w:p>
        </w:tc>
        <w:tc>
          <w:tcPr>
            <w:tcW w:w="880" w:type="dxa"/>
            <w:vAlign w:val="bottom"/>
            <w:tcBorders>
              <w:bottom w:val="single" w:sz="8" w:color="F3F9FD"/>
              <w:right w:val="single" w:sz="8" w:color="EBF7FC"/>
            </w:tcBorders>
            <w:shd w:val="clear" w:color="auto" w:fill="F3F9FD"/>
          </w:tcPr>
          <w:p>
            <w:pPr>
              <w:jc w:val="right"/>
              <w:ind w:right="78"/>
              <w:spacing w:after="0"/>
              <w:rPr>
                <w:sz w:val="20"/>
                <w:szCs w:val="20"/>
                <w:color w:val="auto"/>
              </w:rPr>
            </w:pPr>
            <w:r>
              <w:rPr>
                <w:rFonts w:ascii="Arial" w:cs="Arial" w:eastAsia="Arial" w:hAnsi="Arial"/>
                <w:sz w:val="12"/>
                <w:szCs w:val="12"/>
                <w:b w:val="1"/>
                <w:bCs w:val="1"/>
                <w:color w:val="auto"/>
              </w:rPr>
              <w:t>1,452,446</w:t>
            </w:r>
          </w:p>
        </w:tc>
        <w:tc>
          <w:tcPr>
            <w:tcW w:w="840" w:type="dxa"/>
            <w:vAlign w:val="bottom"/>
            <w:tcBorders>
              <w:bottom w:val="single" w:sz="8" w:color="F3F9FD"/>
            </w:tcBorders>
            <w:shd w:val="clear" w:color="auto" w:fill="F3F9FD"/>
          </w:tcPr>
          <w:p>
            <w:pPr>
              <w:jc w:val="right"/>
              <w:ind w:right="37"/>
              <w:spacing w:after="0"/>
              <w:rPr>
                <w:sz w:val="20"/>
                <w:szCs w:val="20"/>
                <w:color w:val="auto"/>
              </w:rPr>
            </w:pPr>
            <w:r>
              <w:rPr>
                <w:rFonts w:ascii="Arial" w:cs="Arial" w:eastAsia="Arial" w:hAnsi="Arial"/>
                <w:sz w:val="12"/>
                <w:szCs w:val="12"/>
                <w:b w:val="1"/>
                <w:bCs w:val="1"/>
                <w:color w:val="auto"/>
              </w:rPr>
              <w:t>828,332</w:t>
            </w:r>
          </w:p>
        </w:tc>
        <w:tc>
          <w:tcPr>
            <w:tcW w:w="20" w:type="dxa"/>
            <w:vAlign w:val="bottom"/>
          </w:tcPr>
          <w:p>
            <w:pPr>
              <w:spacing w:after="0"/>
              <w:rPr>
                <w:sz w:val="18"/>
                <w:szCs w:val="18"/>
                <w:color w:val="auto"/>
              </w:rPr>
            </w:pPr>
          </w:p>
        </w:tc>
      </w:tr>
      <w:tr>
        <w:trPr>
          <w:trHeight w:val="20"/>
        </w:trPr>
        <w:tc>
          <w:tcPr>
            <w:tcW w:w="2260" w:type="dxa"/>
            <w:vAlign w:val="bottom"/>
            <w:tcBorders>
              <w:right w:val="single" w:sz="8" w:color="EBF7FC"/>
            </w:tcBorders>
            <w:shd w:val="clear" w:color="auto" w:fill="EBF7FC"/>
          </w:tcPr>
          <w:p>
            <w:pPr>
              <w:spacing w:after="0" w:line="20" w:lineRule="exact"/>
              <w:rPr>
                <w:sz w:val="1"/>
                <w:szCs w:val="1"/>
                <w:color w:val="auto"/>
              </w:rPr>
            </w:pPr>
          </w:p>
        </w:tc>
        <w:tc>
          <w:tcPr>
            <w:tcW w:w="880" w:type="dxa"/>
            <w:vAlign w:val="bottom"/>
            <w:tcBorders>
              <w:right w:val="single" w:sz="8" w:color="EBF7FC"/>
            </w:tcBorders>
            <w:shd w:val="clear" w:color="auto" w:fill="EBF7FC"/>
          </w:tcPr>
          <w:p>
            <w:pPr>
              <w:spacing w:after="0" w:line="20" w:lineRule="exact"/>
              <w:rPr>
                <w:sz w:val="1"/>
                <w:szCs w:val="1"/>
                <w:color w:val="auto"/>
              </w:rPr>
            </w:pPr>
          </w:p>
        </w:tc>
        <w:tc>
          <w:tcPr>
            <w:tcW w:w="900" w:type="dxa"/>
            <w:vAlign w:val="bottom"/>
            <w:tcBorders>
              <w:right w:val="single" w:sz="8" w:color="EBF7FC"/>
            </w:tcBorders>
            <w:shd w:val="clear" w:color="auto" w:fill="EBF7FC"/>
          </w:tcPr>
          <w:p>
            <w:pPr>
              <w:spacing w:after="0" w:line="20" w:lineRule="exact"/>
              <w:rPr>
                <w:sz w:val="1"/>
                <w:szCs w:val="1"/>
                <w:color w:val="auto"/>
              </w:rPr>
            </w:pPr>
          </w:p>
        </w:tc>
        <w:tc>
          <w:tcPr>
            <w:tcW w:w="880" w:type="dxa"/>
            <w:vAlign w:val="bottom"/>
            <w:tcBorders>
              <w:right w:val="single" w:sz="8" w:color="EBF7FC"/>
            </w:tcBorders>
            <w:shd w:val="clear" w:color="auto" w:fill="EBF7FC"/>
          </w:tcPr>
          <w:p>
            <w:pPr>
              <w:spacing w:after="0" w:line="20" w:lineRule="exact"/>
              <w:rPr>
                <w:sz w:val="1"/>
                <w:szCs w:val="1"/>
                <w:color w:val="auto"/>
              </w:rPr>
            </w:pPr>
          </w:p>
        </w:tc>
        <w:tc>
          <w:tcPr>
            <w:tcW w:w="880" w:type="dxa"/>
            <w:vAlign w:val="bottom"/>
            <w:tcBorders>
              <w:right w:val="single" w:sz="8" w:color="EBF7FC"/>
            </w:tcBorders>
            <w:shd w:val="clear" w:color="auto" w:fill="EBF7FC"/>
          </w:tcPr>
          <w:p>
            <w:pPr>
              <w:spacing w:after="0" w:line="20" w:lineRule="exact"/>
              <w:rPr>
                <w:sz w:val="1"/>
                <w:szCs w:val="1"/>
                <w:color w:val="auto"/>
              </w:rPr>
            </w:pPr>
          </w:p>
        </w:tc>
        <w:tc>
          <w:tcPr>
            <w:tcW w:w="880" w:type="dxa"/>
            <w:vAlign w:val="bottom"/>
            <w:tcBorders>
              <w:right w:val="single" w:sz="8" w:color="EBF7FC"/>
            </w:tcBorders>
            <w:shd w:val="clear" w:color="auto" w:fill="EBF7FC"/>
          </w:tcPr>
          <w:p>
            <w:pPr>
              <w:spacing w:after="0" w:line="20" w:lineRule="exact"/>
              <w:rPr>
                <w:sz w:val="1"/>
                <w:szCs w:val="1"/>
                <w:color w:val="auto"/>
              </w:rPr>
            </w:pPr>
          </w:p>
        </w:tc>
        <w:tc>
          <w:tcPr>
            <w:tcW w:w="860" w:type="dxa"/>
            <w:vAlign w:val="bottom"/>
            <w:tcBorders>
              <w:right w:val="single" w:sz="8" w:color="EBF7FC"/>
            </w:tcBorders>
            <w:shd w:val="clear" w:color="auto" w:fill="EBF7FC"/>
          </w:tcPr>
          <w:p>
            <w:pPr>
              <w:spacing w:after="0" w:line="20" w:lineRule="exact"/>
              <w:rPr>
                <w:sz w:val="1"/>
                <w:szCs w:val="1"/>
                <w:color w:val="auto"/>
              </w:rPr>
            </w:pPr>
          </w:p>
        </w:tc>
        <w:tc>
          <w:tcPr>
            <w:tcW w:w="880" w:type="dxa"/>
            <w:vAlign w:val="bottom"/>
            <w:tcBorders>
              <w:right w:val="single" w:sz="8" w:color="EBF7FC"/>
            </w:tcBorders>
            <w:shd w:val="clear" w:color="auto" w:fill="EBF7FC"/>
          </w:tcPr>
          <w:p>
            <w:pPr>
              <w:spacing w:after="0" w:line="20" w:lineRule="exact"/>
              <w:rPr>
                <w:sz w:val="1"/>
                <w:szCs w:val="1"/>
                <w:color w:val="auto"/>
              </w:rPr>
            </w:pPr>
          </w:p>
        </w:tc>
        <w:tc>
          <w:tcPr>
            <w:tcW w:w="840" w:type="dxa"/>
            <w:vAlign w:val="bottom"/>
            <w:shd w:val="clear" w:color="auto" w:fill="EBF7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6" w:lineRule="exact"/>
        <w:rPr>
          <w:sz w:val="20"/>
          <w:szCs w:val="20"/>
          <w:color w:val="auto"/>
        </w:rPr>
      </w:pPr>
    </w:p>
    <w:p>
      <w:pPr>
        <w:ind w:left="220" w:right="480" w:hanging="215"/>
        <w:spacing w:after="0" w:line="278" w:lineRule="auto"/>
        <w:tabs>
          <w:tab w:leader="none" w:pos="2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Non-Chief Executive Officer NEOs reflect the average Summary Compensation Table total compensation and average Compensation Actually Paid for the following executives by year:</w:t>
      </w:r>
    </w:p>
    <w:p>
      <w:pPr>
        <w:ind w:left="220"/>
        <w:spacing w:after="0"/>
        <w:rPr>
          <w:rFonts w:ascii="Arial" w:cs="Arial" w:eastAsia="Arial" w:hAnsi="Arial"/>
          <w:sz w:val="12"/>
          <w:szCs w:val="12"/>
          <w:color w:val="auto"/>
        </w:rPr>
      </w:pPr>
      <w:r>
        <w:rPr>
          <w:rFonts w:ascii="Arial" w:cs="Arial" w:eastAsia="Arial" w:hAnsi="Arial"/>
          <w:sz w:val="12"/>
          <w:szCs w:val="12"/>
          <w:color w:val="auto"/>
        </w:rPr>
        <w:t>2024: Mark Palamountain</w:t>
      </w:r>
    </w:p>
    <w:p>
      <w:pPr>
        <w:spacing w:after="0" w:line="28"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2023: Mark Palamountain</w:t>
      </w:r>
    </w:p>
    <w:p>
      <w:pPr>
        <w:spacing w:after="0" w:line="2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2022: Mark Palamountain, Alex Teague</w:t>
      </w:r>
    </w:p>
    <w:p>
      <w:pPr>
        <w:spacing w:after="0" w:line="23"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2021: Mark Palamountain, Alex Teague</w:t>
      </w:r>
    </w:p>
    <w:p>
      <w:pPr>
        <w:spacing w:after="0" w:line="156" w:lineRule="exact"/>
        <w:rPr>
          <w:rFonts w:ascii="Arial" w:cs="Arial" w:eastAsia="Arial" w:hAnsi="Arial"/>
          <w:sz w:val="12"/>
          <w:szCs w:val="12"/>
          <w:color w:val="auto"/>
        </w:rPr>
      </w:pPr>
    </w:p>
    <w:p>
      <w:pPr>
        <w:ind w:left="220" w:right="440" w:hanging="215"/>
        <w:spacing w:after="0" w:line="324" w:lineRule="auto"/>
        <w:tabs>
          <w:tab w:leader="none" w:pos="2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Total Shareholder Return assumes the investment of $100 in the Common Stock on October 31, 2020 through and including the end of the fiscal year for which Total Shareholder Return is depicted.</w:t>
      </w:r>
    </w:p>
    <w:p>
      <w:pPr>
        <w:spacing w:after="0" w:line="87" w:lineRule="exact"/>
        <w:rPr>
          <w:rFonts w:ascii="Arial" w:cs="Arial" w:eastAsia="Arial" w:hAnsi="Arial"/>
          <w:sz w:val="12"/>
          <w:szCs w:val="12"/>
          <w:color w:val="auto"/>
        </w:rPr>
      </w:pPr>
    </w:p>
    <w:p>
      <w:pPr>
        <w:ind w:left="220" w:hanging="215"/>
        <w:spacing w:after="0" w:line="301" w:lineRule="auto"/>
        <w:tabs>
          <w:tab w:leader="none" w:pos="2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Peer Group Total Shareholder Return reflect the year-over-year value, as of the end of the applicable fiscal year, of a hypothetical initial investment of $100 made on October 31, 2020 into the Dow Jones U.S. Food Producers Index.</w:t>
      </w:r>
    </w:p>
    <w:p>
      <w:pPr>
        <w:sectPr>
          <w:pgSz w:w="11900" w:h="16838" w:orient="portrait"/>
          <w:cols w:equalWidth="0" w:num="1">
            <w:col w:w="9340"/>
          </w:cols>
          <w:pgMar w:left="1300" w:top="118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88" w:right="1259" w:bottom="1440" w:gutter="0" w:footer="0" w:header="0"/>
          <w:type w:val="continuous"/>
        </w:sectPr>
      </w:pPr>
    </w:p>
    <w:bookmarkStart w:id="52" w:name="page53"/>
    <w:bookmarkEnd w:id="52"/>
    <w:p>
      <w:pPr>
        <w:ind w:left="220" w:hanging="215"/>
        <w:spacing w:after="0"/>
        <w:tabs>
          <w:tab w:leader="none" w:pos="220" w:val="left"/>
        </w:tabs>
        <w:numPr>
          <w:ilvl w:val="0"/>
          <w:numId w:val="4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The dollar amounts reported are the Company’s net income reflected in the Company’s audited financial statements.</w:t>
      </w:r>
    </w:p>
    <w:p>
      <w:pPr>
        <w:spacing w:after="0" w:line="143" w:lineRule="exact"/>
        <w:rPr>
          <w:rFonts w:ascii="Arial" w:cs="Arial" w:eastAsia="Arial" w:hAnsi="Arial"/>
          <w:sz w:val="12"/>
          <w:szCs w:val="12"/>
          <w:color w:val="auto"/>
        </w:rPr>
      </w:pPr>
    </w:p>
    <w:p>
      <w:pPr>
        <w:ind w:left="220" w:hanging="215"/>
        <w:spacing w:after="0" w:line="273" w:lineRule="auto"/>
        <w:tabs>
          <w:tab w:leader="none" w:pos="2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the Company’s assessment, Adjusted EBITDA is the financial performance measure that is the most important financial performance measure used by the Company in fiscal year 2024 to link compensation actually paid to performance. The dollar amounts reported are the Company’s Adjusted EBITDA reflected in the Company’s Form 10-K, and represent EBITDA, excluding stock-based compensation, named executive officer cash severance, pension settlement cost, impairment of intangible asset, gain or loss on disposal of assets, cash bonus related to sale of assets, gain on legal settlement and severance benefits. Adjusted EBITDA is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Compensation from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identifies the most important performance measures used by our Compensation Committee to link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Actually Paid” (CAP) to our Chief Executive Officer and other NEOs in fiscal year 2024, to Company performance:</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Performance Measures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5"/>
          <w:szCs w:val="15"/>
          <w:color w:val="auto"/>
        </w:rPr>
        <w:t>Adjusted EBITDA</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Revenues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Gains on strategic special projects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Equity earnings from real estate development</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 between CAP vs. Company TSR and Peer Group TSR</w:t>
      </w:r>
    </w:p>
    <w:p>
      <w:pPr>
        <w:spacing w:after="0" w:line="175" w:lineRule="exact"/>
        <w:rPr>
          <w:sz w:val="20"/>
          <w:szCs w:val="20"/>
          <w:color w:val="auto"/>
        </w:rPr>
      </w:pPr>
    </w:p>
    <w:p>
      <w:pPr>
        <w:ind w:right="300"/>
        <w:spacing w:after="0" w:line="324" w:lineRule="auto"/>
        <w:rPr>
          <w:sz w:val="20"/>
          <w:szCs w:val="20"/>
          <w:color w:val="auto"/>
        </w:rPr>
      </w:pPr>
      <w:r>
        <w:rPr>
          <w:rFonts w:ascii="Arial" w:cs="Arial" w:eastAsia="Arial" w:hAnsi="Arial"/>
          <w:sz w:val="15"/>
          <w:szCs w:val="15"/>
          <w:color w:val="auto"/>
        </w:rPr>
        <w:t>The following chart illustrates the relationship between CAP for our Chief Executive Officer and the average CAP for our other NEOs against the Company’s TSR, as well as the relationship between our TSR and the TSR of the Dow Jones U.S. Food Producers Index:</w:t>
      </w:r>
    </w:p>
    <w:p>
      <w:pPr>
        <w:sectPr>
          <w:pgSz w:w="11900" w:h="16838" w:orient="portrait"/>
          <w:cols w:equalWidth="0" w:num="1">
            <w:col w:w="9360"/>
          </w:cols>
          <w:pgMar w:left="1300" w:top="120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49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60"/>
          </w:cols>
          <w:pgMar w:left="1300" w:top="1209" w:right="1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Relationship between CAP vs. Net Income and Adjusted EBITDA</w:t>
      </w:r>
    </w:p>
    <w:p>
      <w:pPr>
        <w:spacing w:after="0" w:line="162" w:lineRule="exact"/>
        <w:rPr>
          <w:sz w:val="20"/>
          <w:szCs w:val="20"/>
          <w:color w:val="auto"/>
        </w:rPr>
      </w:pPr>
    </w:p>
    <w:p>
      <w:pPr>
        <w:ind w:right="340"/>
        <w:spacing w:after="0" w:line="324" w:lineRule="auto"/>
        <w:rPr>
          <w:sz w:val="20"/>
          <w:szCs w:val="20"/>
          <w:color w:val="auto"/>
        </w:rPr>
      </w:pPr>
      <w:r>
        <w:rPr>
          <w:rFonts w:ascii="Arial" w:cs="Arial" w:eastAsia="Arial" w:hAnsi="Arial"/>
          <w:sz w:val="15"/>
          <w:szCs w:val="15"/>
          <w:color w:val="auto"/>
        </w:rPr>
        <w:t>The following chart illustrates the relationship between CAP for our Chief Executive Officer and the average CAP for our other NEOs against our Net Income and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Compensation Committee Report</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Compensation Committee has reviewed and discussed with management the Compensation Discussion and Analysis set forth above. Based on the review and discussion referred to above, the Compensation Committee has recommended to the Board that the Compensation Discussion and Analysis be included in the Company’s proxy statement and incorporated in the Company’s Annual Report on Form 10-K for the year ended October 31, 2024.</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Members of the Compensation Committee: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Elizabeth Mora, Chairperson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Barbara Carbone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Scott S. Slater</w:t>
      </w:r>
    </w:p>
    <w:p>
      <w:pPr>
        <w:spacing w:after="0" w:line="173" w:lineRule="exact"/>
        <w:rPr>
          <w:sz w:val="20"/>
          <w:szCs w:val="20"/>
          <w:color w:val="auto"/>
        </w:rPr>
      </w:pPr>
    </w:p>
    <w:p>
      <w:pPr>
        <w:jc w:val="both"/>
        <w:ind w:right="60"/>
        <w:spacing w:after="0" w:line="304" w:lineRule="auto"/>
        <w:rPr>
          <w:sz w:val="20"/>
          <w:szCs w:val="20"/>
          <w:color w:val="auto"/>
        </w:rPr>
      </w:pPr>
      <w:r>
        <w:rPr>
          <w:rFonts w:ascii="Arial" w:cs="Arial" w:eastAsia="Arial" w:hAnsi="Arial"/>
          <w:sz w:val="15"/>
          <w:szCs w:val="15"/>
          <w:color w:val="auto"/>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sectPr>
          <w:pgSz w:w="11900" w:h="16838" w:orient="portrait"/>
          <w:cols w:equalWidth="0" w:num="1">
            <w:col w:w="9320"/>
          </w:cols>
          <w:pgMar w:left="1300" w:top="121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3" w:right="1279" w:bottom="1440" w:gutter="0" w:footer="0" w:header="0"/>
          <w:type w:val="continuous"/>
        </w:sectPr>
      </w:pPr>
    </w:p>
    <w:bookmarkStart w:id="54" w:name="page55"/>
    <w:bookmarkEnd w:id="54"/>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Proposal 2: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Pursuant to Section 951 of the Dodd-Frank Wall Street Reform and Consumer Protection Act of 2010 (the “Dodd-Frank Act”), as set forth in Section 14A(a) of the Exchange Act (15 U.S.C. 78n-1), we are asking stockholders to vote to approve, on an advisory, non-binding basis, the compensation of our NEOs as disclosed in this proxy statement in accordance with SEC rules.</w:t>
      </w:r>
    </w:p>
    <w:p>
      <w:pPr>
        <w:spacing w:after="0" w:line="86"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As described in detail under the Compensation Discussion and Analysis, our executive compensation programs are designed to attract, motivate and retain our NEOs, who are critical to our strategic goals and success. Under our executive compensation program, our NEOs receive compensation that encourages both near-term and long-term growth and successes through compensation linked to performance standards aimed to increase stockholder value.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bases its executive compensation decisions on our compensation objectives, which include the following:</w:t>
      </w:r>
    </w:p>
    <w:p>
      <w:pPr>
        <w:spacing w:after="0" w:line="173" w:lineRule="exact"/>
        <w:rPr>
          <w:sz w:val="20"/>
          <w:szCs w:val="20"/>
          <w:color w:val="auto"/>
        </w:rPr>
      </w:pPr>
    </w:p>
    <w:p>
      <w:pPr>
        <w:ind w:left="120" w:hanging="115"/>
        <w:spacing w:after="0"/>
        <w:tabs>
          <w:tab w:leader="none" w:pos="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aligning management’s incentives with the interests of our stockholders;</w:t>
      </w:r>
    </w:p>
    <w:p>
      <w:pPr>
        <w:spacing w:after="0" w:line="160" w:lineRule="exact"/>
        <w:rPr>
          <w:rFonts w:ascii="Arial" w:cs="Arial" w:eastAsia="Arial" w:hAnsi="Arial"/>
          <w:sz w:val="15"/>
          <w:szCs w:val="15"/>
          <w:color w:val="auto"/>
        </w:rPr>
      </w:pPr>
    </w:p>
    <w:p>
      <w:pPr>
        <w:ind w:left="120" w:hanging="115"/>
        <w:spacing w:after="0"/>
        <w:tabs>
          <w:tab w:leader="none" w:pos="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providing competitive compensation to our NEOs;</w:t>
      </w:r>
    </w:p>
    <w:p>
      <w:pPr>
        <w:spacing w:after="0" w:line="172" w:lineRule="exact"/>
        <w:rPr>
          <w:rFonts w:ascii="Arial" w:cs="Arial" w:eastAsia="Arial" w:hAnsi="Arial"/>
          <w:sz w:val="15"/>
          <w:szCs w:val="15"/>
          <w:color w:val="auto"/>
        </w:rPr>
      </w:pPr>
    </w:p>
    <w:p>
      <w:pPr>
        <w:ind w:left="120" w:hanging="115"/>
        <w:spacing w:after="0"/>
        <w:tabs>
          <w:tab w:leader="none" w:pos="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rewarding NEOs for past performance and motivating them to excel in the future; and</w:t>
      </w:r>
    </w:p>
    <w:p>
      <w:pPr>
        <w:spacing w:after="0" w:line="172" w:lineRule="exact"/>
        <w:rPr>
          <w:rFonts w:ascii="Arial" w:cs="Arial" w:eastAsia="Arial" w:hAnsi="Arial"/>
          <w:sz w:val="15"/>
          <w:szCs w:val="15"/>
          <w:color w:val="auto"/>
        </w:rPr>
      </w:pPr>
    </w:p>
    <w:p>
      <w:pPr>
        <w:ind w:left="120" w:right="220" w:hanging="115"/>
        <w:spacing w:after="0" w:line="324" w:lineRule="auto"/>
        <w:tabs>
          <w:tab w:leader="none" w:pos="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rewarding superior performance of both the Company and each individual executive and encouraging actions that promote our near-term and long-term strategic goals.</w:t>
      </w:r>
    </w:p>
    <w:p>
      <w:pPr>
        <w:spacing w:after="0" w:line="72"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color w:val="auto"/>
        </w:rPr>
        <w:t>We believe that our existing compensation programs have been effective at motivating our NEOs to achieve superior performance and success, aligning compensation with performance measures and stockholder interests and enabling us to attract, retain and motivate talented executive officers.</w:t>
      </w:r>
    </w:p>
    <w:p>
      <w:pPr>
        <w:spacing w:after="0" w:line="99"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We are asking our stockholders to indicate their support for our NEOs’ compensation as described in this proxy statement. This proposal, commonly known as a “Say-on-Pay” proposal, gives our stockholders the opportunity to express their views on our NEOs’ compensation. Accordingly, we will ask our stockholders to approve, on an advisory basis, the compensation of the NEOs, as disclosed in the Company’s proxy statement for the Annual Meeting pursuant to the compensation disclosure rules of the SEC, including the Compensation Discussion and Analysis, the Summary Compensation Table and the other related tables and disclosures by voting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approval of our executive compensation program.</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Say-on-Pay vote is advisory, and therefore not binding on the Company, the Compensation Committee or the Board. The Board and the Compensation Committee value the opinions of our stockholders and will review and consider the outcome of this advisory vote when making future compensation decisions for our NEOs and will evaluate whether any actions are necessary.</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Required Vote for Stockholder Approval</w:t>
      </w:r>
    </w:p>
    <w:p>
      <w:pPr>
        <w:spacing w:after="0" w:line="104" w:lineRule="exact"/>
        <w:rPr>
          <w:sz w:val="20"/>
          <w:szCs w:val="20"/>
          <w:color w:val="auto"/>
        </w:rPr>
      </w:pPr>
    </w:p>
    <w:p>
      <w:pPr>
        <w:jc w:val="both"/>
        <w:ind w:right="180"/>
        <w:spacing w:after="0" w:line="304" w:lineRule="auto"/>
        <w:rPr>
          <w:sz w:val="20"/>
          <w:szCs w:val="20"/>
          <w:color w:val="auto"/>
        </w:rPr>
      </w:pPr>
      <w:r>
        <w:rPr>
          <w:rFonts w:ascii="Arial" w:cs="Arial" w:eastAsia="Arial" w:hAnsi="Arial"/>
          <w:sz w:val="15"/>
          <w:szCs w:val="15"/>
          <w:color w:val="auto"/>
        </w:rPr>
        <w:t>The affirmative vote of the holders of at least a majority of the outstanding shares present, in person or by proxy, at the Annual Meeting and entitled to vote thereon is required to approve this proposal. Abstentions will have the same effect as a vote “against” the proposal. Broker non-votes will have no impact on the proposal.</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Recommendation of the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Board recommends that you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approval of the compensation of our NEOs.</w:t>
      </w:r>
    </w:p>
    <w:p>
      <w:pPr>
        <w:sectPr>
          <w:pgSz w:w="11900" w:h="16838" w:orient="portrait"/>
          <w:cols w:equalWidth="0" w:num="1">
            <w:col w:w="9320"/>
          </w:cols>
          <w:pgMar w:left="1300" w:top="107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072" w:right="1279" w:bottom="1440" w:gutter="0" w:footer="0" w:header="0"/>
          <w:type w:val="continuous"/>
        </w:sectPr>
      </w:pPr>
    </w:p>
    <w:bookmarkStart w:id="55" w:name="page56"/>
    <w:bookmarkEnd w:id="55"/>
    <w:p>
      <w:pPr>
        <w:ind w:left="40" w:right="780"/>
        <w:spacing w:after="0" w:line="278"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Proposal 3: Ratification of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General</w:t>
      </w:r>
    </w:p>
    <w:p>
      <w:pPr>
        <w:spacing w:after="0" w:line="91" w:lineRule="exact"/>
        <w:rPr>
          <w:sz w:val="20"/>
          <w:szCs w:val="20"/>
          <w:color w:val="auto"/>
        </w:rPr>
      </w:pPr>
    </w:p>
    <w:p>
      <w:pPr>
        <w:jc w:val="both"/>
        <w:ind w:right="100"/>
        <w:spacing w:after="0" w:line="324" w:lineRule="auto"/>
        <w:rPr>
          <w:sz w:val="20"/>
          <w:szCs w:val="20"/>
          <w:color w:val="auto"/>
        </w:rPr>
      </w:pPr>
      <w:r>
        <w:rPr>
          <w:rFonts w:ascii="Arial" w:cs="Arial" w:eastAsia="Arial" w:hAnsi="Arial"/>
          <w:sz w:val="15"/>
          <w:szCs w:val="15"/>
          <w:color w:val="auto"/>
        </w:rPr>
        <w:t>The Audit Committee of the Board has recommended, and the Board now asks that the stockholders of the Company ratify the selection of Deloitte &amp; Touche LLP as independent registered public accounting firm for the Company for the fiscal year ending October 31, 2025.</w:t>
      </w:r>
    </w:p>
    <w:p>
      <w:pPr>
        <w:spacing w:after="0" w:line="84"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The Audit Committee appointed Deloitte &amp; Touche LLP, a registered public accounting firm, to audit the annual financial statements for the fiscal year ended October 31, 2024. Based on its past performance during these audits, the Audit Committee has selected Deloitte &amp; Touche LLP as the independent registered public accounting firm to perform the audit of our financial statements and internal control over financial reporting for fiscal year 2025.</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The selection of our independent registered public accounting firm is not required to be submitted for stockholder approval, but the Board has determined that it would be desirable to request that the stockholders ratify the appointment. If stockholders do not ratify this selection, the Board will reconsider its selection of Deloitte &amp; Touche LLP and may, in its sole discretion, either continue to retain this firm or appoint a new independent registered public accounting firm. Representatives of Deloitte &amp; Touche LLP are expected to participate in the Annual Meeting and will be available to respond to appropriate questions.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Fees</w:t>
      </w:r>
    </w:p>
    <w:p>
      <w:pPr>
        <w:spacing w:after="0" w:line="91"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The chart below sets forth the total annual amount, including the amounts by category of service, billed to us by Deloitte &amp; Touche LLP for services performed for fiscal year 2024.</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Borders>
              <w:right w:val="single" w:sz="8" w:color="E5E9ED"/>
            </w:tcBorders>
            <w:shd w:val="clear" w:color="auto" w:fill="E5E9ED"/>
          </w:tcPr>
          <w:p>
            <w:pPr>
              <w:spacing w:after="0"/>
              <w:rPr>
                <w:sz w:val="19"/>
                <w:szCs w:val="19"/>
                <w:color w:val="auto"/>
              </w:rPr>
            </w:pPr>
          </w:p>
        </w:tc>
        <w:tc>
          <w:tcPr>
            <w:tcW w:w="22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Fiscal Year 2024</w:t>
            </w:r>
          </w:p>
        </w:tc>
        <w:tc>
          <w:tcPr>
            <w:tcW w:w="22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Fiscal Year 2023</w:t>
            </w:r>
          </w:p>
        </w:tc>
        <w:tc>
          <w:tcPr>
            <w:tcW w:w="20" w:type="dxa"/>
            <w:vAlign w:val="bottom"/>
          </w:tcPr>
          <w:p>
            <w:pPr>
              <w:spacing w:after="0"/>
              <w:rPr>
                <w:sz w:val="19"/>
                <w:szCs w:val="19"/>
                <w:color w:val="auto"/>
              </w:rPr>
            </w:pPr>
          </w:p>
        </w:tc>
      </w:tr>
      <w:tr>
        <w:trPr>
          <w:trHeight w:val="184"/>
        </w:trPr>
        <w:tc>
          <w:tcPr>
            <w:tcW w:w="4780" w:type="dxa"/>
            <w:vAlign w:val="bottom"/>
            <w:tcBorders>
              <w:right w:val="single" w:sz="8" w:color="E5E9ED"/>
            </w:tcBorders>
            <w:shd w:val="clear" w:color="auto" w:fill="E5E9ED"/>
          </w:tcPr>
          <w:p>
            <w:pPr>
              <w:spacing w:after="0"/>
              <w:rPr>
                <w:sz w:val="15"/>
                <w:szCs w:val="15"/>
                <w:color w:val="auto"/>
              </w:rPr>
            </w:pPr>
          </w:p>
        </w:tc>
        <w:tc>
          <w:tcPr>
            <w:tcW w:w="226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Deloitte &amp; Touche LLP Fees</w:t>
            </w:r>
          </w:p>
        </w:tc>
        <w:tc>
          <w:tcPr>
            <w:tcW w:w="222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Deloitte &amp; Touche LLP Fees</w:t>
            </w:r>
          </w:p>
        </w:tc>
        <w:tc>
          <w:tcPr>
            <w:tcW w:w="20" w:type="dxa"/>
            <w:vAlign w:val="bottom"/>
          </w:tcPr>
          <w:p>
            <w:pPr>
              <w:spacing w:after="0"/>
              <w:rPr>
                <w:sz w:val="15"/>
                <w:szCs w:val="15"/>
                <w:color w:val="auto"/>
              </w:rPr>
            </w:pPr>
          </w:p>
        </w:tc>
      </w:tr>
      <w:tr>
        <w:trPr>
          <w:trHeight w:val="214"/>
        </w:trPr>
        <w:tc>
          <w:tcPr>
            <w:tcW w:w="4780" w:type="dxa"/>
            <w:vAlign w:val="bottom"/>
            <w:tcBorders>
              <w:bottom w:val="single" w:sz="8" w:color="E5E9ED"/>
              <w:right w:val="single" w:sz="8" w:color="E5E9ED"/>
            </w:tcBorders>
            <w:shd w:val="clear" w:color="auto" w:fill="E5E9ED"/>
          </w:tcPr>
          <w:p>
            <w:pPr>
              <w:spacing w:after="0"/>
              <w:rPr>
                <w:sz w:val="18"/>
                <w:szCs w:val="18"/>
                <w:color w:val="auto"/>
              </w:rPr>
            </w:pPr>
          </w:p>
        </w:tc>
        <w:tc>
          <w:tcPr>
            <w:tcW w:w="2260" w:type="dxa"/>
            <w:vAlign w:val="bottom"/>
            <w:tcBorders>
              <w:bottom w:val="single" w:sz="8" w:color="E5E9ED"/>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220" w:type="dxa"/>
            <w:vAlign w:val="bottom"/>
            <w:tcBorders>
              <w:bottom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8"/>
                <w:szCs w:val="18"/>
                <w:color w:val="auto"/>
              </w:rPr>
            </w:pPr>
          </w:p>
        </w:tc>
      </w:tr>
      <w:tr>
        <w:trPr>
          <w:trHeight w:val="300"/>
        </w:trPr>
        <w:tc>
          <w:tcPr>
            <w:tcW w:w="4780" w:type="dxa"/>
            <w:vAlign w:val="bottom"/>
            <w:tcBorders>
              <w:top w:val="single" w:sz="8" w:color="EBF7FC"/>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Audit Fees</w:t>
            </w:r>
            <w:r>
              <w:rPr>
                <w:rFonts w:ascii="Arial" w:cs="Arial" w:eastAsia="Arial" w:hAnsi="Arial"/>
                <w:sz w:val="20"/>
                <w:szCs w:val="20"/>
                <w:color w:val="auto"/>
                <w:vertAlign w:val="superscript"/>
              </w:rPr>
              <w:t>(1)</w:t>
            </w:r>
          </w:p>
        </w:tc>
        <w:tc>
          <w:tcPr>
            <w:tcW w:w="2260" w:type="dxa"/>
            <w:vAlign w:val="bottom"/>
            <w:tcBorders>
              <w:top w:val="single" w:sz="8" w:color="EBF7FC"/>
              <w:bottom w:val="single" w:sz="8" w:color="EBF7FC"/>
              <w:right w:val="single" w:sz="8" w:color="EBF7FC"/>
            </w:tcBorders>
          </w:tcPr>
          <w:p>
            <w:pPr>
              <w:jc w:val="right"/>
              <w:ind w:right="652"/>
              <w:spacing w:after="0"/>
              <w:rPr>
                <w:sz w:val="20"/>
                <w:szCs w:val="20"/>
                <w:color w:val="auto"/>
              </w:rPr>
            </w:pPr>
            <w:r>
              <w:rPr>
                <w:rFonts w:ascii="Arial" w:cs="Arial" w:eastAsia="Arial" w:hAnsi="Arial"/>
                <w:sz w:val="14"/>
                <w:szCs w:val="14"/>
                <w:color w:val="auto"/>
              </w:rPr>
              <w:t>1,546,847</w:t>
            </w:r>
          </w:p>
        </w:tc>
        <w:tc>
          <w:tcPr>
            <w:tcW w:w="2220" w:type="dxa"/>
            <w:vAlign w:val="bottom"/>
            <w:tcBorders>
              <w:top w:val="single" w:sz="8" w:color="EBF7FC"/>
              <w:bottom w:val="single" w:sz="8" w:color="EBF7FC"/>
            </w:tcBorders>
          </w:tcPr>
          <w:p>
            <w:pPr>
              <w:jc w:val="right"/>
              <w:ind w:right="612"/>
              <w:spacing w:after="0"/>
              <w:rPr>
                <w:sz w:val="20"/>
                <w:szCs w:val="20"/>
                <w:color w:val="auto"/>
              </w:rPr>
            </w:pPr>
            <w:r>
              <w:rPr>
                <w:rFonts w:ascii="Arial" w:cs="Arial" w:eastAsia="Arial" w:hAnsi="Arial"/>
                <w:sz w:val="14"/>
                <w:szCs w:val="14"/>
                <w:color w:val="auto"/>
              </w:rPr>
              <w:t>1,289,318</w:t>
            </w:r>
          </w:p>
        </w:tc>
        <w:tc>
          <w:tcPr>
            <w:tcW w:w="20" w:type="dxa"/>
            <w:vAlign w:val="bottom"/>
            <w:tcBorders>
              <w:top w:val="single" w:sz="8" w:color="EBF7FC"/>
            </w:tcBorders>
          </w:tcPr>
          <w:p>
            <w:pPr>
              <w:spacing w:after="0"/>
              <w:rPr>
                <w:sz w:val="24"/>
                <w:szCs w:val="24"/>
                <w:color w:val="auto"/>
              </w:rPr>
            </w:pPr>
          </w:p>
        </w:tc>
      </w:tr>
      <w:tr>
        <w:trPr>
          <w:trHeight w:val="300"/>
        </w:trPr>
        <w:tc>
          <w:tcPr>
            <w:tcW w:w="478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20"/>
                <w:szCs w:val="20"/>
                <w:color w:val="auto"/>
                <w:vertAlign w:val="superscript"/>
              </w:rPr>
              <w:t>(2)</w:t>
            </w:r>
          </w:p>
        </w:tc>
        <w:tc>
          <w:tcPr>
            <w:tcW w:w="2260" w:type="dxa"/>
            <w:vAlign w:val="bottom"/>
            <w:tcBorders>
              <w:bottom w:val="single" w:sz="8" w:color="EBF7FC"/>
              <w:right w:val="single" w:sz="8" w:color="EBF7FC"/>
            </w:tcBorders>
            <w:shd w:val="clear" w:color="auto" w:fill="F3F9FD"/>
          </w:tcPr>
          <w:p>
            <w:pPr>
              <w:jc w:val="right"/>
              <w:ind w:right="652"/>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EBF7FC"/>
            </w:tcBorders>
            <w:shd w:val="clear" w:color="auto" w:fill="F3F9FD"/>
          </w:tcPr>
          <w:p>
            <w:pPr>
              <w:jc w:val="right"/>
              <w:ind w:right="6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300"/>
        </w:trPr>
        <w:tc>
          <w:tcPr>
            <w:tcW w:w="478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Tax Fees</w:t>
            </w:r>
            <w:r>
              <w:rPr>
                <w:rFonts w:ascii="Arial" w:cs="Arial" w:eastAsia="Arial" w:hAnsi="Arial"/>
                <w:sz w:val="20"/>
                <w:szCs w:val="20"/>
                <w:color w:val="auto"/>
                <w:vertAlign w:val="superscript"/>
              </w:rPr>
              <w:t>(3)</w:t>
            </w:r>
          </w:p>
        </w:tc>
        <w:tc>
          <w:tcPr>
            <w:tcW w:w="2260" w:type="dxa"/>
            <w:vAlign w:val="bottom"/>
            <w:tcBorders>
              <w:bottom w:val="single" w:sz="8" w:color="EBF7FC"/>
              <w:right w:val="single" w:sz="8" w:color="EBF7FC"/>
            </w:tcBorders>
          </w:tcPr>
          <w:p>
            <w:pPr>
              <w:jc w:val="right"/>
              <w:ind w:right="652"/>
              <w:spacing w:after="0"/>
              <w:rPr>
                <w:sz w:val="20"/>
                <w:szCs w:val="20"/>
                <w:color w:val="auto"/>
              </w:rPr>
            </w:pPr>
            <w:r>
              <w:rPr>
                <w:rFonts w:ascii="Arial" w:cs="Arial" w:eastAsia="Arial" w:hAnsi="Arial"/>
                <w:sz w:val="14"/>
                <w:szCs w:val="14"/>
                <w:color w:val="auto"/>
              </w:rPr>
              <w:t>200,870</w:t>
            </w:r>
          </w:p>
        </w:tc>
        <w:tc>
          <w:tcPr>
            <w:tcW w:w="2220" w:type="dxa"/>
            <w:vAlign w:val="bottom"/>
            <w:tcBorders>
              <w:bottom w:val="single" w:sz="8" w:color="EBF7FC"/>
            </w:tcBorders>
          </w:tcPr>
          <w:p>
            <w:pPr>
              <w:jc w:val="right"/>
              <w:ind w:right="612"/>
              <w:spacing w:after="0"/>
              <w:rPr>
                <w:sz w:val="20"/>
                <w:szCs w:val="20"/>
                <w:color w:val="auto"/>
              </w:rPr>
            </w:pPr>
            <w:r>
              <w:rPr>
                <w:rFonts w:ascii="Arial" w:cs="Arial" w:eastAsia="Arial" w:hAnsi="Arial"/>
                <w:sz w:val="14"/>
                <w:szCs w:val="14"/>
                <w:color w:val="auto"/>
              </w:rPr>
              <w:t>168,769</w:t>
            </w:r>
          </w:p>
        </w:tc>
        <w:tc>
          <w:tcPr>
            <w:tcW w:w="20" w:type="dxa"/>
            <w:vAlign w:val="bottom"/>
          </w:tcPr>
          <w:p>
            <w:pPr>
              <w:spacing w:after="0"/>
              <w:rPr>
                <w:sz w:val="24"/>
                <w:szCs w:val="24"/>
                <w:color w:val="auto"/>
              </w:rPr>
            </w:pPr>
          </w:p>
        </w:tc>
      </w:tr>
      <w:tr>
        <w:trPr>
          <w:trHeight w:val="300"/>
        </w:trPr>
        <w:tc>
          <w:tcPr>
            <w:tcW w:w="478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All Other Fees</w:t>
            </w:r>
            <w:r>
              <w:rPr>
                <w:rFonts w:ascii="Arial" w:cs="Arial" w:eastAsia="Arial" w:hAnsi="Arial"/>
                <w:sz w:val="20"/>
                <w:szCs w:val="20"/>
                <w:color w:val="auto"/>
                <w:vertAlign w:val="superscript"/>
              </w:rPr>
              <w:t>(4)</w:t>
            </w:r>
          </w:p>
        </w:tc>
        <w:tc>
          <w:tcPr>
            <w:tcW w:w="2260" w:type="dxa"/>
            <w:vAlign w:val="bottom"/>
            <w:tcBorders>
              <w:bottom w:val="single" w:sz="8" w:color="EBF7FC"/>
              <w:right w:val="single" w:sz="8" w:color="EBF7FC"/>
            </w:tcBorders>
            <w:shd w:val="clear" w:color="auto" w:fill="F3F9FD"/>
          </w:tcPr>
          <w:p>
            <w:pPr>
              <w:jc w:val="right"/>
              <w:ind w:right="652"/>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EBF7FC"/>
            </w:tcBorders>
            <w:shd w:val="clear" w:color="auto" w:fill="F3F9FD"/>
          </w:tcPr>
          <w:p>
            <w:pPr>
              <w:jc w:val="right"/>
              <w:ind w:right="6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247"/>
        </w:trPr>
        <w:tc>
          <w:tcPr>
            <w:tcW w:w="4780" w:type="dxa"/>
            <w:vAlign w:val="bottom"/>
            <w:tcBorders>
              <w:right w:val="single" w:sz="8" w:color="EBF7FC"/>
            </w:tcBorders>
          </w:tcPr>
          <w:p>
            <w:pPr>
              <w:ind w:left="80"/>
              <w:spacing w:after="0"/>
              <w:rPr>
                <w:sz w:val="20"/>
                <w:szCs w:val="20"/>
                <w:color w:val="auto"/>
              </w:rPr>
            </w:pPr>
            <w:r>
              <w:rPr>
                <w:rFonts w:ascii="Arial" w:cs="Arial" w:eastAsia="Arial" w:hAnsi="Arial"/>
                <w:sz w:val="14"/>
                <w:szCs w:val="14"/>
                <w:b w:val="1"/>
                <w:bCs w:val="1"/>
                <w:color w:val="auto"/>
              </w:rPr>
              <w:t>Total Fees</w:t>
            </w:r>
          </w:p>
        </w:tc>
        <w:tc>
          <w:tcPr>
            <w:tcW w:w="2260" w:type="dxa"/>
            <w:vAlign w:val="bottom"/>
            <w:tcBorders>
              <w:right w:val="single" w:sz="8" w:color="EBF7FC"/>
            </w:tcBorders>
          </w:tcPr>
          <w:p>
            <w:pPr>
              <w:jc w:val="right"/>
              <w:ind w:right="652"/>
              <w:spacing w:after="0"/>
              <w:rPr>
                <w:sz w:val="20"/>
                <w:szCs w:val="20"/>
                <w:color w:val="auto"/>
              </w:rPr>
            </w:pPr>
            <w:r>
              <w:rPr>
                <w:rFonts w:ascii="Arial" w:cs="Arial" w:eastAsia="Arial" w:hAnsi="Arial"/>
                <w:sz w:val="14"/>
                <w:szCs w:val="14"/>
                <w:b w:val="1"/>
                <w:bCs w:val="1"/>
                <w:color w:val="auto"/>
              </w:rPr>
              <w:t>1,747,717</w:t>
            </w:r>
          </w:p>
        </w:tc>
        <w:tc>
          <w:tcPr>
            <w:tcW w:w="2220" w:type="dxa"/>
            <w:vAlign w:val="bottom"/>
          </w:tcPr>
          <w:p>
            <w:pPr>
              <w:jc w:val="right"/>
              <w:ind w:right="612"/>
              <w:spacing w:after="0"/>
              <w:rPr>
                <w:sz w:val="20"/>
                <w:szCs w:val="20"/>
                <w:color w:val="auto"/>
              </w:rPr>
            </w:pPr>
            <w:r>
              <w:rPr>
                <w:rFonts w:ascii="Arial" w:cs="Arial" w:eastAsia="Arial" w:hAnsi="Arial"/>
                <w:sz w:val="14"/>
                <w:szCs w:val="14"/>
                <w:b w:val="1"/>
                <w:bCs w:val="1"/>
                <w:color w:val="auto"/>
              </w:rPr>
              <w:t>1,458,087</w:t>
            </w:r>
          </w:p>
        </w:tc>
        <w:tc>
          <w:tcPr>
            <w:tcW w:w="20" w:type="dxa"/>
            <w:vAlign w:val="bottom"/>
          </w:tcPr>
          <w:p>
            <w:pPr>
              <w:spacing w:after="0"/>
              <w:rPr>
                <w:sz w:val="21"/>
                <w:szCs w:val="21"/>
                <w:color w:val="auto"/>
              </w:rPr>
            </w:pPr>
          </w:p>
        </w:tc>
      </w:tr>
      <w:tr>
        <w:trPr>
          <w:trHeight w:val="52"/>
        </w:trPr>
        <w:tc>
          <w:tcPr>
            <w:tcW w:w="4780" w:type="dxa"/>
            <w:vAlign w:val="bottom"/>
            <w:tcBorders>
              <w:bottom w:val="single" w:sz="8" w:color="EBF7FC"/>
              <w:right w:val="single" w:sz="8" w:color="EBF7FC"/>
            </w:tcBorders>
          </w:tcPr>
          <w:p>
            <w:pPr>
              <w:spacing w:after="0"/>
              <w:rPr>
                <w:sz w:val="4"/>
                <w:szCs w:val="4"/>
                <w:color w:val="auto"/>
              </w:rPr>
            </w:pPr>
          </w:p>
        </w:tc>
        <w:tc>
          <w:tcPr>
            <w:tcW w:w="2260" w:type="dxa"/>
            <w:vAlign w:val="bottom"/>
            <w:tcBorders>
              <w:bottom w:val="single" w:sz="8" w:color="EBF7FC"/>
              <w:right w:val="single" w:sz="8" w:color="EBF7FC"/>
            </w:tcBorders>
          </w:tcPr>
          <w:p>
            <w:pPr>
              <w:spacing w:after="0"/>
              <w:rPr>
                <w:sz w:val="4"/>
                <w:szCs w:val="4"/>
                <w:color w:val="auto"/>
              </w:rPr>
            </w:pPr>
          </w:p>
        </w:tc>
        <w:tc>
          <w:tcPr>
            <w:tcW w:w="2220" w:type="dxa"/>
            <w:vAlign w:val="bottom"/>
            <w:tcBorders>
              <w:bottom w:val="single" w:sz="8" w:color="EBF7FC"/>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36" w:lineRule="exact"/>
        <w:rPr>
          <w:sz w:val="20"/>
          <w:szCs w:val="20"/>
          <w:color w:val="auto"/>
        </w:rPr>
      </w:pPr>
    </w:p>
    <w:p>
      <w:pPr>
        <w:jc w:val="both"/>
        <w:ind w:left="220" w:right="160" w:hanging="215"/>
        <w:spacing w:after="0" w:line="284" w:lineRule="auto"/>
        <w:tabs>
          <w:tab w:leader="none" w:pos="2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“Audit Fees” are fees billed for professional services for the audit of our consolidated annual financial statements filed on Form 10-K, the audit of our internal controls over financial reporting, the review of our interim financial statements included in our quarterly reports on Form 10-Q, and for services that are normally provided in connection with statutory and regulatory filings or engagement for those fiscal years.</w:t>
      </w:r>
    </w:p>
    <w:p>
      <w:pPr>
        <w:spacing w:after="0" w:line="98" w:lineRule="exact"/>
        <w:rPr>
          <w:rFonts w:ascii="Arial" w:cs="Arial" w:eastAsia="Arial" w:hAnsi="Arial"/>
          <w:sz w:val="12"/>
          <w:szCs w:val="12"/>
          <w:color w:val="auto"/>
        </w:rPr>
      </w:pPr>
    </w:p>
    <w:p>
      <w:pPr>
        <w:ind w:left="220" w:hanging="215"/>
        <w:spacing w:after="0"/>
        <w:tabs>
          <w:tab w:leader="none" w:pos="2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“Audit-Related Fees” are fees billed for assurance and related services that are reasonably related to the performance of the audit or review of our financial statements.</w:t>
      </w:r>
    </w:p>
    <w:p>
      <w:pPr>
        <w:spacing w:after="0" w:line="156" w:lineRule="exact"/>
        <w:rPr>
          <w:rFonts w:ascii="Arial" w:cs="Arial" w:eastAsia="Arial" w:hAnsi="Arial"/>
          <w:sz w:val="12"/>
          <w:szCs w:val="12"/>
          <w:color w:val="auto"/>
        </w:rPr>
      </w:pPr>
    </w:p>
    <w:p>
      <w:pPr>
        <w:ind w:left="220" w:hanging="215"/>
        <w:spacing w:after="0"/>
        <w:tabs>
          <w:tab w:leader="none" w:pos="2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“Tax Fees” are fees billed for professional services rendered in connection with tax compliance, advice and planning.</w:t>
      </w:r>
    </w:p>
    <w:p>
      <w:pPr>
        <w:spacing w:after="0" w:line="156" w:lineRule="exact"/>
        <w:rPr>
          <w:rFonts w:ascii="Arial" w:cs="Arial" w:eastAsia="Arial" w:hAnsi="Arial"/>
          <w:sz w:val="12"/>
          <w:szCs w:val="12"/>
          <w:color w:val="auto"/>
        </w:rPr>
      </w:pPr>
    </w:p>
    <w:p>
      <w:pPr>
        <w:ind w:left="220" w:hanging="215"/>
        <w:spacing w:after="0"/>
        <w:tabs>
          <w:tab w:leader="none" w:pos="2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“All Other Fees” are fees billed for products and services other than those reported in “Audit Fees”, “Audit-Related Fees” and “Tax Fees”.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Pre-Approval Policies and Procedures</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Audit Committee has responsibility for conducting its appraisal and approval of audit and non-audit services. The Audit Committee allows delegation to its members to approve additional audit and non-audit services. The Audit Committee or one of its members pre-approved all the services provided by Deloitte &amp; Touche LLP for the fiscal year ended 2024. Management reviewed out-of-scope fees for fiscal year 2024 audit services prior to approval by the Audit Committee. Audit and non-audit services for next fiscal year are reviewed by management prior to approval by the Audit Committee. Non-audit services include, but are not limited to, planning, advisory, consulting and tax compliance services. In making its recommendation to ratify the selection of Deloitte &amp; Touche LLP as independent registered public accounting firm for the fiscal year ending October 31, 2025, the Audit Committee has considered whether the services provided by Deloitte</w:t>
      </w:r>
    </w:p>
    <w:p>
      <w:pPr>
        <w:sectPr>
          <w:pgSz w:w="11900" w:h="16838" w:orient="portrait"/>
          <w:cols w:equalWidth="0" w:num="1">
            <w:col w:w="9340"/>
          </w:cols>
          <w:pgMar w:left="1300" w:top="119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9" w:right="1259" w:bottom="1440" w:gutter="0" w:footer="0" w:header="0"/>
          <w:type w:val="continuous"/>
        </w:sectPr>
      </w:pPr>
    </w:p>
    <w:bookmarkStart w:id="56" w:name="page57"/>
    <w:bookmarkEnd w:id="56"/>
    <w:p>
      <w:pPr>
        <w:jc w:val="both"/>
        <w:ind w:right="60" w:firstLine="5"/>
        <w:spacing w:after="0" w:line="304" w:lineRule="auto"/>
        <w:tabs>
          <w:tab w:leader="none" w:pos="145" w:val="left"/>
        </w:tabs>
        <w:numPr>
          <w:ilvl w:val="0"/>
          <w:numId w:val="5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Touche LLP are compatible with maintaining the independence of Deloitte &amp; Touche LLP and has determined that such services do not interfere with Deloitte &amp; Touche LLP’s independence. If an independence breach occurs, Deloitte &amp; Touch LLP communicates the nature of the breach, in writing, to the Audit Committee.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Required Vote for Stockholder Approval</w:t>
      </w:r>
    </w:p>
    <w:p>
      <w:pPr>
        <w:spacing w:after="0" w:line="104"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The ratification of our independent registered public accounting firm requires the affirmative vote of the holders of a majority of the shares of Voting Stock present or represented by proxy and entitled to vote on the proposal at the Annual Meeting. An abstention will not be counted toward the ratification of Deloitte &amp; Touche LLP as the independent registered public accounting firm, and the effect of an abstention is the same as a vote against the ratification. Brokers have discretion to vote on the ratification of our independent registered public accounting firm and, as such, no votes on this proposal will be considered broker non-votes.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Recommendation of the Board of Directors</w:t>
      </w:r>
    </w:p>
    <w:p>
      <w:pPr>
        <w:spacing w:after="0" w:line="102"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color w:val="auto"/>
        </w:rPr>
        <w:t xml:space="preserve">The Board recommends that you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ratification of the selection of Deloitte &amp; Touche LLP to serve as independent registered public accounting firm for the Company for the fiscal year ending October 31, 2025.</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Audit and Finance Committee Report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Committee’s primary role is to assist the Board in fulfilling its responsibility for oversight of:</w:t>
      </w:r>
    </w:p>
    <w:p>
      <w:pPr>
        <w:spacing w:after="0" w:line="160" w:lineRule="exact"/>
        <w:rPr>
          <w:sz w:val="20"/>
          <w:szCs w:val="20"/>
          <w:color w:val="auto"/>
        </w:rPr>
      </w:pPr>
    </w:p>
    <w:p>
      <w:pPr>
        <w:ind w:left="680" w:hanging="675"/>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quality and integrity of the consolidated financial statements and related disclosures;</w:t>
      </w:r>
    </w:p>
    <w:p>
      <w:pPr>
        <w:spacing w:after="0" w:line="172" w:lineRule="exact"/>
        <w:rPr>
          <w:rFonts w:ascii="Arial" w:cs="Arial" w:eastAsia="Arial" w:hAnsi="Arial"/>
          <w:sz w:val="15"/>
          <w:szCs w:val="15"/>
          <w:color w:val="auto"/>
        </w:rPr>
      </w:pPr>
    </w:p>
    <w:p>
      <w:pPr>
        <w:ind w:left="680" w:hanging="675"/>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compliance with legal and regulatory requirements;</w:t>
      </w:r>
    </w:p>
    <w:p>
      <w:pPr>
        <w:spacing w:after="0" w:line="172" w:lineRule="exact"/>
        <w:rPr>
          <w:rFonts w:ascii="Arial" w:cs="Arial" w:eastAsia="Arial" w:hAnsi="Arial"/>
          <w:sz w:val="15"/>
          <w:szCs w:val="15"/>
          <w:color w:val="auto"/>
        </w:rPr>
      </w:pPr>
    </w:p>
    <w:p>
      <w:pPr>
        <w:ind w:left="680" w:hanging="675"/>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independent registered public accounting firm’s qualifications, independence and performance; and</w:t>
      </w:r>
    </w:p>
    <w:p>
      <w:pPr>
        <w:spacing w:after="0" w:line="160" w:lineRule="exact"/>
        <w:rPr>
          <w:rFonts w:ascii="Arial" w:cs="Arial" w:eastAsia="Arial" w:hAnsi="Arial"/>
          <w:sz w:val="15"/>
          <w:szCs w:val="15"/>
          <w:color w:val="auto"/>
        </w:rPr>
      </w:pPr>
    </w:p>
    <w:p>
      <w:pPr>
        <w:ind w:left="680" w:hanging="675"/>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performance of our internal audit and control functions.</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Company’s management is responsible for the preparation of the financial statements, the financial reporting process and the system of internal controls. The independent registered public accounting firm is responsible for performing an audit of the financial statements in accordance with auditing standards generally accepted in the United States and issuing an opinion as to the conformity of those audited financial statements to United States generally accepted accounting principles. The Audit Committee monitors and oversees these processes.</w:t>
      </w:r>
    </w:p>
    <w:p>
      <w:pPr>
        <w:spacing w:after="0" w:line="108"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The Audit Committee has adopted a policy designed to ensure proper oversight of our independent registered public accounting firm. Under the policy, the Audit Committee is directly responsible for the appointment, compensation, retention and oversight of the work of any registered public accounting firm engaged for the purpose of preparing or issuing an audit report or performing any other audit review (including resolution of disagreements among management and the independent registered public accounting firm regarding financial reporting), or attestation services. In addition, the Audit Committee is responsible for pre-approving any non-audit services provided by the Company’s independent registered public accounting firm. The Audit Committee’s charter also ensures that the independent registered public accounting firm discusses with the Audit Committee important issues such as internal controls, critical accounting policies, any instances of fraud and the consistency and appropriateness of our accounting policies and practices.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of the Board has:</w:t>
      </w:r>
    </w:p>
    <w:p>
      <w:pPr>
        <w:spacing w:after="0" w:line="173" w:lineRule="exact"/>
        <w:rPr>
          <w:sz w:val="20"/>
          <w:szCs w:val="20"/>
          <w:color w:val="auto"/>
        </w:rPr>
      </w:pPr>
    </w:p>
    <w:p>
      <w:pPr>
        <w:ind w:left="120" w:right="280" w:hanging="115"/>
        <w:spacing w:after="0" w:line="324" w:lineRule="auto"/>
        <w:tabs>
          <w:tab w:leader="none" w:pos="1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reviewed and discussed with management and Deloitte &amp; Touche LLP, the audited financial statements as of and for the year ended October 31, 2024;</w:t>
      </w:r>
    </w:p>
    <w:p>
      <w:pPr>
        <w:spacing w:after="0" w:line="84" w:lineRule="exact"/>
        <w:rPr>
          <w:rFonts w:ascii="Arial" w:cs="Arial" w:eastAsia="Arial" w:hAnsi="Arial"/>
          <w:sz w:val="15"/>
          <w:szCs w:val="15"/>
          <w:color w:val="auto"/>
        </w:rPr>
      </w:pPr>
    </w:p>
    <w:p>
      <w:pPr>
        <w:ind w:left="120" w:right="420" w:hanging="115"/>
        <w:spacing w:after="0" w:line="324" w:lineRule="auto"/>
        <w:tabs>
          <w:tab w:leader="none" w:pos="1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discussed with Deloitte &amp; Touche LLP the matters required to be discussed by the applicable requirements of the Public Company Accounting Oversight Board (“PCAOB”) and the SEC; and</w:t>
      </w:r>
    </w:p>
    <w:p>
      <w:pPr>
        <w:spacing w:after="0" w:line="71" w:lineRule="exact"/>
        <w:rPr>
          <w:rFonts w:ascii="Arial" w:cs="Arial" w:eastAsia="Arial" w:hAnsi="Arial"/>
          <w:sz w:val="15"/>
          <w:szCs w:val="15"/>
          <w:color w:val="auto"/>
        </w:rPr>
      </w:pPr>
    </w:p>
    <w:p>
      <w:pPr>
        <w:ind w:left="120" w:hanging="115"/>
        <w:spacing w:after="0" w:line="304" w:lineRule="auto"/>
        <w:tabs>
          <w:tab w:leader="none" w:pos="1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received the written disclosures and the letter from Deloitte &amp; Touche LLP required by applicable requirements of the PCAOB regarding Deloitte &amp; Touche LLP’s communications with the Audit Committee concerning independence and discussed with Deloitte &amp; Touche LLP its independence.</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57" w:name="page58"/>
    <w:bookmarkEnd w:id="57"/>
    <w:p>
      <w:pPr>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Based on these reviews and discussions, the Audit Committee has recommended to the Board, and the Board has approved, the inclusion of the audited financial statements in the Company’s Annual Report on Form 10-K for the year ended October 31, 2024, for filing with the SEC.</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Members of the Audit and Finance Committee: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Barbara Carbone, Chairperson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Gordon E. Kimball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Peter J. Nolan</w:t>
      </w:r>
    </w:p>
    <w:p>
      <w:pPr>
        <w:spacing w:after="0" w:line="173" w:lineRule="exact"/>
        <w:rPr>
          <w:sz w:val="20"/>
          <w:szCs w:val="20"/>
          <w:color w:val="auto"/>
        </w:rPr>
      </w:pPr>
    </w:p>
    <w:p>
      <w:pPr>
        <w:jc w:val="both"/>
        <w:ind w:right="80"/>
        <w:spacing w:after="0" w:line="304" w:lineRule="auto"/>
        <w:rPr>
          <w:sz w:val="20"/>
          <w:szCs w:val="20"/>
          <w:color w:val="auto"/>
        </w:rPr>
      </w:pPr>
      <w:r>
        <w:rPr>
          <w:rFonts w:ascii="Arial" w:cs="Arial" w:eastAsia="Arial" w:hAnsi="Arial"/>
          <w:sz w:val="15"/>
          <w:szCs w:val="15"/>
          <w:color w:val="auto"/>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sectPr>
          <w:pgSz w:w="11900" w:h="16838" w:orient="portrait"/>
          <w:cols w:equalWidth="0" w:num="1">
            <w:col w:w="9340"/>
          </w:cols>
          <w:pgMar w:left="1300" w:top="12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15" w:right="1259" w:bottom="1440" w:gutter="0" w:footer="0" w:header="0"/>
          <w:type w:val="continuous"/>
        </w:sectPr>
      </w:pPr>
    </w:p>
    <w:bookmarkStart w:id="58" w:name="page59"/>
    <w:bookmarkEnd w:id="58"/>
    <w:p>
      <w:pPr>
        <w:ind w:left="40"/>
        <w:spacing w:after="0"/>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635000</wp:posOffset>
            </wp:positionH>
            <wp:positionV relativeFrom="page">
              <wp:posOffset>575945</wp:posOffset>
            </wp:positionV>
            <wp:extent cx="6327140" cy="82524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Other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Stock Ownership Information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Security Ownership of Certain Beneficial Owners and Management</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following table sets forth the beneficial ownership of our Common Stock as of February 12, 2025 by (i) each person who is known to us to be the beneficial owner of more than 5% of the outstanding shares of our Common Stock, (ii) each director, (iii) each director nominee, (iv) our NEOs and (v) all of our directors and officers as a group. The applicable percentage ownership is based on 18,045,169 shares of Common Stock outstanding as of February 12, 2025, plus the number of shares of Common Stock issuable upon the conversion of Series B Convertible Preferred Stock and Series B-2 Convertible Preferred Stock. All holders of Common Stock are entitled to one vote per share on all matters submitted to a vote of holders of Common Stock.</w:t>
      </w:r>
    </w:p>
    <w:p>
      <w:pPr>
        <w:spacing w:after="0" w:line="110"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The number of shares beneficially owned by each entity or individual is determined pursuant to Rule 13d-3 of the Exchange Act, and the information is not necessarily indicative of beneficial ownership for any other purpose. Under Rule 13d-3 of the Exchange Act, “beneficial ownership” includes any shares as to which the entity or individual has sole or shared voting power or investment power and any shares that the entity or individual has the right to acquire within sixty (60) days through the exercise of any stock option or other right. Unless otherwise indicated, each person has sole voting and investment power (or shares such powers with his or her spouse pursuant to applicable community property laws) with respect to the shares set forth in the following table.</w:t>
      </w:r>
    </w:p>
    <w:p>
      <w:pPr>
        <w:spacing w:after="0" w:line="110"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color w:val="auto"/>
        </w:rPr>
        <w:t>There are no arrangements currently known to the Company, the operation of which may at a subsequent date result in a change of control.</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Security Ownership of Certain Beneficial Owners and Management as of February 12,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60" w:type="dxa"/>
            <w:vAlign w:val="bottom"/>
            <w:tcBorders>
              <w:top w:val="single" w:sz="8" w:color="EBF7FC"/>
            </w:tcBorders>
          </w:tcPr>
          <w:p>
            <w:pPr>
              <w:ind w:left="80"/>
              <w:spacing w:after="0"/>
              <w:rPr>
                <w:sz w:val="20"/>
                <w:szCs w:val="20"/>
                <w:color w:val="auto"/>
              </w:rPr>
            </w:pPr>
            <w:r>
              <w:rPr>
                <w:rFonts w:ascii="Arial" w:cs="Arial" w:eastAsia="Arial" w:hAnsi="Arial"/>
                <w:sz w:val="14"/>
                <w:szCs w:val="14"/>
                <w:color w:val="auto"/>
              </w:rPr>
              <w:t>February 12, 2025 - outstanding shares - Common Stock</w:t>
            </w:r>
          </w:p>
        </w:tc>
        <w:tc>
          <w:tcPr>
            <w:tcW w:w="1120" w:type="dxa"/>
            <w:vAlign w:val="bottom"/>
            <w:tcBorders>
              <w:top w:val="single" w:sz="8" w:color="EBF7FC"/>
              <w:right w:val="single" w:sz="8" w:color="EBF7FC"/>
            </w:tcBorders>
          </w:tcPr>
          <w:p>
            <w:pPr>
              <w:spacing w:after="0"/>
              <w:rPr>
                <w:sz w:val="22"/>
                <w:szCs w:val="22"/>
                <w:color w:val="auto"/>
              </w:rPr>
            </w:pPr>
          </w:p>
        </w:tc>
        <w:tc>
          <w:tcPr>
            <w:tcW w:w="11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18,045,169</w:t>
            </w:r>
          </w:p>
        </w:tc>
      </w:tr>
      <w:tr>
        <w:trPr>
          <w:trHeight w:val="58"/>
        </w:trPr>
        <w:tc>
          <w:tcPr>
            <w:tcW w:w="7060" w:type="dxa"/>
            <w:vAlign w:val="bottom"/>
            <w:tcBorders>
              <w:bottom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tcBorders>
          </w:tcPr>
          <w:p>
            <w:pPr>
              <w:spacing w:after="0"/>
              <w:rPr>
                <w:sz w:val="5"/>
                <w:szCs w:val="5"/>
                <w:color w:val="auto"/>
              </w:rPr>
            </w:pPr>
          </w:p>
        </w:tc>
      </w:tr>
      <w:tr>
        <w:trPr>
          <w:trHeight w:val="305"/>
        </w:trPr>
        <w:tc>
          <w:tcPr>
            <w:tcW w:w="7060" w:type="dxa"/>
            <w:vAlign w:val="bottom"/>
            <w:tcBorders>
              <w:bottom w:val="single" w:sz="8" w:color="F3F9FD"/>
              <w:right w:val="single" w:sz="8" w:color="F3F9FD"/>
            </w:tcBorders>
            <w:shd w:val="clear" w:color="auto" w:fill="F3F9FD"/>
          </w:tcPr>
          <w:p>
            <w:pPr>
              <w:ind w:left="80"/>
              <w:spacing w:after="0"/>
              <w:rPr>
                <w:sz w:val="20"/>
                <w:szCs w:val="20"/>
                <w:color w:val="auto"/>
              </w:rPr>
            </w:pPr>
            <w:r>
              <w:rPr>
                <w:rFonts w:ascii="Arial" w:cs="Arial" w:eastAsia="Arial" w:hAnsi="Arial"/>
                <w:sz w:val="14"/>
                <w:szCs w:val="14"/>
                <w:color w:val="auto"/>
              </w:rPr>
              <w:t>Series B Convertible Preferred Stock</w:t>
            </w:r>
          </w:p>
        </w:tc>
        <w:tc>
          <w:tcPr>
            <w:tcW w:w="1120" w:type="dxa"/>
            <w:vAlign w:val="bottom"/>
            <w:tcBorders>
              <w:bottom w:val="single" w:sz="8" w:color="F3F9FD"/>
              <w:right w:val="single" w:sz="8" w:color="EBF7FC"/>
            </w:tcBorders>
            <w:shd w:val="clear" w:color="auto" w:fill="F3F9FD"/>
          </w:tcPr>
          <w:p>
            <w:pPr>
              <w:spacing w:after="0"/>
              <w:rPr>
                <w:sz w:val="24"/>
                <w:szCs w:val="24"/>
                <w:color w:val="auto"/>
              </w:rPr>
            </w:pPr>
          </w:p>
        </w:tc>
        <w:tc>
          <w:tcPr>
            <w:tcW w:w="11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14,790</w:t>
            </w:r>
          </w:p>
        </w:tc>
      </w:tr>
      <w:tr>
        <w:trPr>
          <w:trHeight w:val="241"/>
        </w:trPr>
        <w:tc>
          <w:tcPr>
            <w:tcW w:w="7060" w:type="dxa"/>
            <w:vAlign w:val="bottom"/>
            <w:tcBorders>
              <w:top w:val="single" w:sz="8" w:color="EBF7FC"/>
            </w:tcBorders>
          </w:tcPr>
          <w:p>
            <w:pPr>
              <w:ind w:left="80"/>
              <w:spacing w:after="0"/>
              <w:rPr>
                <w:sz w:val="20"/>
                <w:szCs w:val="20"/>
                <w:color w:val="auto"/>
              </w:rPr>
            </w:pPr>
            <w:r>
              <w:rPr>
                <w:rFonts w:ascii="Arial" w:cs="Arial" w:eastAsia="Arial" w:hAnsi="Arial"/>
                <w:sz w:val="14"/>
                <w:szCs w:val="14"/>
                <w:color w:val="auto"/>
              </w:rPr>
              <w:t>Series B-2 Convertible Preferred Stock</w:t>
            </w:r>
          </w:p>
        </w:tc>
        <w:tc>
          <w:tcPr>
            <w:tcW w:w="1120" w:type="dxa"/>
            <w:vAlign w:val="bottom"/>
            <w:tcBorders>
              <w:top w:val="single" w:sz="8" w:color="EBF7FC"/>
              <w:right w:val="single" w:sz="8" w:color="EBF7FC"/>
            </w:tcBorders>
          </w:tcPr>
          <w:p>
            <w:pPr>
              <w:spacing w:after="0"/>
              <w:rPr>
                <w:sz w:val="20"/>
                <w:szCs w:val="20"/>
                <w:color w:val="auto"/>
              </w:rPr>
            </w:pPr>
          </w:p>
        </w:tc>
        <w:tc>
          <w:tcPr>
            <w:tcW w:w="1120" w:type="dxa"/>
            <w:vAlign w:val="bottom"/>
            <w:tcBorders>
              <w:top w:val="single" w:sz="8" w:color="EBF7FC"/>
            </w:tcBorders>
          </w:tcPr>
          <w:p>
            <w:pPr>
              <w:jc w:val="right"/>
              <w:ind w:right="52"/>
              <w:spacing w:after="0"/>
              <w:rPr>
                <w:sz w:val="20"/>
                <w:szCs w:val="20"/>
                <w:color w:val="auto"/>
              </w:rPr>
            </w:pPr>
            <w:r>
              <w:rPr>
                <w:rFonts w:ascii="Arial" w:cs="Arial" w:eastAsia="Arial" w:hAnsi="Arial"/>
                <w:sz w:val="14"/>
                <w:szCs w:val="14"/>
                <w:color w:val="auto"/>
              </w:rPr>
              <w:t>9,300</w:t>
            </w:r>
          </w:p>
        </w:tc>
      </w:tr>
      <w:tr>
        <w:trPr>
          <w:trHeight w:val="58"/>
        </w:trPr>
        <w:tc>
          <w:tcPr>
            <w:tcW w:w="7060" w:type="dxa"/>
            <w:vAlign w:val="bottom"/>
            <w:tcBorders>
              <w:bottom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tcBorders>
          </w:tcPr>
          <w:p>
            <w:pPr>
              <w:spacing w:after="0"/>
              <w:rPr>
                <w:sz w:val="5"/>
                <w:szCs w:val="5"/>
                <w:color w:val="auto"/>
              </w:rPr>
            </w:pPr>
          </w:p>
        </w:tc>
      </w:tr>
      <w:tr>
        <w:trPr>
          <w:trHeight w:val="305"/>
        </w:trPr>
        <w:tc>
          <w:tcPr>
            <w:tcW w:w="7060" w:type="dxa"/>
            <w:vAlign w:val="bottom"/>
            <w:tcBorders>
              <w:bottom w:val="single" w:sz="8" w:color="F3F9FD"/>
              <w:right w:val="single" w:sz="8" w:color="F3F9FD"/>
            </w:tcBorders>
            <w:shd w:val="clear" w:color="auto" w:fill="F3F9FD"/>
          </w:tcPr>
          <w:p>
            <w:pPr>
              <w:ind w:left="80"/>
              <w:spacing w:after="0"/>
              <w:rPr>
                <w:sz w:val="20"/>
                <w:szCs w:val="20"/>
                <w:color w:val="auto"/>
              </w:rPr>
            </w:pPr>
            <w:r>
              <w:rPr>
                <w:rFonts w:ascii="Arial" w:cs="Arial" w:eastAsia="Arial" w:hAnsi="Arial"/>
                <w:sz w:val="14"/>
                <w:szCs w:val="14"/>
                <w:color w:val="auto"/>
              </w:rPr>
              <w:t>Total Outstanding (less treasury)</w:t>
            </w:r>
          </w:p>
        </w:tc>
        <w:tc>
          <w:tcPr>
            <w:tcW w:w="1120" w:type="dxa"/>
            <w:vAlign w:val="bottom"/>
            <w:tcBorders>
              <w:bottom w:val="single" w:sz="8" w:color="F3F9FD"/>
              <w:right w:val="single" w:sz="8" w:color="EBF7FC"/>
            </w:tcBorders>
            <w:shd w:val="clear" w:color="auto" w:fill="F3F9FD"/>
          </w:tcPr>
          <w:p>
            <w:pPr>
              <w:spacing w:after="0"/>
              <w:rPr>
                <w:sz w:val="24"/>
                <w:szCs w:val="24"/>
                <w:color w:val="auto"/>
              </w:rPr>
            </w:pPr>
          </w:p>
        </w:tc>
        <w:tc>
          <w:tcPr>
            <w:tcW w:w="11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18,069,259</w:t>
            </w:r>
          </w:p>
        </w:tc>
      </w:tr>
      <w:tr>
        <w:trPr>
          <w:trHeight w:val="133"/>
        </w:trPr>
        <w:tc>
          <w:tcPr>
            <w:tcW w:w="7060" w:type="dxa"/>
            <w:vAlign w:val="bottom"/>
            <w:tcBorders>
              <w:top w:val="single" w:sz="8" w:color="EBF7FC"/>
            </w:tcBorders>
          </w:tcPr>
          <w:p>
            <w:pPr>
              <w:spacing w:after="0"/>
              <w:rPr>
                <w:sz w:val="11"/>
                <w:szCs w:val="11"/>
                <w:color w:val="auto"/>
              </w:rPr>
            </w:pPr>
          </w:p>
        </w:tc>
        <w:tc>
          <w:tcPr>
            <w:tcW w:w="2240" w:type="dxa"/>
            <w:vAlign w:val="bottom"/>
            <w:tcBorders>
              <w:top w:val="single" w:sz="8" w:color="EBF7FC"/>
            </w:tcBorders>
            <w:gridSpan w:val="2"/>
          </w:tcPr>
          <w:p>
            <w:pPr>
              <w:spacing w:after="0"/>
              <w:rPr>
                <w:sz w:val="11"/>
                <w:szCs w:val="11"/>
                <w:color w:val="auto"/>
              </w:rPr>
            </w:pPr>
          </w:p>
        </w:tc>
      </w:tr>
      <w:tr>
        <w:trPr>
          <w:trHeight w:val="221"/>
        </w:trPr>
        <w:tc>
          <w:tcPr>
            <w:tcW w:w="7060" w:type="dxa"/>
            <w:vAlign w:val="bottom"/>
            <w:tcBorders>
              <w:right w:val="single" w:sz="8" w:color="E5E9ED"/>
            </w:tcBorders>
            <w:shd w:val="clear" w:color="auto" w:fill="E5E9ED"/>
          </w:tcPr>
          <w:p>
            <w:pPr>
              <w:spacing w:after="0"/>
              <w:rPr>
                <w:sz w:val="19"/>
                <w:szCs w:val="19"/>
                <w:color w:val="auto"/>
              </w:rPr>
            </w:pPr>
          </w:p>
        </w:tc>
        <w:tc>
          <w:tcPr>
            <w:tcW w:w="2240" w:type="dxa"/>
            <w:vAlign w:val="bottom"/>
            <w:gridSpan w:val="2"/>
            <w:shd w:val="clear" w:color="auto" w:fill="E5E9ED"/>
          </w:tcPr>
          <w:p>
            <w:pPr>
              <w:jc w:val="right"/>
              <w:ind w:right="552"/>
              <w:spacing w:after="0"/>
              <w:rPr>
                <w:sz w:val="20"/>
                <w:szCs w:val="20"/>
                <w:color w:val="auto"/>
              </w:rPr>
            </w:pPr>
            <w:r>
              <w:rPr>
                <w:rFonts w:ascii="Arial" w:cs="Arial" w:eastAsia="Arial" w:hAnsi="Arial"/>
                <w:sz w:val="14"/>
                <w:szCs w:val="14"/>
                <w:b w:val="1"/>
                <w:bCs w:val="1"/>
                <w:color w:val="auto"/>
              </w:rPr>
              <w:t>Common Stock</w:t>
            </w:r>
          </w:p>
        </w:tc>
      </w:tr>
      <w:tr>
        <w:trPr>
          <w:trHeight w:val="187"/>
        </w:trPr>
        <w:tc>
          <w:tcPr>
            <w:tcW w:w="7060" w:type="dxa"/>
            <w:vAlign w:val="bottom"/>
            <w:tcBorders>
              <w:right w:val="single" w:sz="8" w:color="E5E9ED"/>
            </w:tcBorders>
            <w:shd w:val="clear" w:color="auto" w:fill="E5E9ED"/>
          </w:tcPr>
          <w:p>
            <w:pPr>
              <w:spacing w:after="0"/>
              <w:rPr>
                <w:sz w:val="16"/>
                <w:szCs w:val="16"/>
                <w:color w:val="auto"/>
              </w:rPr>
            </w:pPr>
          </w:p>
        </w:tc>
        <w:tc>
          <w:tcPr>
            <w:tcW w:w="2240" w:type="dxa"/>
            <w:vAlign w:val="bottom"/>
            <w:gridSpan w:val="2"/>
            <w:shd w:val="clear" w:color="auto" w:fill="E5E9ED"/>
          </w:tcPr>
          <w:p>
            <w:pPr>
              <w:jc w:val="right"/>
              <w:ind w:right="432"/>
              <w:spacing w:after="0"/>
              <w:rPr>
                <w:sz w:val="20"/>
                <w:szCs w:val="20"/>
                <w:color w:val="auto"/>
              </w:rPr>
            </w:pPr>
            <w:r>
              <w:rPr>
                <w:rFonts w:ascii="Arial" w:cs="Arial" w:eastAsia="Arial" w:hAnsi="Arial"/>
                <w:sz w:val="14"/>
                <w:szCs w:val="14"/>
                <w:b w:val="1"/>
                <w:bCs w:val="1"/>
                <w:color w:val="auto"/>
              </w:rPr>
              <w:t>Beneficially Owned</w:t>
            </w:r>
          </w:p>
        </w:tc>
      </w:tr>
      <w:tr>
        <w:trPr>
          <w:trHeight w:val="288"/>
        </w:trPr>
        <w:tc>
          <w:tcPr>
            <w:tcW w:w="706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Name and Address of Beneficial Owner</w:t>
            </w:r>
          </w:p>
        </w:tc>
        <w:tc>
          <w:tcPr>
            <w:tcW w:w="1120" w:type="dxa"/>
            <w:vAlign w:val="bottom"/>
            <w:tcBorders>
              <w:bottom w:val="single" w:sz="8" w:color="E5E9ED"/>
              <w:right w:val="single" w:sz="8" w:color="E5E9ED"/>
            </w:tcBorders>
            <w:shd w:val="clear" w:color="auto" w:fill="E5E9ED"/>
          </w:tcPr>
          <w:p>
            <w:pPr>
              <w:jc w:val="right"/>
              <w:ind w:right="152"/>
              <w:spacing w:after="0"/>
              <w:rPr>
                <w:sz w:val="20"/>
                <w:szCs w:val="20"/>
                <w:color w:val="auto"/>
              </w:rPr>
            </w:pPr>
            <w:r>
              <w:rPr>
                <w:rFonts w:ascii="Arial" w:cs="Arial" w:eastAsia="Arial" w:hAnsi="Arial"/>
                <w:sz w:val="14"/>
                <w:szCs w:val="14"/>
                <w:b w:val="1"/>
                <w:bCs w:val="1"/>
                <w:color w:val="auto"/>
              </w:rPr>
              <w:t># of shares</w:t>
            </w:r>
          </w:p>
        </w:tc>
        <w:tc>
          <w:tcPr>
            <w:tcW w:w="1120" w:type="dxa"/>
            <w:vAlign w:val="bottom"/>
            <w:tcBorders>
              <w:bottom w:val="single" w:sz="8" w:color="E5E9ED"/>
            </w:tcBorders>
            <w:shd w:val="clear" w:color="auto" w:fill="E5E9ED"/>
          </w:tcPr>
          <w:p>
            <w:pPr>
              <w:jc w:val="right"/>
              <w:ind w:right="132"/>
              <w:spacing w:after="0"/>
              <w:rPr>
                <w:sz w:val="20"/>
                <w:szCs w:val="20"/>
                <w:color w:val="auto"/>
              </w:rPr>
            </w:pPr>
            <w:r>
              <w:rPr>
                <w:rFonts w:ascii="Arial" w:cs="Arial" w:eastAsia="Arial" w:hAnsi="Arial"/>
                <w:sz w:val="14"/>
                <w:szCs w:val="14"/>
                <w:b w:val="1"/>
                <w:bCs w:val="1"/>
                <w:color w:val="auto"/>
              </w:rPr>
              <w:t>Percentage</w:t>
            </w:r>
          </w:p>
        </w:tc>
      </w:tr>
      <w:tr>
        <w:trPr>
          <w:trHeight w:val="235"/>
        </w:trPr>
        <w:tc>
          <w:tcPr>
            <w:tcW w:w="7060" w:type="dxa"/>
            <w:vAlign w:val="bottom"/>
            <w:tcBorders>
              <w:top w:val="single" w:sz="8" w:color="EBF7FC"/>
              <w:right w:val="single" w:sz="8" w:color="EBF7FC"/>
            </w:tcBorders>
          </w:tcPr>
          <w:p>
            <w:pPr>
              <w:ind w:left="80"/>
              <w:spacing w:after="0"/>
              <w:rPr>
                <w:sz w:val="20"/>
                <w:szCs w:val="20"/>
                <w:color w:val="auto"/>
              </w:rPr>
            </w:pPr>
            <w:r>
              <w:rPr>
                <w:rFonts w:ascii="Arial" w:cs="Arial" w:eastAsia="Arial" w:hAnsi="Arial"/>
                <w:sz w:val="14"/>
                <w:szCs w:val="14"/>
                <w:b w:val="1"/>
                <w:bCs w:val="1"/>
                <w:i w:val="1"/>
                <w:iCs w:val="1"/>
                <w:color w:val="auto"/>
              </w:rPr>
              <w:t>5% Beneficial Owners</w:t>
            </w:r>
          </w:p>
        </w:tc>
        <w:tc>
          <w:tcPr>
            <w:tcW w:w="1120" w:type="dxa"/>
            <w:vAlign w:val="bottom"/>
            <w:tcBorders>
              <w:top w:val="single" w:sz="8" w:color="EBF7FC"/>
              <w:right w:val="single" w:sz="8" w:color="EBF7FC"/>
            </w:tcBorders>
          </w:tcPr>
          <w:p>
            <w:pPr>
              <w:spacing w:after="0"/>
              <w:rPr>
                <w:sz w:val="20"/>
                <w:szCs w:val="20"/>
                <w:color w:val="auto"/>
              </w:rPr>
            </w:pPr>
          </w:p>
        </w:tc>
        <w:tc>
          <w:tcPr>
            <w:tcW w:w="1120" w:type="dxa"/>
            <w:vAlign w:val="bottom"/>
            <w:tcBorders>
              <w:top w:val="single" w:sz="8" w:color="EBF7FC"/>
            </w:tcBorders>
          </w:tcPr>
          <w:p>
            <w:pPr>
              <w:spacing w:after="0"/>
              <w:rPr>
                <w:sz w:val="20"/>
                <w:szCs w:val="20"/>
                <w:color w:val="auto"/>
              </w:rPr>
            </w:pPr>
          </w:p>
        </w:tc>
      </w:tr>
      <w:tr>
        <w:trPr>
          <w:trHeight w:val="52"/>
        </w:trPr>
        <w:tc>
          <w:tcPr>
            <w:tcW w:w="7060" w:type="dxa"/>
            <w:vAlign w:val="bottom"/>
            <w:tcBorders>
              <w:bottom w:val="single" w:sz="8" w:color="EBF7FC"/>
              <w:right w:val="single" w:sz="8" w:color="EBF7FC"/>
            </w:tcBorders>
          </w:tcPr>
          <w:p>
            <w:pPr>
              <w:spacing w:after="0"/>
              <w:rPr>
                <w:sz w:val="4"/>
                <w:szCs w:val="4"/>
                <w:color w:val="auto"/>
              </w:rPr>
            </w:pPr>
          </w:p>
        </w:tc>
        <w:tc>
          <w:tcPr>
            <w:tcW w:w="1120" w:type="dxa"/>
            <w:vAlign w:val="bottom"/>
            <w:tcBorders>
              <w:bottom w:val="single" w:sz="8" w:color="EBF7FC"/>
              <w:right w:val="single" w:sz="8" w:color="EBF7FC"/>
            </w:tcBorders>
          </w:tcPr>
          <w:p>
            <w:pPr>
              <w:spacing w:after="0"/>
              <w:rPr>
                <w:sz w:val="4"/>
                <w:szCs w:val="4"/>
                <w:color w:val="auto"/>
              </w:rPr>
            </w:pPr>
          </w:p>
        </w:tc>
        <w:tc>
          <w:tcPr>
            <w:tcW w:w="1120" w:type="dxa"/>
            <w:vAlign w:val="bottom"/>
            <w:tcBorders>
              <w:bottom w:val="single" w:sz="8" w:color="EBF7FC"/>
            </w:tcBorders>
          </w:tcPr>
          <w:p>
            <w:pPr>
              <w:spacing w:after="0"/>
              <w:rPr>
                <w:sz w:val="4"/>
                <w:szCs w:val="4"/>
                <w:color w:val="auto"/>
              </w:rPr>
            </w:pPr>
          </w:p>
        </w:tc>
      </w:tr>
      <w:tr>
        <w:trPr>
          <w:trHeight w:val="228"/>
        </w:trPr>
        <w:tc>
          <w:tcPr>
            <w:tcW w:w="7060" w:type="dxa"/>
            <w:vAlign w:val="bottom"/>
            <w:tcBorders>
              <w:right w:val="single" w:sz="8" w:color="EBF7FC"/>
            </w:tcBorders>
            <w:shd w:val="clear" w:color="auto" w:fill="F3F9FD"/>
          </w:tcPr>
          <w:p>
            <w:pPr>
              <w:ind w:left="80"/>
              <w:spacing w:after="0" w:line="229" w:lineRule="exact"/>
              <w:rPr>
                <w:sz w:val="20"/>
                <w:szCs w:val="20"/>
                <w:color w:val="auto"/>
              </w:rPr>
            </w:pPr>
            <w:r>
              <w:rPr>
                <w:rFonts w:ascii="Arial" w:cs="Arial" w:eastAsia="Arial" w:hAnsi="Arial"/>
                <w:sz w:val="14"/>
                <w:szCs w:val="14"/>
                <w:color w:val="auto"/>
              </w:rPr>
              <w:t>Global Alpha</w:t>
            </w:r>
            <w:r>
              <w:rPr>
                <w:rFonts w:ascii="Arial" w:cs="Arial" w:eastAsia="Arial" w:hAnsi="Arial"/>
                <w:sz w:val="20"/>
                <w:szCs w:val="20"/>
                <w:color w:val="auto"/>
                <w:vertAlign w:val="superscript"/>
              </w:rPr>
              <w:t>(8)</w:t>
            </w:r>
          </w:p>
        </w:tc>
        <w:tc>
          <w:tcPr>
            <w:tcW w:w="1120" w:type="dxa"/>
            <w:vAlign w:val="bottom"/>
            <w:tcBorders>
              <w:right w:val="single" w:sz="8" w:color="EBF7FC"/>
            </w:tcBorders>
            <w:shd w:val="clear" w:color="auto" w:fill="F3F9FD"/>
          </w:tcPr>
          <w:p>
            <w:pPr>
              <w:spacing w:after="0"/>
              <w:rPr>
                <w:sz w:val="19"/>
                <w:szCs w:val="19"/>
                <w:color w:val="auto"/>
              </w:rPr>
            </w:pPr>
          </w:p>
        </w:tc>
        <w:tc>
          <w:tcPr>
            <w:tcW w:w="1120" w:type="dxa"/>
            <w:vAlign w:val="bottom"/>
            <w:shd w:val="clear" w:color="auto" w:fill="F3F9FD"/>
          </w:tcPr>
          <w:p>
            <w:pPr>
              <w:spacing w:after="0"/>
              <w:rPr>
                <w:sz w:val="19"/>
                <w:szCs w:val="19"/>
                <w:color w:val="auto"/>
              </w:rPr>
            </w:pPr>
          </w:p>
        </w:tc>
      </w:tr>
      <w:tr>
        <w:trPr>
          <w:trHeight w:val="243"/>
        </w:trPr>
        <w:tc>
          <w:tcPr>
            <w:tcW w:w="70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1800 McGill College Avenue, Suite 1300, Montreal A8 H3A 3JB</w:t>
            </w:r>
          </w:p>
        </w:tc>
        <w:tc>
          <w:tcPr>
            <w:tcW w:w="112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3,264,181</w:t>
            </w:r>
          </w:p>
        </w:tc>
        <w:tc>
          <w:tcPr>
            <w:tcW w:w="11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18.06%</w:t>
            </w:r>
          </w:p>
        </w:tc>
      </w:tr>
      <w:tr>
        <w:trPr>
          <w:trHeight w:val="228"/>
        </w:trPr>
        <w:tc>
          <w:tcPr>
            <w:tcW w:w="7060" w:type="dxa"/>
            <w:vAlign w:val="bottom"/>
            <w:tcBorders>
              <w:top w:val="single" w:sz="8" w:color="EBF7FC"/>
              <w:right w:val="single" w:sz="8" w:color="EBF7FC"/>
            </w:tcBorders>
          </w:tcPr>
          <w:p>
            <w:pPr>
              <w:ind w:left="80"/>
              <w:spacing w:after="0" w:line="229" w:lineRule="exact"/>
              <w:rPr>
                <w:sz w:val="20"/>
                <w:szCs w:val="20"/>
                <w:color w:val="auto"/>
              </w:rPr>
            </w:pPr>
            <w:r>
              <w:rPr>
                <w:rFonts w:ascii="Arial" w:cs="Arial" w:eastAsia="Arial" w:hAnsi="Arial"/>
                <w:sz w:val="14"/>
                <w:szCs w:val="14"/>
                <w:color w:val="auto"/>
              </w:rPr>
              <w:t>Black Rock</w:t>
            </w:r>
            <w:r>
              <w:rPr>
                <w:rFonts w:ascii="Arial" w:cs="Arial" w:eastAsia="Arial" w:hAnsi="Arial"/>
                <w:sz w:val="20"/>
                <w:szCs w:val="20"/>
                <w:color w:val="auto"/>
                <w:vertAlign w:val="superscript"/>
              </w:rPr>
              <w:t>(8)</w:t>
            </w:r>
          </w:p>
        </w:tc>
        <w:tc>
          <w:tcPr>
            <w:tcW w:w="1120" w:type="dxa"/>
            <w:vAlign w:val="bottom"/>
            <w:tcBorders>
              <w:top w:val="single" w:sz="8" w:color="EBF7FC"/>
              <w:right w:val="single" w:sz="8" w:color="EBF7FC"/>
            </w:tcBorders>
          </w:tcPr>
          <w:p>
            <w:pPr>
              <w:spacing w:after="0"/>
              <w:rPr>
                <w:sz w:val="19"/>
                <w:szCs w:val="19"/>
                <w:color w:val="auto"/>
              </w:rPr>
            </w:pPr>
          </w:p>
        </w:tc>
        <w:tc>
          <w:tcPr>
            <w:tcW w:w="1120" w:type="dxa"/>
            <w:vAlign w:val="bottom"/>
            <w:tcBorders>
              <w:top w:val="single" w:sz="8" w:color="EBF7FC"/>
            </w:tcBorders>
          </w:tcPr>
          <w:p>
            <w:pPr>
              <w:spacing w:after="0"/>
              <w:rPr>
                <w:sz w:val="19"/>
                <w:szCs w:val="19"/>
                <w:color w:val="auto"/>
              </w:rPr>
            </w:pPr>
          </w:p>
        </w:tc>
      </w:tr>
      <w:tr>
        <w:trPr>
          <w:trHeight w:val="179"/>
        </w:trPr>
        <w:tc>
          <w:tcPr>
            <w:tcW w:w="7060" w:type="dxa"/>
            <w:vAlign w:val="bottom"/>
            <w:tcBorders>
              <w:right w:val="single" w:sz="8" w:color="EBF7FC"/>
            </w:tcBorders>
          </w:tcPr>
          <w:p>
            <w:pPr>
              <w:ind w:left="80"/>
              <w:spacing w:after="0"/>
              <w:rPr>
                <w:sz w:val="20"/>
                <w:szCs w:val="20"/>
                <w:color w:val="auto"/>
              </w:rPr>
            </w:pPr>
            <w:r>
              <w:rPr>
                <w:rFonts w:ascii="Arial" w:cs="Arial" w:eastAsia="Arial" w:hAnsi="Arial"/>
                <w:sz w:val="14"/>
                <w:szCs w:val="14"/>
                <w:color w:val="auto"/>
              </w:rPr>
              <w:t>50 Hudson Yards, New York, NY 10001</w:t>
            </w:r>
          </w:p>
        </w:tc>
        <w:tc>
          <w:tcPr>
            <w:tcW w:w="1120" w:type="dxa"/>
            <w:vAlign w:val="bottom"/>
            <w:tcBorders>
              <w:right w:val="single" w:sz="8" w:color="EBF7FC"/>
            </w:tcBorders>
          </w:tcPr>
          <w:p>
            <w:pPr>
              <w:jc w:val="right"/>
              <w:ind w:right="52"/>
              <w:spacing w:after="0"/>
              <w:rPr>
                <w:sz w:val="20"/>
                <w:szCs w:val="20"/>
                <w:color w:val="auto"/>
              </w:rPr>
            </w:pPr>
            <w:r>
              <w:rPr>
                <w:rFonts w:ascii="Arial" w:cs="Arial" w:eastAsia="Arial" w:hAnsi="Arial"/>
                <w:sz w:val="14"/>
                <w:szCs w:val="14"/>
                <w:color w:val="auto"/>
              </w:rPr>
              <w:t>1,085,481</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6.01%</w:t>
            </w:r>
          </w:p>
        </w:tc>
      </w:tr>
      <w:tr>
        <w:trPr>
          <w:trHeight w:val="58"/>
        </w:trPr>
        <w:tc>
          <w:tcPr>
            <w:tcW w:w="706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right w:val="single" w:sz="8" w:color="EBF7FC"/>
            </w:tcBorders>
          </w:tcPr>
          <w:p>
            <w:pPr>
              <w:spacing w:after="0"/>
              <w:rPr>
                <w:sz w:val="5"/>
                <w:szCs w:val="5"/>
                <w:color w:val="auto"/>
              </w:rPr>
            </w:pPr>
          </w:p>
        </w:tc>
        <w:tc>
          <w:tcPr>
            <w:tcW w:w="1120" w:type="dxa"/>
            <w:vAlign w:val="bottom"/>
            <w:tcBorders>
              <w:bottom w:val="single" w:sz="8" w:color="EBF7FC"/>
            </w:tcBorders>
          </w:tcPr>
          <w:p>
            <w:pPr>
              <w:spacing w:after="0"/>
              <w:rPr>
                <w:sz w:val="5"/>
                <w:szCs w:val="5"/>
                <w:color w:val="auto"/>
              </w:rPr>
            </w:pPr>
          </w:p>
        </w:tc>
      </w:tr>
      <w:tr>
        <w:trPr>
          <w:trHeight w:val="228"/>
        </w:trPr>
        <w:tc>
          <w:tcPr>
            <w:tcW w:w="7060" w:type="dxa"/>
            <w:vAlign w:val="bottom"/>
            <w:tcBorders>
              <w:right w:val="single" w:sz="8" w:color="EBF7FC"/>
            </w:tcBorders>
            <w:shd w:val="clear" w:color="auto" w:fill="F3F9FD"/>
          </w:tcPr>
          <w:p>
            <w:pPr>
              <w:ind w:left="80"/>
              <w:spacing w:after="0" w:line="229" w:lineRule="exact"/>
              <w:rPr>
                <w:sz w:val="20"/>
                <w:szCs w:val="20"/>
                <w:color w:val="auto"/>
              </w:rPr>
            </w:pPr>
            <w:r>
              <w:rPr>
                <w:rFonts w:ascii="Arial" w:cs="Arial" w:eastAsia="Arial" w:hAnsi="Arial"/>
                <w:sz w:val="14"/>
                <w:szCs w:val="14"/>
                <w:color w:val="auto"/>
              </w:rPr>
              <w:t>The Vanguard Group</w:t>
            </w:r>
            <w:r>
              <w:rPr>
                <w:rFonts w:ascii="Arial" w:cs="Arial" w:eastAsia="Arial" w:hAnsi="Arial"/>
                <w:sz w:val="20"/>
                <w:szCs w:val="20"/>
                <w:color w:val="auto"/>
                <w:vertAlign w:val="superscript"/>
              </w:rPr>
              <w:t>(8)</w:t>
            </w:r>
          </w:p>
        </w:tc>
        <w:tc>
          <w:tcPr>
            <w:tcW w:w="1120" w:type="dxa"/>
            <w:vAlign w:val="bottom"/>
            <w:tcBorders>
              <w:right w:val="single" w:sz="8" w:color="EBF7FC"/>
            </w:tcBorders>
            <w:shd w:val="clear" w:color="auto" w:fill="F3F9FD"/>
          </w:tcPr>
          <w:p>
            <w:pPr>
              <w:spacing w:after="0"/>
              <w:rPr>
                <w:sz w:val="19"/>
                <w:szCs w:val="19"/>
                <w:color w:val="auto"/>
              </w:rPr>
            </w:pPr>
          </w:p>
        </w:tc>
        <w:tc>
          <w:tcPr>
            <w:tcW w:w="1120" w:type="dxa"/>
            <w:vAlign w:val="bottom"/>
            <w:shd w:val="clear" w:color="auto" w:fill="F3F9FD"/>
          </w:tcPr>
          <w:p>
            <w:pPr>
              <w:spacing w:after="0"/>
              <w:rPr>
                <w:sz w:val="19"/>
                <w:szCs w:val="19"/>
                <w:color w:val="auto"/>
              </w:rPr>
            </w:pPr>
          </w:p>
        </w:tc>
      </w:tr>
      <w:tr>
        <w:trPr>
          <w:trHeight w:val="243"/>
        </w:trPr>
        <w:tc>
          <w:tcPr>
            <w:tcW w:w="70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100 Vanguard Blvd., Malvern, PA 19355</w:t>
            </w:r>
          </w:p>
        </w:tc>
        <w:tc>
          <w:tcPr>
            <w:tcW w:w="112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932,698</w:t>
            </w:r>
          </w:p>
        </w:tc>
        <w:tc>
          <w:tcPr>
            <w:tcW w:w="11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5.16%</w:t>
            </w:r>
          </w:p>
        </w:tc>
      </w:tr>
      <w:tr>
        <w:trPr>
          <w:trHeight w:val="287"/>
        </w:trPr>
        <w:tc>
          <w:tcPr>
            <w:tcW w:w="7060" w:type="dxa"/>
            <w:vAlign w:val="bottom"/>
            <w:tcBorders>
              <w:top w:val="single" w:sz="8" w:color="EBF7FC"/>
              <w:bottom w:val="single" w:sz="8" w:color="EBF7FC"/>
              <w:right w:val="single" w:sz="8" w:color="EBF7FC"/>
            </w:tcBorders>
          </w:tcPr>
          <w:p>
            <w:pPr>
              <w:ind w:left="80"/>
              <w:spacing w:after="0"/>
              <w:rPr>
                <w:sz w:val="20"/>
                <w:szCs w:val="20"/>
                <w:color w:val="auto"/>
              </w:rPr>
            </w:pPr>
            <w:r>
              <w:rPr>
                <w:rFonts w:ascii="Arial" w:cs="Arial" w:eastAsia="Arial" w:hAnsi="Arial"/>
                <w:sz w:val="14"/>
                <w:szCs w:val="14"/>
                <w:b w:val="1"/>
                <w:bCs w:val="1"/>
                <w:i w:val="1"/>
                <w:iCs w:val="1"/>
                <w:color w:val="auto"/>
              </w:rPr>
              <w:t>Directors and Officers</w:t>
            </w:r>
            <w:r>
              <w:rPr>
                <w:rFonts w:ascii="Arial" w:cs="Arial" w:eastAsia="Arial" w:hAnsi="Arial"/>
                <w:sz w:val="20"/>
                <w:szCs w:val="20"/>
                <w:i w:val="1"/>
                <w:iCs w:val="1"/>
                <w:color w:val="auto"/>
                <w:vertAlign w:val="superscript"/>
              </w:rPr>
              <w:t>(1)</w:t>
            </w:r>
          </w:p>
        </w:tc>
        <w:tc>
          <w:tcPr>
            <w:tcW w:w="1120" w:type="dxa"/>
            <w:vAlign w:val="bottom"/>
            <w:tcBorders>
              <w:top w:val="single" w:sz="8" w:color="EBF7FC"/>
              <w:bottom w:val="single" w:sz="8" w:color="EBF7FC"/>
              <w:right w:val="single" w:sz="8" w:color="EBF7FC"/>
            </w:tcBorders>
          </w:tcPr>
          <w:p>
            <w:pPr>
              <w:spacing w:after="0"/>
              <w:rPr>
                <w:sz w:val="24"/>
                <w:szCs w:val="24"/>
                <w:color w:val="auto"/>
              </w:rPr>
            </w:pPr>
          </w:p>
        </w:tc>
        <w:tc>
          <w:tcPr>
            <w:tcW w:w="1120" w:type="dxa"/>
            <w:vAlign w:val="bottom"/>
            <w:tcBorders>
              <w:top w:val="single" w:sz="8" w:color="EBF7FC"/>
              <w:bottom w:val="single" w:sz="8" w:color="EBF7FC"/>
            </w:tcBorders>
          </w:tcPr>
          <w:p>
            <w:pPr>
              <w:spacing w:after="0"/>
              <w:rPr>
                <w:sz w:val="24"/>
                <w:szCs w:val="24"/>
                <w:color w:val="auto"/>
              </w:rPr>
            </w:pPr>
          </w:p>
        </w:tc>
      </w:tr>
      <w:tr>
        <w:trPr>
          <w:trHeight w:val="300"/>
        </w:trPr>
        <w:tc>
          <w:tcPr>
            <w:tcW w:w="706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Barbara Carbone</w:t>
            </w:r>
            <w:r>
              <w:rPr>
                <w:rFonts w:ascii="Arial" w:cs="Arial" w:eastAsia="Arial" w:hAnsi="Arial"/>
                <w:sz w:val="20"/>
                <w:szCs w:val="20"/>
                <w:color w:val="auto"/>
                <w:vertAlign w:val="superscript"/>
              </w:rPr>
              <w:t>(2)</w:t>
            </w:r>
          </w:p>
        </w:tc>
        <w:tc>
          <w:tcPr>
            <w:tcW w:w="1120" w:type="dxa"/>
            <w:vAlign w:val="bottom"/>
            <w:tcBorders>
              <w:bottom w:val="single" w:sz="8" w:color="EBF7FC"/>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7,888</w:t>
            </w:r>
          </w:p>
        </w:tc>
        <w:tc>
          <w:tcPr>
            <w:tcW w:w="1120" w:type="dxa"/>
            <w:vAlign w:val="bottom"/>
            <w:tcBorders>
              <w:bottom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r>
        <w:trPr>
          <w:trHeight w:val="300"/>
        </w:trPr>
        <w:tc>
          <w:tcPr>
            <w:tcW w:w="706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Harold S. Edwards</w:t>
            </w:r>
            <w:r>
              <w:rPr>
                <w:rFonts w:ascii="Arial" w:cs="Arial" w:eastAsia="Arial" w:hAnsi="Arial"/>
                <w:sz w:val="20"/>
                <w:szCs w:val="20"/>
                <w:color w:val="auto"/>
                <w:vertAlign w:val="superscript"/>
              </w:rPr>
              <w:t>(3)</w:t>
            </w:r>
          </w:p>
        </w:tc>
        <w:tc>
          <w:tcPr>
            <w:tcW w:w="1120" w:type="dxa"/>
            <w:vAlign w:val="bottom"/>
            <w:tcBorders>
              <w:bottom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236,248</w:t>
            </w:r>
          </w:p>
        </w:tc>
        <w:tc>
          <w:tcPr>
            <w:tcW w:w="1120" w:type="dxa"/>
            <w:vAlign w:val="bottom"/>
            <w:tcBorders>
              <w:bottom w:val="single" w:sz="8" w:color="EBF7FC"/>
            </w:tcBorders>
          </w:tcPr>
          <w:p>
            <w:pPr>
              <w:jc w:val="right"/>
              <w:ind w:right="52"/>
              <w:spacing w:after="0"/>
              <w:rPr>
                <w:sz w:val="20"/>
                <w:szCs w:val="20"/>
                <w:color w:val="auto"/>
              </w:rPr>
            </w:pPr>
            <w:r>
              <w:rPr>
                <w:rFonts w:ascii="Arial" w:cs="Arial" w:eastAsia="Arial" w:hAnsi="Arial"/>
                <w:sz w:val="14"/>
                <w:szCs w:val="14"/>
                <w:color w:val="auto"/>
              </w:rPr>
              <w:t>1.31%</w:t>
            </w:r>
          </w:p>
        </w:tc>
      </w:tr>
      <w:tr>
        <w:trPr>
          <w:trHeight w:val="300"/>
        </w:trPr>
        <w:tc>
          <w:tcPr>
            <w:tcW w:w="706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Gordon E. Kimball</w:t>
            </w:r>
            <w:r>
              <w:rPr>
                <w:rFonts w:ascii="Arial" w:cs="Arial" w:eastAsia="Arial" w:hAnsi="Arial"/>
                <w:sz w:val="20"/>
                <w:szCs w:val="20"/>
                <w:color w:val="auto"/>
                <w:vertAlign w:val="superscript"/>
              </w:rPr>
              <w:t>(2)(4)</w:t>
            </w:r>
          </w:p>
        </w:tc>
        <w:tc>
          <w:tcPr>
            <w:tcW w:w="1120" w:type="dxa"/>
            <w:vAlign w:val="bottom"/>
            <w:tcBorders>
              <w:bottom w:val="single" w:sz="8" w:color="EBF7FC"/>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52,943</w:t>
            </w:r>
          </w:p>
        </w:tc>
        <w:tc>
          <w:tcPr>
            <w:tcW w:w="1120" w:type="dxa"/>
            <w:vAlign w:val="bottom"/>
            <w:tcBorders>
              <w:bottom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r>
        <w:trPr>
          <w:trHeight w:val="300"/>
        </w:trPr>
        <w:tc>
          <w:tcPr>
            <w:tcW w:w="706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Elizabeth Mora</w:t>
            </w:r>
            <w:r>
              <w:rPr>
                <w:rFonts w:ascii="Arial" w:cs="Arial" w:eastAsia="Arial" w:hAnsi="Arial"/>
                <w:sz w:val="20"/>
                <w:szCs w:val="20"/>
                <w:color w:val="auto"/>
                <w:vertAlign w:val="superscript"/>
              </w:rPr>
              <w:t>(2)</w:t>
            </w:r>
          </w:p>
        </w:tc>
        <w:tc>
          <w:tcPr>
            <w:tcW w:w="1120" w:type="dxa"/>
            <w:vAlign w:val="bottom"/>
            <w:tcBorders>
              <w:bottom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12,445</w:t>
            </w:r>
          </w:p>
        </w:tc>
        <w:tc>
          <w:tcPr>
            <w:tcW w:w="1120" w:type="dxa"/>
            <w:vAlign w:val="bottom"/>
            <w:tcBorders>
              <w:bottom w:val="single" w:sz="8" w:color="EBF7FC"/>
            </w:tcBorders>
          </w:tcPr>
          <w:p>
            <w:pPr>
              <w:jc w:val="right"/>
              <w:ind w:right="52"/>
              <w:spacing w:after="0"/>
              <w:rPr>
                <w:sz w:val="20"/>
                <w:szCs w:val="20"/>
                <w:color w:val="auto"/>
              </w:rPr>
            </w:pPr>
            <w:r>
              <w:rPr>
                <w:rFonts w:ascii="Arial" w:cs="Arial" w:eastAsia="Arial" w:hAnsi="Arial"/>
                <w:sz w:val="14"/>
                <w:szCs w:val="14"/>
                <w:color w:val="auto"/>
              </w:rPr>
              <w:t>(*)</w:t>
            </w:r>
          </w:p>
        </w:tc>
      </w:tr>
      <w:tr>
        <w:trPr>
          <w:trHeight w:val="300"/>
        </w:trPr>
        <w:tc>
          <w:tcPr>
            <w:tcW w:w="706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Mark Palamountain</w:t>
            </w:r>
            <w:r>
              <w:rPr>
                <w:rFonts w:ascii="Arial" w:cs="Arial" w:eastAsia="Arial" w:hAnsi="Arial"/>
                <w:sz w:val="20"/>
                <w:szCs w:val="20"/>
                <w:color w:val="auto"/>
                <w:vertAlign w:val="superscript"/>
              </w:rPr>
              <w:t>(5)</w:t>
            </w:r>
          </w:p>
        </w:tc>
        <w:tc>
          <w:tcPr>
            <w:tcW w:w="1120" w:type="dxa"/>
            <w:vAlign w:val="bottom"/>
            <w:tcBorders>
              <w:bottom w:val="single" w:sz="8" w:color="EBF7FC"/>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105,658</w:t>
            </w:r>
          </w:p>
        </w:tc>
        <w:tc>
          <w:tcPr>
            <w:tcW w:w="1120" w:type="dxa"/>
            <w:vAlign w:val="bottom"/>
            <w:tcBorders>
              <w:bottom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9320"/>
          </w:cols>
          <w:pgMar w:left="1300" w:top="1072"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072" w:right="127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29"/>
        </w:trPr>
        <w:tc>
          <w:tcPr>
            <w:tcW w:w="7060" w:type="dxa"/>
            <w:vAlign w:val="bottom"/>
            <w:tcBorders>
              <w:right w:val="single" w:sz="8" w:color="E5E9ED"/>
            </w:tcBorders>
            <w:shd w:val="clear" w:color="auto" w:fill="E5E9ED"/>
          </w:tcPr>
          <w:p>
            <w:pPr>
              <w:spacing w:after="0"/>
              <w:rPr>
                <w:sz w:val="19"/>
                <w:szCs w:val="19"/>
                <w:color w:val="auto"/>
              </w:rPr>
            </w:pPr>
          </w:p>
        </w:tc>
        <w:tc>
          <w:tcPr>
            <w:tcW w:w="2240" w:type="dxa"/>
            <w:vAlign w:val="bottom"/>
            <w:gridSpan w:val="2"/>
            <w:shd w:val="clear" w:color="auto" w:fill="E5E9ED"/>
          </w:tcPr>
          <w:p>
            <w:pPr>
              <w:jc w:val="right"/>
              <w:ind w:right="552"/>
              <w:spacing w:after="0"/>
              <w:rPr>
                <w:sz w:val="20"/>
                <w:szCs w:val="20"/>
                <w:color w:val="auto"/>
              </w:rPr>
            </w:pPr>
            <w:r>
              <w:rPr>
                <w:rFonts w:ascii="Arial" w:cs="Arial" w:eastAsia="Arial" w:hAnsi="Arial"/>
                <w:sz w:val="14"/>
                <w:szCs w:val="14"/>
                <w:b w:val="1"/>
                <w:bCs w:val="1"/>
                <w:color w:val="auto"/>
              </w:rPr>
              <w:t>Common Stock</w:t>
            </w:r>
          </w:p>
        </w:tc>
      </w:tr>
      <w:tr>
        <w:trPr>
          <w:trHeight w:val="192"/>
        </w:trPr>
        <w:tc>
          <w:tcPr>
            <w:tcW w:w="7060" w:type="dxa"/>
            <w:vAlign w:val="bottom"/>
            <w:tcBorders>
              <w:right w:val="single" w:sz="8" w:color="E5E9ED"/>
            </w:tcBorders>
            <w:shd w:val="clear" w:color="auto" w:fill="E5E9ED"/>
          </w:tcPr>
          <w:p>
            <w:pPr>
              <w:spacing w:after="0"/>
              <w:rPr>
                <w:sz w:val="16"/>
                <w:szCs w:val="16"/>
                <w:color w:val="auto"/>
              </w:rPr>
            </w:pPr>
          </w:p>
        </w:tc>
        <w:tc>
          <w:tcPr>
            <w:tcW w:w="2240" w:type="dxa"/>
            <w:vAlign w:val="bottom"/>
            <w:gridSpan w:val="2"/>
            <w:shd w:val="clear" w:color="auto" w:fill="E5E9ED"/>
          </w:tcPr>
          <w:p>
            <w:pPr>
              <w:jc w:val="right"/>
              <w:ind w:right="432"/>
              <w:spacing w:after="0"/>
              <w:rPr>
                <w:sz w:val="20"/>
                <w:szCs w:val="20"/>
                <w:color w:val="auto"/>
              </w:rPr>
            </w:pPr>
            <w:r>
              <w:rPr>
                <w:rFonts w:ascii="Arial" w:cs="Arial" w:eastAsia="Arial" w:hAnsi="Arial"/>
                <w:sz w:val="14"/>
                <w:szCs w:val="14"/>
                <w:b w:val="1"/>
                <w:bCs w:val="1"/>
                <w:color w:val="auto"/>
              </w:rPr>
              <w:t>Beneficially Owned</w:t>
            </w:r>
          </w:p>
        </w:tc>
      </w:tr>
      <w:tr>
        <w:trPr>
          <w:trHeight w:val="275"/>
        </w:trPr>
        <w:tc>
          <w:tcPr>
            <w:tcW w:w="7060" w:type="dxa"/>
            <w:vAlign w:val="bottom"/>
            <w:tcBorders>
              <w:bottom w:val="single" w:sz="8" w:color="E5E9ED"/>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Name and Address of Beneficial Owner</w:t>
            </w:r>
          </w:p>
        </w:tc>
        <w:tc>
          <w:tcPr>
            <w:tcW w:w="1120" w:type="dxa"/>
            <w:vAlign w:val="bottom"/>
            <w:tcBorders>
              <w:bottom w:val="single" w:sz="8" w:color="E5E9ED"/>
              <w:right w:val="single" w:sz="8" w:color="E5E9ED"/>
            </w:tcBorders>
            <w:shd w:val="clear" w:color="auto" w:fill="E5E9ED"/>
          </w:tcPr>
          <w:p>
            <w:pPr>
              <w:jc w:val="right"/>
              <w:ind w:right="152"/>
              <w:spacing w:after="0"/>
              <w:rPr>
                <w:sz w:val="20"/>
                <w:szCs w:val="20"/>
                <w:color w:val="auto"/>
              </w:rPr>
            </w:pPr>
            <w:r>
              <w:rPr>
                <w:rFonts w:ascii="Arial" w:cs="Arial" w:eastAsia="Arial" w:hAnsi="Arial"/>
                <w:sz w:val="14"/>
                <w:szCs w:val="14"/>
                <w:b w:val="1"/>
                <w:bCs w:val="1"/>
                <w:color w:val="auto"/>
              </w:rPr>
              <w:t># of shares</w:t>
            </w:r>
          </w:p>
        </w:tc>
        <w:tc>
          <w:tcPr>
            <w:tcW w:w="1120" w:type="dxa"/>
            <w:vAlign w:val="bottom"/>
            <w:tcBorders>
              <w:bottom w:val="single" w:sz="8" w:color="E5E9ED"/>
            </w:tcBorders>
            <w:shd w:val="clear" w:color="auto" w:fill="E5E9ED"/>
          </w:tcPr>
          <w:p>
            <w:pPr>
              <w:jc w:val="right"/>
              <w:ind w:right="132"/>
              <w:spacing w:after="0"/>
              <w:rPr>
                <w:sz w:val="20"/>
                <w:szCs w:val="20"/>
                <w:color w:val="auto"/>
              </w:rPr>
            </w:pPr>
            <w:r>
              <w:rPr>
                <w:rFonts w:ascii="Arial" w:cs="Arial" w:eastAsia="Arial" w:hAnsi="Arial"/>
                <w:sz w:val="14"/>
                <w:szCs w:val="14"/>
                <w:b w:val="1"/>
                <w:bCs w:val="1"/>
                <w:color w:val="auto"/>
              </w:rPr>
              <w:t>Percentage</w:t>
            </w:r>
          </w:p>
        </w:tc>
      </w:tr>
      <w:tr>
        <w:trPr>
          <w:trHeight w:val="300"/>
        </w:trPr>
        <w:tc>
          <w:tcPr>
            <w:tcW w:w="7060" w:type="dxa"/>
            <w:vAlign w:val="bottom"/>
            <w:tcBorders>
              <w:top w:val="single" w:sz="8" w:color="EBF7FC"/>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Peter J. Nolan</w:t>
            </w:r>
            <w:r>
              <w:rPr>
                <w:rFonts w:ascii="Arial" w:cs="Arial" w:eastAsia="Arial" w:hAnsi="Arial"/>
                <w:sz w:val="20"/>
                <w:szCs w:val="20"/>
                <w:color w:val="auto"/>
                <w:vertAlign w:val="superscript"/>
              </w:rPr>
              <w:t>(2)(6)</w:t>
            </w:r>
          </w:p>
        </w:tc>
        <w:tc>
          <w:tcPr>
            <w:tcW w:w="1120" w:type="dxa"/>
            <w:vAlign w:val="bottom"/>
            <w:tcBorders>
              <w:top w:val="single" w:sz="8" w:color="EBF7FC"/>
              <w:bottom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1,108,772</w:t>
            </w:r>
          </w:p>
        </w:tc>
        <w:tc>
          <w:tcPr>
            <w:tcW w:w="1120" w:type="dxa"/>
            <w:vAlign w:val="bottom"/>
            <w:tcBorders>
              <w:top w:val="single" w:sz="8" w:color="EBF7FC"/>
              <w:bottom w:val="single" w:sz="8" w:color="EBF7FC"/>
            </w:tcBorders>
          </w:tcPr>
          <w:p>
            <w:pPr>
              <w:jc w:val="right"/>
              <w:ind w:right="52"/>
              <w:spacing w:after="0"/>
              <w:rPr>
                <w:sz w:val="20"/>
                <w:szCs w:val="20"/>
                <w:color w:val="auto"/>
              </w:rPr>
            </w:pPr>
            <w:r>
              <w:rPr>
                <w:rFonts w:ascii="Arial" w:cs="Arial" w:eastAsia="Arial" w:hAnsi="Arial"/>
                <w:sz w:val="14"/>
                <w:szCs w:val="14"/>
                <w:color w:val="auto"/>
              </w:rPr>
              <w:t>6.14%</w:t>
            </w:r>
          </w:p>
        </w:tc>
      </w:tr>
      <w:tr>
        <w:trPr>
          <w:trHeight w:val="300"/>
        </w:trPr>
        <w:tc>
          <w:tcPr>
            <w:tcW w:w="7060" w:type="dxa"/>
            <w:vAlign w:val="bottom"/>
            <w:tcBorders>
              <w:bottom w:val="single" w:sz="8" w:color="EBF7FC"/>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Scott S. Slater</w:t>
            </w:r>
            <w:r>
              <w:rPr>
                <w:rFonts w:ascii="Arial" w:cs="Arial" w:eastAsia="Arial" w:hAnsi="Arial"/>
                <w:sz w:val="20"/>
                <w:szCs w:val="20"/>
                <w:color w:val="auto"/>
                <w:vertAlign w:val="superscript"/>
              </w:rPr>
              <w:t>(2)</w:t>
            </w:r>
          </w:p>
        </w:tc>
        <w:tc>
          <w:tcPr>
            <w:tcW w:w="1120" w:type="dxa"/>
            <w:vAlign w:val="bottom"/>
            <w:tcBorders>
              <w:bottom w:val="single" w:sz="8" w:color="EBF7FC"/>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54,357</w:t>
            </w:r>
          </w:p>
        </w:tc>
        <w:tc>
          <w:tcPr>
            <w:tcW w:w="1120" w:type="dxa"/>
            <w:vAlign w:val="bottom"/>
            <w:tcBorders>
              <w:bottom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w:t>
            </w:r>
          </w:p>
        </w:tc>
      </w:tr>
      <w:tr>
        <w:trPr>
          <w:trHeight w:val="300"/>
        </w:trPr>
        <w:tc>
          <w:tcPr>
            <w:tcW w:w="7060" w:type="dxa"/>
            <w:vAlign w:val="bottom"/>
            <w:tcBorders>
              <w:bottom w:val="single" w:sz="8" w:color="EBF7FC"/>
              <w:right w:val="single" w:sz="8" w:color="EBF7FC"/>
            </w:tcBorders>
          </w:tcPr>
          <w:p>
            <w:pPr>
              <w:ind w:left="80"/>
              <w:spacing w:after="0"/>
              <w:rPr>
                <w:sz w:val="20"/>
                <w:szCs w:val="20"/>
                <w:color w:val="auto"/>
              </w:rPr>
            </w:pPr>
            <w:r>
              <w:rPr>
                <w:rFonts w:ascii="Arial" w:cs="Arial" w:eastAsia="Arial" w:hAnsi="Arial"/>
                <w:sz w:val="14"/>
                <w:szCs w:val="14"/>
                <w:color w:val="auto"/>
              </w:rPr>
              <w:t>Edgar A. Terry</w:t>
            </w:r>
            <w:r>
              <w:rPr>
                <w:rFonts w:ascii="Arial" w:cs="Arial" w:eastAsia="Arial" w:hAnsi="Arial"/>
                <w:sz w:val="20"/>
                <w:szCs w:val="20"/>
                <w:color w:val="auto"/>
                <w:vertAlign w:val="superscript"/>
              </w:rPr>
              <w:t>(2)(7)</w:t>
            </w:r>
          </w:p>
        </w:tc>
        <w:tc>
          <w:tcPr>
            <w:tcW w:w="1120" w:type="dxa"/>
            <w:vAlign w:val="bottom"/>
            <w:tcBorders>
              <w:bottom w:val="single" w:sz="8" w:color="EBF7FC"/>
              <w:right w:val="single" w:sz="8" w:color="EBF7FC"/>
            </w:tcBorders>
          </w:tcPr>
          <w:p>
            <w:pPr>
              <w:jc w:val="right"/>
              <w:ind w:right="52"/>
              <w:spacing w:after="0"/>
              <w:rPr>
                <w:sz w:val="20"/>
                <w:szCs w:val="20"/>
                <w:color w:val="auto"/>
              </w:rPr>
            </w:pPr>
            <w:r>
              <w:rPr>
                <w:rFonts w:ascii="Arial" w:cs="Arial" w:eastAsia="Arial" w:hAnsi="Arial"/>
                <w:sz w:val="14"/>
                <w:szCs w:val="14"/>
                <w:color w:val="auto"/>
              </w:rPr>
              <w:t>21,185</w:t>
            </w:r>
          </w:p>
        </w:tc>
        <w:tc>
          <w:tcPr>
            <w:tcW w:w="1120" w:type="dxa"/>
            <w:vAlign w:val="bottom"/>
            <w:tcBorders>
              <w:bottom w:val="single" w:sz="8" w:color="EBF7FC"/>
            </w:tcBorders>
          </w:tcPr>
          <w:p>
            <w:pPr>
              <w:jc w:val="right"/>
              <w:ind w:right="52"/>
              <w:spacing w:after="0"/>
              <w:rPr>
                <w:sz w:val="20"/>
                <w:szCs w:val="20"/>
                <w:color w:val="auto"/>
              </w:rPr>
            </w:pPr>
            <w:r>
              <w:rPr>
                <w:rFonts w:ascii="Arial" w:cs="Arial" w:eastAsia="Arial" w:hAnsi="Arial"/>
                <w:sz w:val="14"/>
                <w:szCs w:val="14"/>
                <w:color w:val="auto"/>
              </w:rPr>
              <w:t>(*)</w:t>
            </w:r>
          </w:p>
        </w:tc>
      </w:tr>
      <w:tr>
        <w:trPr>
          <w:trHeight w:val="280"/>
        </w:trPr>
        <w:tc>
          <w:tcPr>
            <w:tcW w:w="7060" w:type="dxa"/>
            <w:vAlign w:val="bottom"/>
            <w:tcBorders>
              <w:bottom w:val="single" w:sz="8" w:color="F3F9FD"/>
              <w:right w:val="single" w:sz="8" w:color="EBF7FC"/>
            </w:tcBorders>
            <w:shd w:val="clear" w:color="auto" w:fill="F3F9FD"/>
          </w:tcPr>
          <w:p>
            <w:pPr>
              <w:ind w:left="80"/>
              <w:spacing w:after="0"/>
              <w:rPr>
                <w:sz w:val="20"/>
                <w:szCs w:val="20"/>
                <w:color w:val="auto"/>
              </w:rPr>
            </w:pPr>
            <w:r>
              <w:rPr>
                <w:rFonts w:ascii="Arial" w:cs="Arial" w:eastAsia="Arial" w:hAnsi="Arial"/>
                <w:sz w:val="14"/>
                <w:szCs w:val="14"/>
                <w:color w:val="auto"/>
              </w:rPr>
              <w:t>All Current Directors &amp; Officers as of the Record date, February 12, 2025</w:t>
            </w:r>
          </w:p>
        </w:tc>
        <w:tc>
          <w:tcPr>
            <w:tcW w:w="1120" w:type="dxa"/>
            <w:vAlign w:val="bottom"/>
            <w:tcBorders>
              <w:bottom w:val="single" w:sz="8" w:color="F3F9FD"/>
              <w:right w:val="single" w:sz="8" w:color="EBF7FC"/>
            </w:tcBorders>
            <w:shd w:val="clear" w:color="auto" w:fill="F3F9FD"/>
          </w:tcPr>
          <w:p>
            <w:pPr>
              <w:jc w:val="right"/>
              <w:ind w:right="52"/>
              <w:spacing w:after="0"/>
              <w:rPr>
                <w:sz w:val="20"/>
                <w:szCs w:val="20"/>
                <w:color w:val="auto"/>
              </w:rPr>
            </w:pPr>
            <w:r>
              <w:rPr>
                <w:rFonts w:ascii="Arial" w:cs="Arial" w:eastAsia="Arial" w:hAnsi="Arial"/>
                <w:sz w:val="14"/>
                <w:szCs w:val="14"/>
                <w:color w:val="auto"/>
              </w:rPr>
              <w:t>1,599,496</w:t>
            </w:r>
          </w:p>
        </w:tc>
        <w:tc>
          <w:tcPr>
            <w:tcW w:w="1120" w:type="dxa"/>
            <w:vAlign w:val="bottom"/>
            <w:tcBorders>
              <w:bottom w:val="single" w:sz="8" w:color="F3F9FD"/>
            </w:tcBorders>
            <w:shd w:val="clear" w:color="auto" w:fill="F3F9FD"/>
          </w:tcPr>
          <w:p>
            <w:pPr>
              <w:jc w:val="right"/>
              <w:ind w:right="52"/>
              <w:spacing w:after="0"/>
              <w:rPr>
                <w:sz w:val="20"/>
                <w:szCs w:val="20"/>
                <w:color w:val="auto"/>
              </w:rPr>
            </w:pPr>
            <w:r>
              <w:rPr>
                <w:rFonts w:ascii="Arial" w:cs="Arial" w:eastAsia="Arial" w:hAnsi="Arial"/>
                <w:sz w:val="14"/>
                <w:szCs w:val="14"/>
                <w:color w:val="auto"/>
              </w:rPr>
              <w:t>8.85%</w:t>
            </w:r>
          </w:p>
        </w:tc>
      </w:tr>
      <w:tr>
        <w:trPr>
          <w:trHeight w:val="20"/>
        </w:trPr>
        <w:tc>
          <w:tcPr>
            <w:tcW w:w="7060" w:type="dxa"/>
            <w:vAlign w:val="bottom"/>
            <w:tcBorders>
              <w:right w:val="single" w:sz="8" w:color="EBF7FC"/>
            </w:tcBorders>
            <w:shd w:val="clear" w:color="auto" w:fill="EBF7FC"/>
          </w:tcPr>
          <w:p>
            <w:pPr>
              <w:spacing w:after="0" w:line="20" w:lineRule="exact"/>
              <w:rPr>
                <w:sz w:val="1"/>
                <w:szCs w:val="1"/>
                <w:color w:val="auto"/>
              </w:rPr>
            </w:pPr>
          </w:p>
        </w:tc>
        <w:tc>
          <w:tcPr>
            <w:tcW w:w="1120" w:type="dxa"/>
            <w:vAlign w:val="bottom"/>
            <w:tcBorders>
              <w:right w:val="single" w:sz="8" w:color="EBF7FC"/>
            </w:tcBorders>
            <w:shd w:val="clear" w:color="auto" w:fill="EBF7FC"/>
          </w:tcPr>
          <w:p>
            <w:pPr>
              <w:spacing w:after="0" w:line="20" w:lineRule="exact"/>
              <w:rPr>
                <w:sz w:val="1"/>
                <w:szCs w:val="1"/>
                <w:color w:val="auto"/>
              </w:rPr>
            </w:pPr>
          </w:p>
        </w:tc>
        <w:tc>
          <w:tcPr>
            <w:tcW w:w="1120" w:type="dxa"/>
            <w:vAlign w:val="bottom"/>
            <w:shd w:val="clear" w:color="auto" w:fill="EBF7FC"/>
          </w:tcPr>
          <w:p>
            <w:pPr>
              <w:spacing w:after="0" w:line="20" w:lineRule="exact"/>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2"/>
          <w:szCs w:val="12"/>
          <w:color w:val="auto"/>
        </w:rPr>
        <w:t>(*)</w:t>
        <w:tab/>
        <w:t>Less than 1%</w:t>
      </w:r>
    </w:p>
    <w:p>
      <w:pPr>
        <w:spacing w:after="0" w:line="143" w:lineRule="exact"/>
        <w:rPr>
          <w:sz w:val="20"/>
          <w:szCs w:val="20"/>
          <w:color w:val="auto"/>
        </w:rPr>
      </w:pPr>
    </w:p>
    <w:p>
      <w:pPr>
        <w:ind w:left="220" w:right="20" w:hanging="215"/>
        <w:spacing w:after="0" w:line="301"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information provided in this table is based on the Company’s records and information supplied by the Directors and Officers. The business address for each director and officer is Limoneira Company, 1141 Cummings Road, Santa Paula, CA 93060.</w:t>
      </w:r>
    </w:p>
    <w:p>
      <w:pPr>
        <w:spacing w:after="0" w:line="101" w:lineRule="exact"/>
        <w:rPr>
          <w:rFonts w:ascii="Arial" w:cs="Arial" w:eastAsia="Arial" w:hAnsi="Arial"/>
          <w:sz w:val="12"/>
          <w:szCs w:val="12"/>
          <w:color w:val="auto"/>
        </w:rPr>
      </w:pPr>
    </w:p>
    <w:p>
      <w:pPr>
        <w:ind w:left="220" w:hanging="215"/>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4,413 restricted shares to vest on March 26, 2025. Each grantee holds voting and dividend right to all 4,413 shares.</w:t>
      </w:r>
    </w:p>
    <w:p>
      <w:pPr>
        <w:spacing w:after="0" w:line="156" w:lineRule="exact"/>
        <w:rPr>
          <w:rFonts w:ascii="Arial" w:cs="Arial" w:eastAsia="Arial" w:hAnsi="Arial"/>
          <w:sz w:val="12"/>
          <w:szCs w:val="12"/>
          <w:color w:val="auto"/>
        </w:rPr>
      </w:pPr>
    </w:p>
    <w:p>
      <w:pPr>
        <w:jc w:val="both"/>
        <w:ind w:left="220" w:right="60" w:hanging="215"/>
        <w:spacing w:after="0" w:line="284"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Edwards owns all shares as a beneficiary of a trust. He holds voting and dividend rights to all shares including restricted shares. The number includes (1) annual equity-based incentive bonuses; (2) discretionary equity-based retention awards; and Strategic Special Project Bonus equity shares totalling 91,896 shares. 47,615 shares vest in 2023; 34,281 shares vest in 2024; and 10,000 shares vest in 2025.</w:t>
      </w:r>
    </w:p>
    <w:p>
      <w:pPr>
        <w:spacing w:after="0" w:line="98" w:lineRule="exact"/>
        <w:rPr>
          <w:rFonts w:ascii="Arial" w:cs="Arial" w:eastAsia="Arial" w:hAnsi="Arial"/>
          <w:sz w:val="12"/>
          <w:szCs w:val="12"/>
          <w:color w:val="auto"/>
        </w:rPr>
      </w:pPr>
    </w:p>
    <w:p>
      <w:pPr>
        <w:ind w:left="220" w:right="340" w:hanging="215"/>
        <w:spacing w:after="0" w:line="301"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Kimball is the beneficial owner of 49,453 shares held in a trust. He shares voting and investment power over these shares. The number also includes 3,490 shares owned by Mr. Kimball’s wife.</w:t>
      </w:r>
    </w:p>
    <w:p>
      <w:pPr>
        <w:spacing w:after="0" w:line="101" w:lineRule="exact"/>
        <w:rPr>
          <w:rFonts w:ascii="Arial" w:cs="Arial" w:eastAsia="Arial" w:hAnsi="Arial"/>
          <w:sz w:val="12"/>
          <w:szCs w:val="12"/>
          <w:color w:val="auto"/>
        </w:rPr>
      </w:pPr>
    </w:p>
    <w:p>
      <w:pPr>
        <w:ind w:left="220" w:hanging="215"/>
        <w:spacing w:after="0" w:line="284"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Palamountain holds voting and dividend rights to all shares including restricted shares. The number includes (1) annual equity-based incentive bonuses; (2) discretionary equity-based retention awards; and Strategic Special Project Bonus equity shares totalling 55,135 shares. 31,796 shares vest in 2023; 18,339 shares vest in 2024; and 5,000 shares vest in 2025.</w:t>
      </w:r>
    </w:p>
    <w:p>
      <w:pPr>
        <w:spacing w:after="0" w:line="111" w:lineRule="exact"/>
        <w:rPr>
          <w:rFonts w:ascii="Arial" w:cs="Arial" w:eastAsia="Arial" w:hAnsi="Arial"/>
          <w:sz w:val="12"/>
          <w:szCs w:val="12"/>
          <w:color w:val="auto"/>
        </w:rPr>
      </w:pPr>
    </w:p>
    <w:p>
      <w:pPr>
        <w:ind w:left="220" w:hanging="215"/>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Nolan was appointed to the Board effective January 1, 2024. Prior to his appointment he held 1,103,750 shares pursuant to Schedule 13-D/A, filed December 15, 2023.</w:t>
      </w:r>
    </w:p>
    <w:p>
      <w:pPr>
        <w:spacing w:after="0" w:line="143" w:lineRule="exact"/>
        <w:rPr>
          <w:rFonts w:ascii="Arial" w:cs="Arial" w:eastAsia="Arial" w:hAnsi="Arial"/>
          <w:sz w:val="12"/>
          <w:szCs w:val="12"/>
          <w:color w:val="auto"/>
        </w:rPr>
      </w:pPr>
    </w:p>
    <w:p>
      <w:pPr>
        <w:ind w:left="220" w:hanging="215"/>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Terry as a joint trustee of a truse owns shares beneficially. He holds voting and investment power over these shares.</w:t>
      </w:r>
    </w:p>
    <w:p>
      <w:pPr>
        <w:spacing w:after="0" w:line="156" w:lineRule="exact"/>
        <w:rPr>
          <w:rFonts w:ascii="Arial" w:cs="Arial" w:eastAsia="Arial" w:hAnsi="Arial"/>
          <w:sz w:val="12"/>
          <w:szCs w:val="12"/>
          <w:color w:val="auto"/>
        </w:rPr>
      </w:pPr>
    </w:p>
    <w:p>
      <w:pPr>
        <w:ind w:left="220" w:hanging="215"/>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Pursuant to data as of February 18, 2025 (for December 31, 2024) from IPREO, a database used by ICR and developed by IHS Markit, now a part of S&amp;P Global.</w:t>
      </w:r>
    </w:p>
    <w:p>
      <w:pPr>
        <w:sectPr>
          <w:pgSz w:w="11900" w:h="16838" w:orient="portrait"/>
          <w:cols w:equalWidth="0" w:num="1">
            <w:col w:w="9340"/>
          </w:cols>
          <w:pgMar w:left="1300" w:top="127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278" w:right="12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438BCB"/>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Securities Authorized for Issuance Under Equity Compensation Plans</w:t>
      </w:r>
    </w:p>
    <w:p>
      <w:pPr>
        <w:spacing w:after="0" w:line="200"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The following table sets forth information as of October 31, 2024, about the Common Stock issuable to employees and directors under the 2022 Plan, which was approved by stockholders on March 22, 2022. Stockholders approved an amendment to the 2022 Plan on March 26, 2024, to increase the number of shares of the Common Stock available for awards thereunder by 1,000,000 shares to 1,500,000 shares. As of October 31, 2024, other than as described below, no equity securities were authorized for issuance under equity compensation plans not approved by security holders.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Borders>
              <w:right w:val="single" w:sz="8" w:color="E5E9ED"/>
            </w:tcBorders>
            <w:shd w:val="clear" w:color="auto" w:fill="E5E9ED"/>
          </w:tcPr>
          <w:p>
            <w:pPr>
              <w:spacing w:after="0"/>
              <w:rPr>
                <w:sz w:val="19"/>
                <w:szCs w:val="19"/>
                <w:color w:val="auto"/>
              </w:rPr>
            </w:pP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Number of Securities</w:t>
            </w:r>
          </w:p>
        </w:tc>
        <w:tc>
          <w:tcPr>
            <w:tcW w:w="1980" w:type="dxa"/>
            <w:vAlign w:val="bottom"/>
            <w:tcBorders>
              <w:right w:val="single" w:sz="8" w:color="E5E9ED"/>
            </w:tcBorders>
            <w:shd w:val="clear" w:color="auto" w:fill="E5E9ED"/>
          </w:tcPr>
          <w:p>
            <w:pPr>
              <w:spacing w:after="0"/>
              <w:rPr>
                <w:sz w:val="19"/>
                <w:szCs w:val="19"/>
                <w:color w:val="auto"/>
              </w:rPr>
            </w:pPr>
          </w:p>
        </w:tc>
        <w:tc>
          <w:tcPr>
            <w:tcW w:w="19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Number of Securities</w:t>
            </w:r>
          </w:p>
        </w:tc>
        <w:tc>
          <w:tcPr>
            <w:tcW w:w="20" w:type="dxa"/>
            <w:vAlign w:val="bottom"/>
          </w:tcPr>
          <w:p>
            <w:pPr>
              <w:spacing w:after="0"/>
              <w:rPr>
                <w:sz w:val="19"/>
                <w:szCs w:val="19"/>
                <w:color w:val="auto"/>
              </w:rPr>
            </w:pPr>
          </w:p>
        </w:tc>
      </w:tr>
      <w:tr>
        <w:trPr>
          <w:trHeight w:val="187"/>
        </w:trPr>
        <w:tc>
          <w:tcPr>
            <w:tcW w:w="3340" w:type="dxa"/>
            <w:vAlign w:val="bottom"/>
            <w:tcBorders>
              <w:right w:val="single" w:sz="8" w:color="E5E9ED"/>
            </w:tcBorders>
            <w:shd w:val="clear" w:color="auto" w:fill="E5E9ED"/>
          </w:tcPr>
          <w:p>
            <w:pPr>
              <w:spacing w:after="0"/>
              <w:rPr>
                <w:sz w:val="16"/>
                <w:szCs w:val="16"/>
                <w:color w:val="auto"/>
              </w:rPr>
            </w:pP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to be Issued Upon</w:t>
            </w:r>
          </w:p>
        </w:tc>
        <w:tc>
          <w:tcPr>
            <w:tcW w:w="1980" w:type="dxa"/>
            <w:vAlign w:val="bottom"/>
            <w:tcBorders>
              <w:right w:val="single" w:sz="8" w:color="E5E9ED"/>
            </w:tcBorders>
            <w:shd w:val="clear" w:color="auto" w:fill="E5E9ED"/>
          </w:tcPr>
          <w:p>
            <w:pPr>
              <w:spacing w:after="0"/>
              <w:rPr>
                <w:sz w:val="16"/>
                <w:szCs w:val="16"/>
                <w:color w:val="auto"/>
              </w:rPr>
            </w:pPr>
          </w:p>
        </w:tc>
        <w:tc>
          <w:tcPr>
            <w:tcW w:w="19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Remaining Available</w:t>
            </w:r>
          </w:p>
        </w:tc>
        <w:tc>
          <w:tcPr>
            <w:tcW w:w="20" w:type="dxa"/>
            <w:vAlign w:val="bottom"/>
          </w:tcPr>
          <w:p>
            <w:pPr>
              <w:spacing w:after="0"/>
              <w:rPr>
                <w:sz w:val="16"/>
                <w:szCs w:val="16"/>
                <w:color w:val="auto"/>
              </w:rPr>
            </w:pPr>
          </w:p>
        </w:tc>
      </w:tr>
      <w:tr>
        <w:trPr>
          <w:trHeight w:val="184"/>
        </w:trPr>
        <w:tc>
          <w:tcPr>
            <w:tcW w:w="3340" w:type="dxa"/>
            <w:vAlign w:val="bottom"/>
            <w:tcBorders>
              <w:right w:val="single" w:sz="8" w:color="E5E9ED"/>
            </w:tcBorders>
            <w:shd w:val="clear" w:color="auto" w:fill="E5E9ED"/>
          </w:tcPr>
          <w:p>
            <w:pPr>
              <w:spacing w:after="0"/>
              <w:rPr>
                <w:sz w:val="15"/>
                <w:szCs w:val="15"/>
                <w:color w:val="auto"/>
              </w:rPr>
            </w:pP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Exercise of</w:t>
            </w: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Weighted Average</w:t>
            </w:r>
          </w:p>
        </w:tc>
        <w:tc>
          <w:tcPr>
            <w:tcW w:w="19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for Future Issuance</w:t>
            </w:r>
          </w:p>
        </w:tc>
        <w:tc>
          <w:tcPr>
            <w:tcW w:w="20" w:type="dxa"/>
            <w:vAlign w:val="bottom"/>
          </w:tcPr>
          <w:p>
            <w:pPr>
              <w:spacing w:after="0"/>
              <w:rPr>
                <w:sz w:val="15"/>
                <w:szCs w:val="15"/>
                <w:color w:val="auto"/>
              </w:rPr>
            </w:pPr>
          </w:p>
        </w:tc>
      </w:tr>
      <w:tr>
        <w:trPr>
          <w:trHeight w:val="192"/>
        </w:trPr>
        <w:tc>
          <w:tcPr>
            <w:tcW w:w="3340" w:type="dxa"/>
            <w:vAlign w:val="bottom"/>
            <w:tcBorders>
              <w:right w:val="single" w:sz="8" w:color="E5E9ED"/>
            </w:tcBorders>
            <w:shd w:val="clear" w:color="auto" w:fill="E5E9ED"/>
          </w:tcPr>
          <w:p>
            <w:pPr>
              <w:spacing w:after="0"/>
              <w:rPr>
                <w:sz w:val="16"/>
                <w:szCs w:val="16"/>
                <w:color w:val="auto"/>
              </w:rPr>
            </w:pP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Outstanding</w:t>
            </w: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Exercise Price of</w:t>
            </w:r>
          </w:p>
        </w:tc>
        <w:tc>
          <w:tcPr>
            <w:tcW w:w="19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20" w:type="dxa"/>
            <w:vAlign w:val="bottom"/>
          </w:tcPr>
          <w:p>
            <w:pPr>
              <w:spacing w:after="0"/>
              <w:rPr>
                <w:sz w:val="16"/>
                <w:szCs w:val="16"/>
                <w:color w:val="auto"/>
              </w:rPr>
            </w:pPr>
          </w:p>
        </w:tc>
      </w:tr>
      <w:tr>
        <w:trPr>
          <w:trHeight w:val="175"/>
        </w:trPr>
        <w:tc>
          <w:tcPr>
            <w:tcW w:w="3340" w:type="dxa"/>
            <w:vAlign w:val="bottom"/>
            <w:tcBorders>
              <w:right w:val="single" w:sz="8" w:color="E5E9ED"/>
            </w:tcBorders>
            <w:shd w:val="clear" w:color="auto" w:fill="E5E9ED"/>
          </w:tcPr>
          <w:p>
            <w:pPr>
              <w:spacing w:after="0"/>
              <w:rPr>
                <w:sz w:val="15"/>
                <w:szCs w:val="15"/>
                <w:color w:val="auto"/>
              </w:rPr>
            </w:pP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Options, Warrants</w:t>
            </w:r>
          </w:p>
        </w:tc>
        <w:tc>
          <w:tcPr>
            <w:tcW w:w="1980" w:type="dxa"/>
            <w:vAlign w:val="bottom"/>
            <w:tcBorders>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7"/>
              </w:rPr>
              <w:t>Outstanding Options,</w:t>
            </w:r>
          </w:p>
        </w:tc>
        <w:tc>
          <w:tcPr>
            <w:tcW w:w="1960" w:type="dxa"/>
            <w:vAlign w:val="bottom"/>
            <w:shd w:val="clear" w:color="auto" w:fill="E5E9ED"/>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20" w:type="dxa"/>
            <w:vAlign w:val="bottom"/>
          </w:tcPr>
          <w:p>
            <w:pPr>
              <w:spacing w:after="0"/>
              <w:rPr>
                <w:sz w:val="15"/>
                <w:szCs w:val="15"/>
                <w:color w:val="auto"/>
              </w:rPr>
            </w:pPr>
          </w:p>
        </w:tc>
      </w:tr>
      <w:tr>
        <w:trPr>
          <w:trHeight w:val="231"/>
        </w:trPr>
        <w:tc>
          <w:tcPr>
            <w:tcW w:w="3340" w:type="dxa"/>
            <w:vAlign w:val="bottom"/>
            <w:tcBorders>
              <w:right w:val="single" w:sz="8" w:color="E5E9ED"/>
            </w:tcBorders>
            <w:shd w:val="clear" w:color="auto" w:fill="E5E9ED"/>
          </w:tcPr>
          <w:p>
            <w:pPr>
              <w:ind w:left="80"/>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and Rights</w:t>
            </w:r>
          </w:p>
        </w:tc>
        <w:tc>
          <w:tcPr>
            <w:tcW w:w="1980" w:type="dxa"/>
            <w:vAlign w:val="bottom"/>
            <w:tcBorders>
              <w:bottom w:val="single" w:sz="8" w:color="EBF7FC"/>
              <w:right w:val="single" w:sz="8" w:color="E5E9ED"/>
            </w:tcBorders>
            <w:shd w:val="clear" w:color="auto" w:fill="E5E9ED"/>
          </w:tcPr>
          <w:p>
            <w:pPr>
              <w:jc w:val="center"/>
              <w:spacing w:after="0"/>
              <w:rPr>
                <w:sz w:val="20"/>
                <w:szCs w:val="20"/>
                <w:color w:val="auto"/>
              </w:rPr>
            </w:pPr>
            <w:r>
              <w:rPr>
                <w:rFonts w:ascii="Arial" w:cs="Arial" w:eastAsia="Arial" w:hAnsi="Arial"/>
                <w:sz w:val="14"/>
                <w:szCs w:val="14"/>
                <w:b w:val="1"/>
                <w:bCs w:val="1"/>
                <w:color w:val="auto"/>
                <w:w w:val="96"/>
              </w:rPr>
              <w:t>Warrants and Rights</w:t>
            </w:r>
          </w:p>
        </w:tc>
        <w:tc>
          <w:tcPr>
            <w:tcW w:w="1960" w:type="dxa"/>
            <w:vAlign w:val="bottom"/>
            <w:tcBorders>
              <w:bottom w:val="single" w:sz="8" w:color="EBF7FC"/>
            </w:tcBorders>
            <w:shd w:val="clear" w:color="auto" w:fill="E5E9ED"/>
          </w:tcPr>
          <w:p>
            <w:pPr>
              <w:jc w:val="center"/>
              <w:spacing w:after="0" w:line="231" w:lineRule="exact"/>
              <w:rPr>
                <w:sz w:val="20"/>
                <w:szCs w:val="20"/>
                <w:color w:val="auto"/>
              </w:rPr>
            </w:pPr>
            <w:r>
              <w:rPr>
                <w:rFonts w:ascii="Arial" w:cs="Arial" w:eastAsia="Arial" w:hAnsi="Arial"/>
                <w:sz w:val="26"/>
                <w:szCs w:val="26"/>
                <w:b w:val="1"/>
                <w:bCs w:val="1"/>
                <w:color w:val="auto"/>
                <w:w w:val="84"/>
                <w:vertAlign w:val="subscript"/>
              </w:rPr>
              <w:t>Plans</w:t>
            </w:r>
            <w:r>
              <w:rPr>
                <w:rFonts w:ascii="Arial" w:cs="Arial" w:eastAsia="Arial" w:hAnsi="Arial"/>
                <w:sz w:val="10"/>
                <w:szCs w:val="10"/>
                <w:b w:val="1"/>
                <w:bCs w:val="1"/>
                <w:color w:val="auto"/>
                <w:w w:val="84"/>
              </w:rPr>
              <w:t>(1)(2)</w:t>
            </w:r>
          </w:p>
        </w:tc>
        <w:tc>
          <w:tcPr>
            <w:tcW w:w="20" w:type="dxa"/>
            <w:vAlign w:val="bottom"/>
            <w:tcBorders>
              <w:bottom w:val="single" w:sz="8" w:color="EBF7FC"/>
            </w:tcBorders>
          </w:tcPr>
          <w:p>
            <w:pPr>
              <w:spacing w:after="0"/>
              <w:rPr>
                <w:sz w:val="20"/>
                <w:szCs w:val="20"/>
                <w:color w:val="auto"/>
              </w:rPr>
            </w:pPr>
          </w:p>
        </w:tc>
      </w:tr>
      <w:tr>
        <w:trPr>
          <w:trHeight w:val="216"/>
        </w:trPr>
        <w:tc>
          <w:tcPr>
            <w:tcW w:w="3340" w:type="dxa"/>
            <w:vAlign w:val="bottom"/>
            <w:tcBorders>
              <w:right w:val="single" w:sz="8" w:color="EBF7FC"/>
            </w:tcBorders>
          </w:tcPr>
          <w:p>
            <w:pPr>
              <w:ind w:left="80"/>
              <w:spacing w:after="0"/>
              <w:rPr>
                <w:sz w:val="20"/>
                <w:szCs w:val="20"/>
                <w:color w:val="auto"/>
              </w:rPr>
            </w:pPr>
            <w:r>
              <w:rPr>
                <w:rFonts w:ascii="Arial" w:cs="Arial" w:eastAsia="Arial" w:hAnsi="Arial"/>
                <w:sz w:val="14"/>
                <w:szCs w:val="14"/>
                <w:color w:val="auto"/>
              </w:rPr>
              <w:t>Equity Compensation plans approved by security</w:t>
            </w:r>
          </w:p>
        </w:tc>
        <w:tc>
          <w:tcPr>
            <w:tcW w:w="1980" w:type="dxa"/>
            <w:vAlign w:val="bottom"/>
            <w:tcBorders>
              <w:right w:val="single" w:sz="8" w:color="EBF7FC"/>
            </w:tcBorders>
          </w:tcPr>
          <w:p>
            <w:pPr>
              <w:spacing w:after="0"/>
              <w:rPr>
                <w:sz w:val="18"/>
                <w:szCs w:val="18"/>
                <w:color w:val="auto"/>
              </w:rPr>
            </w:pPr>
          </w:p>
        </w:tc>
        <w:tc>
          <w:tcPr>
            <w:tcW w:w="1980" w:type="dxa"/>
            <w:vAlign w:val="bottom"/>
            <w:tcBorders>
              <w:right w:val="single" w:sz="8" w:color="EBF7FC"/>
            </w:tcBorders>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9"/>
        </w:trPr>
        <w:tc>
          <w:tcPr>
            <w:tcW w:w="3340" w:type="dxa"/>
            <w:vAlign w:val="bottom"/>
            <w:tcBorders>
              <w:right w:val="single" w:sz="8" w:color="EBF7FC"/>
            </w:tcBorders>
          </w:tcPr>
          <w:p>
            <w:pPr>
              <w:ind w:left="80"/>
              <w:spacing w:after="0"/>
              <w:rPr>
                <w:sz w:val="20"/>
                <w:szCs w:val="20"/>
                <w:color w:val="auto"/>
              </w:rPr>
            </w:pPr>
            <w:r>
              <w:rPr>
                <w:rFonts w:ascii="Arial" w:cs="Arial" w:eastAsia="Arial" w:hAnsi="Arial"/>
                <w:sz w:val="14"/>
                <w:szCs w:val="14"/>
                <w:color w:val="auto"/>
              </w:rPr>
              <w:t>holders</w:t>
            </w:r>
          </w:p>
        </w:tc>
        <w:tc>
          <w:tcPr>
            <w:tcW w:w="1980" w:type="dxa"/>
            <w:vAlign w:val="bottom"/>
            <w:tcBorders>
              <w:right w:val="single" w:sz="8" w:color="EBF7FC"/>
            </w:tcBorders>
          </w:tcPr>
          <w:p>
            <w:pPr>
              <w:jc w:val="right"/>
              <w:ind w:right="72"/>
              <w:spacing w:after="0"/>
              <w:rPr>
                <w:sz w:val="20"/>
                <w:szCs w:val="20"/>
                <w:color w:val="auto"/>
              </w:rPr>
            </w:pPr>
            <w:r>
              <w:rPr>
                <w:rFonts w:ascii="Arial" w:cs="Arial" w:eastAsia="Arial" w:hAnsi="Arial"/>
                <w:sz w:val="14"/>
                <w:szCs w:val="14"/>
                <w:color w:val="auto"/>
              </w:rPr>
              <w:t>1,500,000</w:t>
            </w:r>
          </w:p>
        </w:tc>
        <w:tc>
          <w:tcPr>
            <w:tcW w:w="1980" w:type="dxa"/>
            <w:vAlign w:val="bottom"/>
            <w:tcBorders>
              <w:right w:val="single" w:sz="8" w:color="EBF7FC"/>
            </w:tcBorders>
          </w:tcPr>
          <w:p>
            <w:pPr>
              <w:ind w:left="172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34"/>
              <w:spacing w:after="0"/>
              <w:rPr>
                <w:sz w:val="20"/>
                <w:szCs w:val="20"/>
                <w:color w:val="auto"/>
              </w:rPr>
            </w:pPr>
            <w:r>
              <w:rPr>
                <w:rFonts w:ascii="Arial" w:cs="Arial" w:eastAsia="Arial" w:hAnsi="Arial"/>
                <w:sz w:val="14"/>
                <w:szCs w:val="14"/>
                <w:color w:val="auto"/>
              </w:rPr>
              <w:t>855,686</w:t>
            </w:r>
          </w:p>
        </w:tc>
        <w:tc>
          <w:tcPr>
            <w:tcW w:w="20" w:type="dxa"/>
            <w:vAlign w:val="bottom"/>
          </w:tcPr>
          <w:p>
            <w:pPr>
              <w:spacing w:after="0"/>
              <w:rPr>
                <w:sz w:val="15"/>
                <w:szCs w:val="15"/>
                <w:color w:val="auto"/>
              </w:rPr>
            </w:pPr>
          </w:p>
        </w:tc>
      </w:tr>
      <w:tr>
        <w:trPr>
          <w:trHeight w:val="58"/>
        </w:trPr>
        <w:tc>
          <w:tcPr>
            <w:tcW w:w="3340" w:type="dxa"/>
            <w:vAlign w:val="bottom"/>
            <w:tcBorders>
              <w:bottom w:val="single" w:sz="8" w:color="EBF7FC"/>
              <w:right w:val="single" w:sz="8" w:color="EBF7FC"/>
            </w:tcBorders>
          </w:tcPr>
          <w:p>
            <w:pPr>
              <w:spacing w:after="0"/>
              <w:rPr>
                <w:sz w:val="5"/>
                <w:szCs w:val="5"/>
                <w:color w:val="auto"/>
              </w:rPr>
            </w:pPr>
          </w:p>
        </w:tc>
        <w:tc>
          <w:tcPr>
            <w:tcW w:w="1980" w:type="dxa"/>
            <w:vAlign w:val="bottom"/>
            <w:tcBorders>
              <w:bottom w:val="single" w:sz="8" w:color="EBF7FC"/>
              <w:right w:val="single" w:sz="8" w:color="EBF7FC"/>
            </w:tcBorders>
          </w:tcPr>
          <w:p>
            <w:pPr>
              <w:spacing w:after="0"/>
              <w:rPr>
                <w:sz w:val="5"/>
                <w:szCs w:val="5"/>
                <w:color w:val="auto"/>
              </w:rPr>
            </w:pPr>
          </w:p>
        </w:tc>
        <w:tc>
          <w:tcPr>
            <w:tcW w:w="1980" w:type="dxa"/>
            <w:vAlign w:val="bottom"/>
            <w:tcBorders>
              <w:bottom w:val="single" w:sz="8" w:color="EBF7FC"/>
              <w:right w:val="single" w:sz="8" w:color="EBF7FC"/>
            </w:tcBorders>
          </w:tcPr>
          <w:p>
            <w:pPr>
              <w:spacing w:after="0"/>
              <w:rPr>
                <w:sz w:val="5"/>
                <w:szCs w:val="5"/>
                <w:color w:val="auto"/>
              </w:rPr>
            </w:pPr>
          </w:p>
        </w:tc>
        <w:tc>
          <w:tcPr>
            <w:tcW w:w="1960" w:type="dxa"/>
            <w:vAlign w:val="bottom"/>
            <w:tcBorders>
              <w:bottom w:val="single" w:sz="8" w:color="EBF7FC"/>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23" w:lineRule="exact"/>
        <w:rPr>
          <w:sz w:val="20"/>
          <w:szCs w:val="20"/>
          <w:color w:val="auto"/>
        </w:rPr>
      </w:pPr>
    </w:p>
    <w:p>
      <w:pPr>
        <w:ind w:left="220" w:right="280" w:hanging="215"/>
        <w:spacing w:after="0" w:line="301" w:lineRule="auto"/>
        <w:tabs>
          <w:tab w:leader="none" w:pos="2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Board approved the Limoneira Company 2022 Omnibus Incentive Plan on January 25, 2022. The Stockholders approved the plan at the 2022 Annual Meeting held March 22, 2022, and an amendment to the plan on March 26, 2024.</w:t>
      </w:r>
    </w:p>
    <w:p>
      <w:pPr>
        <w:spacing w:after="0" w:line="101" w:lineRule="exact"/>
        <w:rPr>
          <w:rFonts w:ascii="Arial" w:cs="Arial" w:eastAsia="Arial" w:hAnsi="Arial"/>
          <w:sz w:val="12"/>
          <w:szCs w:val="12"/>
          <w:color w:val="auto"/>
        </w:rPr>
      </w:pPr>
    </w:p>
    <w:p>
      <w:pPr>
        <w:ind w:left="220" w:hanging="215"/>
        <w:spacing w:after="0"/>
        <w:tabs>
          <w:tab w:leader="none" w:pos="2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88,858 shares granted, but not issued, in connection with fiscal year 2024 Performance Share-Based Awards.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Certain Relationships and Related-Party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Policy for Approval of Related Party Transactions</w:t>
      </w:r>
    </w:p>
    <w:p>
      <w:pPr>
        <w:spacing w:after="0" w:line="91"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In accordance with the terms of our Audit Committee charter, any transaction required to be disclosed pursuant to SEC regulations (including Item 404 of Regulation S-K) and PCAOB standards, which we refer to as related party transactions, must be identified, reviewed and approved by our Audit Committee, which is comprised entirely of independent directors. Details of such related party transactions will be discussed with the Company’s independent accountants and publicly disclosed as required by applicable law. There were no transactions with related parties during fiscal year 2024 for the Audit Committee to review and approve in accordance with its policy, as described above, which is included in the Audit Committee Charter.</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Family Relationships and Other Arrangements</w:t>
      </w:r>
    </w:p>
    <w:p>
      <w:pPr>
        <w:spacing w:after="0" w:line="9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There are no family relationships among the members of the Board and executive officers. There are no arrangements or understandings between or among the Company’s executive officers and directors pursuant to which any director or executive officer was or is to be selected as a director or executive officer.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Delinquent Section 16(a) Reports</w:t>
      </w:r>
    </w:p>
    <w:p>
      <w:pPr>
        <w:spacing w:after="0" w:line="9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Section 16(a) of the Exchange Act requires our directors and officers, and persons who beneficially own more than 10% of our Common Stock, to file initial reports of ownership and reports of changes in ownership of our stock and our other equity securities with the SEC. As a practical matter, we assist our directors and officers by monitoring transactions and completing and filing Section 16 reports on their behalf. To the Company’s knowledge, during the fiscal year ended October 31, 2024, or with respect to such fiscal year, all Section 16(a) filing requirements were timely met.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Stockholder Communications with the Board of Directors</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The Company established a process for stockholders to send communications by mail to the Board: Corporate Secretary, Limoneira, 1141 Cummings Road, Santa Paula, CA 93060. Stockholders may also send communications to the Board as a group via the Investor Relations section of our website, www.limoneira.com, under the headings “Investor — Corporate Governance — Contact the Board.” Communications are distributed to the Board, or to any individual directors as appropriate, depending on the facts and circumstances outlined in the communication. Material that is unduly hostile, threatening, illegal or similarly unsuitable will be excluded, with the provision that any communication that is filtered out must be made available to any non-management director upon request.</w:t>
      </w:r>
    </w:p>
    <w:p>
      <w:pPr>
        <w:sectPr>
          <w:pgSz w:w="11900" w:h="16838" w:orient="portrait"/>
          <w:cols w:equalWidth="0" w:num="1">
            <w:col w:w="9340"/>
          </w:cols>
          <w:pgMar w:left="1300" w:top="1196"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6" w:right="12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2661AB"/>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Stockholder Proposals for the 2026 Annual Meeting of Stockholders</w:t>
      </w:r>
    </w:p>
    <w:p>
      <w:pPr>
        <w:spacing w:after="0" w:line="91"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Our Bylaws provide that the only business that may be conducted at an Annual Meeting of Stockholders is business that is (A) pursuant to the Company’s notice of meeting (or any supplement thereto), (B) by or at the direction of the Board (or any committee thereof), or (C) by any stockholder of the Company who is entitled to vote at the meeting and who complies with the notice procedures set forth in Section 2.1 of our Bylaws.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Stockholder proposals should be addressed to our principal executive office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Limoneira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Attn: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1141 Cummings Road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Santa Paula, CA 93060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Stockholder Proposals – Inclusion in Company Proxy Statement</w:t>
      </w:r>
    </w:p>
    <w:p>
      <w:pPr>
        <w:spacing w:after="0" w:line="91"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Stockholders may present proper proposals for inclusion in our proxy statement and for consideration at our next Annual Meeting of Stockholders by submitting their proposals in writing to our Corporate Secretary in a timely manner. For a stockholder proposal to be considered for inclusion in our proxy statement for our 2026 Annual Meeting of Stockholders, our Corporate Secretary must receive the written proposal at our principal executive office listed above no later than October 30, 2025, as prescribed by rules and requirements of Rule 14a-8 under the Exchange Act.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661AB"/>
        </w:rPr>
        <w:t>Other Stockholder Proposals or Nominations</w:t>
      </w:r>
    </w:p>
    <w:p>
      <w:pPr>
        <w:spacing w:after="0" w:line="91"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With respect to stockholders desiring to bring nominations or proposals other than pursuant to Rule 14a-8, our Bylaws prescribe certain advance notice procedures independent of the notice requirement and deadline described above. A stockholder’s notice must be delivered by a nationally recognized courier service or mailed by certified first class United States mail, postage or delivery charges prepaid, and received by the Corporate Secretary at the principal executive offices of the Company listed above not earlier than the November 15 immediately preceding such Annual Meeting of Stockholders nor later than the close of business on the ninetieth (90th) day immediately preceding the anniversary of the previous year’s Annual Meeting of Stockholders if such meeting is scheduled to be held on a day which is not more than thirty (30) days in advance of the anniversary of the previous year’s Annual Meeting of Stockholders nor later than sixty (60) days after the anniversary of the previous year’s Annual Meeting of Stockholders. Therefore, to be timely under our Bylaws, a stockholder proposal or nomination for the 2026 Annual Meeting of Stockholders must be received no earlier than November 15, 2025, and not later than January 9, 2026.</w:t>
      </w:r>
    </w:p>
    <w:p>
      <w:pPr>
        <w:spacing w:after="0" w:line="110"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February 8, 2026.</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United States Securities and Exchange Commission Reports</w:t>
      </w:r>
    </w:p>
    <w:p>
      <w:pPr>
        <w:spacing w:after="0" w:line="91"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Copies of our Annual Report on Form 10-K for the year ended October 31, 2024, as filed with the SEC, are available to stockholders free of charge on our website at www.limoneira.com under the headings “Investor — Financial Information” or by writing to us at 1141 Cummings Road, Santa Paula, California 93060, Attention: Investor Relations.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Delivery of Documents to Stockholders Sharing an Address</w:t>
      </w:r>
    </w:p>
    <w:p>
      <w:pPr>
        <w:spacing w:after="0" w:line="91" w:lineRule="exact"/>
        <w:rPr>
          <w:sz w:val="20"/>
          <w:szCs w:val="20"/>
          <w:color w:val="auto"/>
        </w:rPr>
      </w:pPr>
    </w:p>
    <w:p>
      <w:pPr>
        <w:ind w:right="240"/>
        <w:spacing w:after="0" w:line="304" w:lineRule="auto"/>
        <w:rPr>
          <w:sz w:val="20"/>
          <w:szCs w:val="20"/>
          <w:color w:val="auto"/>
        </w:rPr>
      </w:pPr>
      <w:r>
        <w:rPr>
          <w:rFonts w:ascii="Arial" w:cs="Arial" w:eastAsia="Arial" w:hAnsi="Arial"/>
          <w:sz w:val="15"/>
          <w:szCs w:val="15"/>
          <w:color w:val="auto"/>
        </w:rPr>
        <w:t>Some brokers and we have adopted “householding,” a procedure under which stockholders who have the same address will receive a single set of proxy materials, unless one or more of these stockholders provides notice that they wish to continue receiving individual copies. Stockholders who participate in householding will continue to receive separate proxy cards.</w:t>
      </w:r>
    </w:p>
    <w:p>
      <w:pPr>
        <w:spacing w:after="0" w:line="99"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If you participate in householding and wish to receive a separate set of proxy materials, or if you wish to receive separate copies of future notices, annual reports and proxy statements, please call 1-800-542-1061 or write to: Broadridge Financial Solutions, Inc., Householding Department, 51 Mercedes Way, Edgewood, New York 11717. We will deliver the requested documents to you promptly upon your oral or written request.</w:t>
      </w:r>
    </w:p>
    <w:p>
      <w:pPr>
        <w:sectPr>
          <w:pgSz w:w="11900" w:h="16838" w:orient="portrait"/>
          <w:cols w:equalWidth="0" w:num="1">
            <w:col w:w="9340"/>
          </w:cols>
          <w:pgMar w:left="1300" w:top="11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40"/>
          </w:cols>
          <w:pgMar w:left="1300" w:top="1197" w:right="1259" w:bottom="1440" w:gutter="0" w:footer="0" w:header="0"/>
          <w:type w:val="continuous"/>
        </w:sectPr>
      </w:pPr>
    </w:p>
    <w:bookmarkStart w:id="62" w:name="page63"/>
    <w:bookmarkEnd w:id="62"/>
    <w:p>
      <w:pPr>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635000</wp:posOffset>
            </wp:positionH>
            <wp:positionV relativeFrom="page">
              <wp:posOffset>576580</wp:posOffset>
            </wp:positionV>
            <wp:extent cx="6327140" cy="8252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327140" cy="8252460"/>
                    </a:xfrm>
                    <a:prstGeom prst="rect">
                      <a:avLst/>
                    </a:prstGeom>
                    <a:noFill/>
                  </pic:spPr>
                </pic:pic>
              </a:graphicData>
            </a:graphic>
          </wp:anchor>
        </w:drawing>
        <w:t>Any stockholders of record who share the same address and currently receive multiple copies of proxy materials who wish to receive only one copy of these materials per household in the future may contact Broadridge Financial Solutions, Inc. at the address or telephone number listed above. If you hold your shares through a broker, bank or other nominee, please contact your broker, bank or other nominee to request information about householding.</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438BCB"/>
        </w:rPr>
        <w:t>Other Matters</w:t>
      </w:r>
    </w:p>
    <w:p>
      <w:pPr>
        <w:spacing w:after="0" w:line="104" w:lineRule="exact"/>
        <w:rPr>
          <w:sz w:val="20"/>
          <w:szCs w:val="20"/>
          <w:color w:val="auto"/>
        </w:rPr>
      </w:pPr>
    </w:p>
    <w:p>
      <w:pPr>
        <w:ind w:right="360"/>
        <w:spacing w:after="0" w:line="304" w:lineRule="auto"/>
        <w:rPr>
          <w:sz w:val="20"/>
          <w:szCs w:val="20"/>
          <w:color w:val="auto"/>
        </w:rPr>
      </w:pPr>
      <w:r>
        <w:rPr>
          <w:rFonts w:ascii="Arial" w:cs="Arial" w:eastAsia="Arial" w:hAnsi="Arial"/>
          <w:sz w:val="15"/>
          <w:szCs w:val="15"/>
          <w:color w:val="auto"/>
        </w:rPr>
        <w:t>We know of no other business that will be brought before the Annual Meeting. If any other matter or any proposal should be properly presented and come before the meeting for action, the persons named in the accompanying proxy will, at their discretion and in accordance with their best judgment, vote upon such proposal.</w:t>
      </w:r>
    </w:p>
    <w:p>
      <w:pPr>
        <w:sectPr>
          <w:pgSz w:w="11900" w:h="16838" w:orient="portrait"/>
          <w:cols w:equalWidth="0" w:num="1">
            <w:col w:w="9320"/>
          </w:cols>
          <w:pgMar w:left="1300" w:top="12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tabs>
          <w:tab w:leader="none" w:pos="4560" w:val="left"/>
          <w:tab w:leader="none" w:pos="7880" w:val="left"/>
        </w:tabs>
        <w:rPr>
          <w:sz w:val="20"/>
          <w:szCs w:val="20"/>
          <w:color w:val="auto"/>
        </w:rPr>
      </w:pPr>
      <w:r>
        <w:rPr>
          <w:rFonts w:ascii="Arial" w:cs="Arial" w:eastAsia="Arial" w:hAnsi="Arial"/>
          <w:sz w:val="14"/>
          <w:szCs w:val="14"/>
          <w:color w:val="auto"/>
        </w:rPr>
        <w:t>Limoneira Company</w:t>
      </w:r>
      <w:r>
        <w:rPr>
          <w:sz w:val="20"/>
          <w:szCs w:val="20"/>
          <w:color w:val="auto"/>
        </w:rPr>
        <w:tab/>
      </w:r>
      <w:r>
        <w:rPr>
          <w:rFonts w:ascii="Arial" w:cs="Arial" w:eastAsia="Arial" w:hAnsi="Arial"/>
          <w:sz w:val="17"/>
          <w:szCs w:val="17"/>
          <w:b w:val="1"/>
          <w:bCs w:val="1"/>
          <w:color w:val="1A4833"/>
        </w:rPr>
        <w:t>59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260350</wp:posOffset>
            </wp:positionV>
            <wp:extent cx="717994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320"/>
          </w:cols>
          <w:pgMar w:left="1300" w:top="1215" w:right="1279" w:bottom="1440"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2040255</wp:posOffset>
            </wp:positionH>
            <wp:positionV relativeFrom="page">
              <wp:posOffset>2566035</wp:posOffset>
            </wp:positionV>
            <wp:extent cx="3500755" cy="22498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3500755" cy="224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2661AB"/>
        </w:rPr>
        <w:t>LIMONEIRA COMPANY</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2661AB"/>
        </w:rPr>
        <w:t>1141 Cummings Road</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2661AB"/>
        </w:rPr>
        <w:t>Santa Paula, California 93060</w:t>
      </w:r>
    </w:p>
    <w:p>
      <w:pPr>
        <w:spacing w:after="0" w:line="17" w:lineRule="exact"/>
        <w:rPr>
          <w:sz w:val="20"/>
          <w:szCs w:val="20"/>
          <w:color w:val="auto"/>
        </w:rPr>
      </w:pPr>
    </w:p>
    <w:p>
      <w:pPr>
        <w:ind w:left="4340" w:hanging="617"/>
        <w:spacing w:after="0"/>
        <w:tabs>
          <w:tab w:leader="none" w:pos="4340" w:val="left"/>
        </w:tabs>
        <w:numPr>
          <w:ilvl w:val="0"/>
          <w:numId w:val="57"/>
        </w:numPr>
        <w:rPr>
          <w:rFonts w:ascii="Arial" w:cs="Arial" w:eastAsia="Arial" w:hAnsi="Arial"/>
          <w:sz w:val="24"/>
          <w:szCs w:val="24"/>
          <w:b w:val="1"/>
          <w:bCs w:val="1"/>
          <w:color w:val="2661AB"/>
        </w:rPr>
      </w:pPr>
      <w:r>
        <w:rPr>
          <w:rFonts w:ascii="Arial" w:cs="Arial" w:eastAsia="Arial" w:hAnsi="Arial"/>
          <w:sz w:val="24"/>
          <w:szCs w:val="24"/>
          <w:b w:val="1"/>
          <w:bCs w:val="1"/>
          <w:color w:val="2661AB"/>
        </w:rPr>
        <w:t>525-5541</w:t>
      </w:r>
    </w:p>
    <w:p>
      <w:pPr>
        <w:spacing w:after="0" w:line="5" w:lineRule="exact"/>
        <w:rPr>
          <w:rFonts w:ascii="Arial" w:cs="Arial" w:eastAsia="Arial" w:hAnsi="Arial"/>
          <w:sz w:val="24"/>
          <w:szCs w:val="24"/>
          <w:b w:val="1"/>
          <w:bCs w:val="1"/>
          <w:color w:val="2661AB"/>
        </w:rPr>
      </w:pPr>
    </w:p>
    <w:p>
      <w:pPr>
        <w:ind w:left="3420"/>
        <w:spacing w:after="0"/>
        <w:rPr>
          <w:rFonts w:ascii="Arial" w:cs="Arial" w:eastAsia="Arial" w:hAnsi="Arial"/>
          <w:sz w:val="24"/>
          <w:szCs w:val="24"/>
          <w:b w:val="1"/>
          <w:bCs w:val="1"/>
          <w:color w:val="2661AB"/>
        </w:rPr>
      </w:pPr>
      <w:r>
        <w:rPr>
          <w:rFonts w:ascii="Arial" w:cs="Arial" w:eastAsia="Arial" w:hAnsi="Arial"/>
          <w:sz w:val="24"/>
          <w:szCs w:val="24"/>
          <w:b w:val="1"/>
          <w:bCs w:val="1"/>
          <w:color w:val="2661AB"/>
        </w:rPr>
        <w:t>www.limoneira.com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2601595</wp:posOffset>
            </wp:positionV>
            <wp:extent cx="717994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945" cy="165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145415</wp:posOffset>
            </wp:positionV>
            <wp:extent cx="3078480" cy="5930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3078480" cy="593090"/>
                    </a:xfrm>
                    <a:prstGeom prst="rect">
                      <a:avLst/>
                    </a:prstGeom>
                    <a:noFill/>
                  </pic:spPr>
                </pic:pic>
              </a:graphicData>
            </a:graphic>
          </wp:anchor>
        </w:drawing>
        <w:drawing>
          <wp:anchor simplePos="0" relativeHeight="251657728" behindDoc="1" locked="0" layoutInCell="0" allowOverlap="1">
            <wp:simplePos x="0" y="0"/>
            <wp:positionH relativeFrom="page">
              <wp:posOffset>3063875</wp:posOffset>
            </wp:positionH>
            <wp:positionV relativeFrom="page">
              <wp:posOffset>3443605</wp:posOffset>
            </wp:positionV>
            <wp:extent cx="300355" cy="267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300355" cy="26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right="1580"/>
        <w:spacing w:after="0" w:line="239"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w:t>
      </w:r>
    </w:p>
    <w:p>
      <w:pPr>
        <w:ind w:left="20"/>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Your vote matters – here’s how to vote!</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b w:val="1"/>
          <w:bCs w:val="1"/>
          <w:color w:val="auto"/>
        </w:rPr>
        <w:t>You may vote online or by phone instead of mailing this card.</w:t>
      </w:r>
    </w:p>
    <w:p>
      <w:pPr>
        <w:spacing w:after="0" w:line="147" w:lineRule="exact"/>
        <w:rPr>
          <w:sz w:val="20"/>
          <w:szCs w:val="20"/>
          <w:color w:val="auto"/>
        </w:rPr>
      </w:pPr>
    </w:p>
    <w:p>
      <w:pPr>
        <w:ind w:left="780" w:right="200"/>
        <w:spacing w:after="0" w:line="280" w:lineRule="auto"/>
        <w:rPr>
          <w:sz w:val="20"/>
          <w:szCs w:val="20"/>
          <w:color w:val="auto"/>
        </w:rPr>
      </w:pPr>
      <w:r>
        <w:rPr>
          <w:rFonts w:ascii="Arial" w:cs="Arial" w:eastAsia="Arial" w:hAnsi="Arial"/>
          <w:sz w:val="17"/>
          <w:szCs w:val="17"/>
          <w:b w:val="1"/>
          <w:bCs w:val="1"/>
          <w:color w:val="auto"/>
        </w:rPr>
        <w:t>We must receive your proxy no later than April 8, 2025, at 11:59 p.m.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349250" cy="284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9250" cy="284480"/>
                    </a:xfrm>
                    <a:prstGeom prst="rect">
                      <a:avLst/>
                    </a:prstGeom>
                    <a:noFill/>
                  </pic:spPr>
                </pic:pic>
              </a:graphicData>
            </a:graphic>
          </wp:anchor>
        </w:drawing>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Online</w:t>
      </w:r>
    </w:p>
    <w:p>
      <w:pPr>
        <w:spacing w:after="0" w:line="25" w:lineRule="exact"/>
        <w:rPr>
          <w:sz w:val="20"/>
          <w:szCs w:val="20"/>
          <w:color w:val="auto"/>
        </w:rPr>
      </w:pPr>
    </w:p>
    <w:p>
      <w:pPr>
        <w:jc w:val="both"/>
        <w:ind w:left="780" w:right="160"/>
        <w:spacing w:after="0" w:line="243" w:lineRule="auto"/>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www.envisionreports.com/LMNR</w:t>
      </w:r>
      <w:r>
        <w:rPr>
          <w:rFonts w:ascii="Arial" w:cs="Arial" w:eastAsia="Arial" w:hAnsi="Arial"/>
          <w:sz w:val="17"/>
          <w:szCs w:val="17"/>
          <w:color w:val="auto"/>
        </w:rPr>
        <w:t xml:space="preserve"> or scan the QR code – login details are located in the shaded bar below.</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27330" cy="398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7330" cy="398145"/>
                    </a:xfrm>
                    <a:prstGeom prst="rect">
                      <a:avLst/>
                    </a:prstGeom>
                    <a:noFill/>
                  </pic:spPr>
                </pic:pic>
              </a:graphicData>
            </a:graphic>
          </wp:anchor>
        </w:drawing>
      </w:r>
    </w:p>
    <w:p>
      <w:pPr>
        <w:jc w:val="both"/>
        <w:ind w:left="780" w:right="180"/>
        <w:spacing w:after="0" w:line="251" w:lineRule="auto"/>
        <w:rPr>
          <w:sz w:val="20"/>
          <w:szCs w:val="20"/>
          <w:color w:val="auto"/>
        </w:rPr>
      </w:pPr>
      <w:r>
        <w:rPr>
          <w:rFonts w:ascii="Arial" w:cs="Arial" w:eastAsia="Arial" w:hAnsi="Arial"/>
          <w:sz w:val="17"/>
          <w:szCs w:val="17"/>
          <w:color w:val="auto"/>
        </w:rPr>
        <w:t>Call toll free 1-800-652-VOTE (8683) within the USA, US territories and Canada</w:t>
      </w:r>
    </w:p>
    <w:p>
      <w:pPr>
        <w:spacing w:after="0" w:line="253" w:lineRule="exact"/>
        <w:rPr>
          <w:sz w:val="20"/>
          <w:szCs w:val="20"/>
          <w:color w:val="auto"/>
        </w:rPr>
      </w:pPr>
    </w:p>
    <w:p>
      <w:pPr>
        <w:ind w:left="780" w:right="20"/>
        <w:spacing w:after="0" w:line="280" w:lineRule="auto"/>
        <w:rPr>
          <w:sz w:val="20"/>
          <w:szCs w:val="20"/>
          <w:color w:val="auto"/>
        </w:rPr>
      </w:pPr>
      <w:r>
        <w:rPr>
          <w:rFonts w:ascii="Arial" w:cs="Arial" w:eastAsia="Arial" w:hAnsi="Arial"/>
          <w:sz w:val="17"/>
          <w:szCs w:val="17"/>
          <w:b w:val="1"/>
          <w:bCs w:val="1"/>
          <w:color w:val="auto"/>
        </w:rPr>
        <w:t>Save paper, time and money! Sign up for electronic delivery at www.envisionreports.com/LMNR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340995" cy="3409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0995" cy="34099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216535</wp:posOffset>
            </wp:positionV>
            <wp:extent cx="7139305" cy="365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305" cy="36576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5600" w:space="720"/>
            <w:col w:w="4960"/>
          </w:cols>
          <w:pgMar w:left="300" w:top="1440" w:right="319" w:bottom="1015" w:gutter="0" w:footer="0" w:header="0"/>
        </w:sectPr>
      </w:pPr>
    </w:p>
    <w:p>
      <w:pPr>
        <w:spacing w:after="0" w:line="106" w:lineRule="exact"/>
        <w:rPr>
          <w:sz w:val="20"/>
          <w:szCs w:val="20"/>
          <w:color w:val="auto"/>
        </w:rPr>
      </w:pPr>
    </w:p>
    <w:p>
      <w:pPr>
        <w:ind w:left="100"/>
        <w:spacing w:after="0"/>
        <w:rPr>
          <w:sz w:val="20"/>
          <w:szCs w:val="20"/>
          <w:color w:val="auto"/>
        </w:rPr>
      </w:pPr>
      <w:r>
        <w:rPr>
          <w:rFonts w:ascii="Arial" w:cs="Arial" w:eastAsia="Arial" w:hAnsi="Arial"/>
          <w:sz w:val="26"/>
          <w:szCs w:val="26"/>
          <w:b w:val="1"/>
          <w:bCs w:val="1"/>
          <w:color w:val="auto"/>
        </w:rPr>
        <w:t>Annual Meeting Proxy Card</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13"/>
          <w:szCs w:val="13"/>
          <w:b w:val="1"/>
          <w:bCs w:val="1"/>
          <w:color w:val="auto"/>
        </w:rPr>
        <w:t>IF VOTING BY MAIL, SIGN, DETACH AND RETURN THE BOTTOM PORTION IN THE ENCLOSED ENVELOPE.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162560</wp:posOffset>
            </wp:positionV>
            <wp:extent cx="6635750" cy="178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35750" cy="178435"/>
                    </a:xfrm>
                    <a:prstGeom prst="rect">
                      <a:avLst/>
                    </a:prstGeom>
                    <a:noFill/>
                  </pic:spPr>
                </pic:pic>
              </a:graphicData>
            </a:graphic>
          </wp:anchor>
        </w:drawing>
      </w:r>
    </w:p>
    <w:p>
      <w:pPr>
        <w:spacing w:after="0" w:line="273" w:lineRule="exact"/>
        <w:rPr>
          <w:sz w:val="20"/>
          <w:szCs w:val="20"/>
          <w:color w:val="auto"/>
        </w:rPr>
      </w:pPr>
    </w:p>
    <w:p>
      <w:pPr>
        <w:ind w:left="400" w:hanging="273"/>
        <w:spacing w:after="0"/>
        <w:tabs>
          <w:tab w:leader="none" w:pos="400" w:val="left"/>
        </w:tabs>
        <w:numPr>
          <w:ilvl w:val="0"/>
          <w:numId w:val="58"/>
        </w:numPr>
        <w:rPr>
          <w:rFonts w:ascii="Arial" w:cs="Arial" w:eastAsia="Arial" w:hAnsi="Arial"/>
          <w:sz w:val="15"/>
          <w:szCs w:val="15"/>
          <w:b w:val="1"/>
          <w:bCs w:val="1"/>
          <w:color w:val="FFFFFF"/>
        </w:rPr>
      </w:pPr>
      <w:r>
        <w:rPr>
          <w:rFonts w:ascii="Arial" w:cs="Arial" w:eastAsia="Arial" w:hAnsi="Arial"/>
          <w:sz w:val="15"/>
          <w:szCs w:val="15"/>
          <w:b w:val="1"/>
          <w:bCs w:val="1"/>
          <w:color w:val="auto"/>
        </w:rPr>
        <w:t xml:space="preserve">Proposals – The Board of Directors recommends a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all nominees and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Proposals 2 and 3.</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356"/>
        </w:trPr>
        <w:tc>
          <w:tcPr>
            <w:tcW w:w="7380" w:type="dxa"/>
            <w:vAlign w:val="bottom"/>
            <w:gridSpan w:val="5"/>
            <w:vMerge w:val="restart"/>
          </w:tcPr>
          <w:p>
            <w:pPr>
              <w:spacing w:after="0"/>
              <w:rPr>
                <w:sz w:val="20"/>
                <w:szCs w:val="20"/>
                <w:color w:val="auto"/>
              </w:rPr>
            </w:pPr>
            <w:r>
              <w:rPr>
                <w:rFonts w:ascii="Arial" w:cs="Arial" w:eastAsia="Arial" w:hAnsi="Arial"/>
                <w:sz w:val="14"/>
                <w:szCs w:val="14"/>
                <w:color w:val="auto"/>
              </w:rPr>
              <w:t>1.  To elect three (3) Class II directors to the Board of Directors, each to serve for a three-year term (“Proposal 1”);</w:t>
            </w: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31"/>
                <w:szCs w:val="31"/>
                <w:color w:val="auto"/>
              </w:rPr>
              <w:t>+</w:t>
            </w:r>
          </w:p>
        </w:tc>
        <w:tc>
          <w:tcPr>
            <w:tcW w:w="0" w:type="dxa"/>
            <w:vAlign w:val="bottom"/>
          </w:tcPr>
          <w:p>
            <w:pPr>
              <w:spacing w:after="0"/>
              <w:rPr>
                <w:sz w:val="1"/>
                <w:szCs w:val="1"/>
                <w:color w:val="auto"/>
              </w:rPr>
            </w:pPr>
          </w:p>
        </w:tc>
      </w:tr>
      <w:tr>
        <w:trPr>
          <w:trHeight w:val="44"/>
        </w:trPr>
        <w:tc>
          <w:tcPr>
            <w:tcW w:w="7380" w:type="dxa"/>
            <w:vAlign w:val="bottom"/>
            <w:gridSpan w:val="5"/>
            <w:vMerge w:val="continue"/>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720" w:type="dxa"/>
            <w:vAlign w:val="bottom"/>
          </w:tcPr>
          <w:p>
            <w:pPr>
              <w:ind w:left="1240"/>
              <w:spacing w:after="0"/>
              <w:rPr>
                <w:sz w:val="20"/>
                <w:szCs w:val="20"/>
                <w:color w:val="auto"/>
              </w:rPr>
            </w:pPr>
            <w:r>
              <w:rPr>
                <w:rFonts w:ascii="Arial" w:cs="Arial" w:eastAsia="Arial" w:hAnsi="Arial"/>
                <w:sz w:val="14"/>
                <w:szCs w:val="14"/>
                <w:b w:val="1"/>
                <w:bCs w:val="1"/>
                <w:color w:val="auto"/>
              </w:rPr>
              <w:t>FOR ALL nominees</w:t>
            </w:r>
          </w:p>
        </w:tc>
        <w:tc>
          <w:tcPr>
            <w:tcW w:w="620" w:type="dxa"/>
            <w:vAlign w:val="bottom"/>
            <w:vMerge w:val="restart"/>
          </w:tcPr>
          <w:p>
            <w:pPr>
              <w:ind w:left="240"/>
              <w:spacing w:after="0" w:line="241" w:lineRule="exact"/>
              <w:rPr>
                <w:sz w:val="20"/>
                <w:szCs w:val="20"/>
                <w:color w:val="auto"/>
              </w:rPr>
            </w:pPr>
            <w:r>
              <w:rPr>
                <w:rFonts w:ascii="MS PGothic" w:cs="MS PGothic" w:eastAsia="MS PGothic" w:hAnsi="MS PGothic"/>
                <w:sz w:val="24"/>
                <w:szCs w:val="24"/>
                <w:color w:val="auto"/>
                <w:highlight w:val="black"/>
              </w:rPr>
              <w:t>☐</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WITHHOLD AUTHORITY to vote</w:t>
            </w:r>
          </w:p>
        </w:tc>
        <w:tc>
          <w:tcPr>
            <w:tcW w:w="480" w:type="dxa"/>
            <w:vAlign w:val="bottom"/>
            <w:vMerge w:val="restart"/>
          </w:tcPr>
          <w:p>
            <w:pPr>
              <w:ind w:left="160"/>
              <w:spacing w:after="0" w:line="241" w:lineRule="exact"/>
              <w:rPr>
                <w:sz w:val="20"/>
                <w:szCs w:val="20"/>
                <w:color w:val="auto"/>
              </w:rPr>
            </w:pPr>
            <w:r>
              <w:rPr>
                <w:rFonts w:ascii="MS PGothic" w:cs="MS PGothic" w:eastAsia="MS PGothic" w:hAnsi="MS PGothic"/>
                <w:sz w:val="24"/>
                <w:szCs w:val="24"/>
                <w:color w:val="auto"/>
                <w:highlight w:val="black"/>
              </w:rPr>
              <w:t>☐</w:t>
            </w: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rPr>
              <w:t>EXCEPTIONS</w:t>
            </w:r>
          </w:p>
        </w:tc>
        <w:tc>
          <w:tcPr>
            <w:tcW w:w="560" w:type="dxa"/>
            <w:vAlign w:val="bottom"/>
            <w:vMerge w:val="restart"/>
          </w:tcPr>
          <w:p>
            <w:pPr>
              <w:ind w:left="180"/>
              <w:spacing w:after="0" w:line="241" w:lineRule="exact"/>
              <w:rPr>
                <w:sz w:val="20"/>
                <w:szCs w:val="20"/>
                <w:color w:val="auto"/>
              </w:rPr>
            </w:pPr>
            <w:r>
              <w:rPr>
                <w:rFonts w:ascii="MS PGothic" w:cs="MS PGothic" w:eastAsia="MS PGothic" w:hAnsi="MS PGothic"/>
                <w:sz w:val="24"/>
                <w:szCs w:val="24"/>
                <w:color w:val="auto"/>
                <w:highlight w:val="black"/>
              </w:rPr>
              <w:t>☐</w:t>
            </w:r>
          </w:p>
        </w:tc>
        <w:tc>
          <w:tcPr>
            <w:tcW w:w="1860" w:type="dxa"/>
            <w:vAlign w:val="bottom"/>
          </w:tcPr>
          <w:p>
            <w:pPr>
              <w:ind w:left="180"/>
              <w:spacing w:after="0"/>
              <w:rPr>
                <w:sz w:val="20"/>
                <w:szCs w:val="20"/>
                <w:color w:val="auto"/>
              </w:rPr>
            </w:pPr>
            <w:r>
              <w:rPr>
                <w:rFonts w:ascii="Arial" w:cs="Arial" w:eastAsia="Arial" w:hAnsi="Arial"/>
                <w:sz w:val="14"/>
                <w:szCs w:val="14"/>
                <w:b w:val="1"/>
                <w:bCs w:val="1"/>
                <w:color w:val="auto"/>
              </w:rPr>
              <w:t>CUMULATIVE VOTING</w:t>
            </w:r>
          </w:p>
        </w:tc>
        <w:tc>
          <w:tcPr>
            <w:tcW w:w="1440" w:type="dxa"/>
            <w:vAlign w:val="bottom"/>
            <w:vMerge w:val="restart"/>
          </w:tcPr>
          <w:p>
            <w:pPr>
              <w:jc w:val="right"/>
              <w:ind w:right="864"/>
              <w:spacing w:after="0" w:line="241" w:lineRule="exact"/>
              <w:rPr>
                <w:sz w:val="20"/>
                <w:szCs w:val="20"/>
                <w:color w:val="auto"/>
              </w:rPr>
            </w:pPr>
            <w:r>
              <w:rPr>
                <w:rFonts w:ascii="MS PGothic" w:cs="MS PGothic" w:eastAsia="MS PGothic" w:hAnsi="MS PGothic"/>
                <w:sz w:val="24"/>
                <w:szCs w:val="24"/>
                <w:color w:val="auto"/>
                <w:highlight w:val="black"/>
              </w:rPr>
              <w:t>☐</w:t>
            </w:r>
          </w:p>
        </w:tc>
        <w:tc>
          <w:tcPr>
            <w:tcW w:w="0" w:type="dxa"/>
            <w:vAlign w:val="bottom"/>
          </w:tcPr>
          <w:p>
            <w:pPr>
              <w:spacing w:after="0"/>
              <w:rPr>
                <w:sz w:val="1"/>
                <w:szCs w:val="1"/>
                <w:color w:val="auto"/>
              </w:rPr>
            </w:pPr>
          </w:p>
        </w:tc>
      </w:tr>
      <w:tr>
        <w:trPr>
          <w:trHeight w:val="153"/>
        </w:trPr>
        <w:tc>
          <w:tcPr>
            <w:tcW w:w="2720" w:type="dxa"/>
            <w:vAlign w:val="bottom"/>
          </w:tcPr>
          <w:p>
            <w:pPr>
              <w:ind w:left="1240"/>
              <w:spacing w:after="0" w:line="153" w:lineRule="exact"/>
              <w:rPr>
                <w:sz w:val="20"/>
                <w:szCs w:val="20"/>
                <w:color w:val="auto"/>
              </w:rPr>
            </w:pPr>
            <w:r>
              <w:rPr>
                <w:rFonts w:ascii="Arial" w:cs="Arial" w:eastAsia="Arial" w:hAnsi="Arial"/>
                <w:sz w:val="14"/>
                <w:szCs w:val="14"/>
                <w:b w:val="1"/>
                <w:bCs w:val="1"/>
                <w:color w:val="auto"/>
              </w:rPr>
              <w:t>listed below</w:t>
            </w:r>
          </w:p>
        </w:tc>
        <w:tc>
          <w:tcPr>
            <w:tcW w:w="620" w:type="dxa"/>
            <w:vAlign w:val="bottom"/>
            <w:vMerge w:val="continue"/>
          </w:tcPr>
          <w:p>
            <w:pPr>
              <w:spacing w:after="0"/>
              <w:rPr>
                <w:sz w:val="13"/>
                <w:szCs w:val="13"/>
                <w:color w:val="auto"/>
              </w:rPr>
            </w:pPr>
          </w:p>
        </w:tc>
        <w:tc>
          <w:tcPr>
            <w:tcW w:w="238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for</w:t>
            </w:r>
          </w:p>
        </w:tc>
        <w:tc>
          <w:tcPr>
            <w:tcW w:w="4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6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ELECTIONS</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all nominees listed below</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Director Nominee Name</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w w:val="94"/>
              </w:rPr>
              <w:t>Number of Votes</w:t>
            </w:r>
          </w:p>
        </w:tc>
        <w:tc>
          <w:tcPr>
            <w:tcW w:w="700" w:type="dxa"/>
            <w:vAlign w:val="bottom"/>
          </w:tcPr>
          <w:p>
            <w:pPr>
              <w:spacing w:after="0"/>
              <w:rPr>
                <w:sz w:val="14"/>
                <w:szCs w:val="14"/>
                <w:color w:val="auto"/>
              </w:rPr>
            </w:pPr>
          </w:p>
        </w:tc>
        <w:tc>
          <w:tcPr>
            <w:tcW w:w="6560" w:type="dxa"/>
            <w:vAlign w:val="bottom"/>
            <w:gridSpan w:val="5"/>
          </w:tcPr>
          <w:p>
            <w:pPr>
              <w:ind w:left="240"/>
              <w:spacing w:after="0"/>
              <w:rPr>
                <w:sz w:val="20"/>
                <w:szCs w:val="20"/>
                <w:color w:val="auto"/>
              </w:rPr>
            </w:pPr>
            <w:r>
              <w:rPr>
                <w:rFonts w:ascii="Arial" w:cs="Arial" w:eastAsia="Arial" w:hAnsi="Arial"/>
                <w:sz w:val="14"/>
                <w:szCs w:val="14"/>
                <w:b w:val="1"/>
                <w:bCs w:val="1"/>
                <w:color w:val="auto"/>
                <w:w w:val="98"/>
              </w:rPr>
              <w:t>INSTRUCTIONS: To withhold authority to vote for any individual nominee or nominees, mark the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740" w:type="dxa"/>
            <w:vAlign w:val="bottom"/>
            <w:gridSpan w:val="4"/>
          </w:tcPr>
          <w:p>
            <w:pPr>
              <w:ind w:left="240"/>
              <w:spacing w:after="0" w:line="139" w:lineRule="exact"/>
              <w:rPr>
                <w:sz w:val="20"/>
                <w:szCs w:val="20"/>
                <w:color w:val="auto"/>
              </w:rPr>
            </w:pPr>
            <w:r>
              <w:rPr>
                <w:rFonts w:ascii="Arial" w:cs="Arial" w:eastAsia="Arial" w:hAnsi="Arial"/>
                <w:sz w:val="14"/>
                <w:szCs w:val="14"/>
                <w:b w:val="1"/>
                <w:bCs w:val="1"/>
                <w:color w:val="auto"/>
                <w:w w:val="99"/>
              </w:rPr>
              <w:t>“EXCEPTIONS” box above and strike a line through the name(s) of the nominee(s).</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line="153" w:lineRule="exact"/>
              <w:rPr>
                <w:sz w:val="20"/>
                <w:szCs w:val="20"/>
                <w:color w:val="auto"/>
              </w:rPr>
            </w:pPr>
            <w:r>
              <w:rPr>
                <w:rFonts w:ascii="Arial" w:cs="Arial" w:eastAsia="Arial" w:hAnsi="Arial"/>
                <w:sz w:val="14"/>
                <w:szCs w:val="14"/>
                <w:color w:val="auto"/>
                <w:w w:val="89"/>
              </w:rPr>
              <w:t>01</w:t>
            </w:r>
          </w:p>
        </w:tc>
        <w:tc>
          <w:tcPr>
            <w:tcW w:w="168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 Barbara Carbone</w:t>
            </w:r>
          </w:p>
        </w:tc>
        <w:tc>
          <w:tcPr>
            <w:tcW w:w="2100" w:type="dxa"/>
            <w:vAlign w:val="bottom"/>
            <w:gridSpan w:val="3"/>
          </w:tcPr>
          <w:p>
            <w:pPr>
              <w:ind w:left="320"/>
              <w:spacing w:after="0" w:line="153" w:lineRule="exact"/>
              <w:rPr>
                <w:sz w:val="20"/>
                <w:szCs w:val="20"/>
                <w:color w:val="auto"/>
              </w:rPr>
            </w:pPr>
            <w:r>
              <w:rPr>
                <w:rFonts w:ascii="Arial" w:cs="Arial" w:eastAsia="Arial" w:hAnsi="Arial"/>
                <w:sz w:val="14"/>
                <w:szCs w:val="14"/>
                <w:color w:val="auto"/>
              </w:rPr>
              <w:t>__________ Votes FOR</w:t>
            </w:r>
          </w:p>
        </w:tc>
        <w:tc>
          <w:tcPr>
            <w:tcW w:w="7300" w:type="dxa"/>
            <w:vAlign w:val="bottom"/>
            <w:gridSpan w:val="6"/>
          </w:tcPr>
          <w:p>
            <w:pPr>
              <w:ind w:left="240"/>
              <w:spacing w:after="0" w:line="153" w:lineRule="exact"/>
              <w:rPr>
                <w:sz w:val="20"/>
                <w:szCs w:val="20"/>
                <w:color w:val="auto"/>
              </w:rPr>
            </w:pPr>
            <w:r>
              <w:rPr>
                <w:rFonts w:ascii="Arial" w:cs="Arial" w:eastAsia="Arial" w:hAnsi="Arial"/>
                <w:sz w:val="14"/>
                <w:szCs w:val="14"/>
                <w:color w:val="auto"/>
                <w:w w:val="98"/>
              </w:rPr>
              <w:t>If you desire to allocate your votes to individual nominees on a cumulative basis, as explained in the accompanying</w:t>
            </w: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300" w:type="dxa"/>
            <w:vAlign w:val="bottom"/>
            <w:gridSpan w:val="6"/>
          </w:tcPr>
          <w:p>
            <w:pPr>
              <w:ind w:left="240"/>
              <w:spacing w:after="0" w:line="153" w:lineRule="exact"/>
              <w:rPr>
                <w:sz w:val="20"/>
                <w:szCs w:val="20"/>
                <w:color w:val="auto"/>
              </w:rPr>
            </w:pPr>
            <w:r>
              <w:rPr>
                <w:rFonts w:ascii="Arial" w:cs="Arial" w:eastAsia="Arial" w:hAnsi="Arial"/>
                <w:sz w:val="14"/>
                <w:szCs w:val="14"/>
                <w:color w:val="auto"/>
              </w:rPr>
              <w:t>Proxy Statement, mark the “CUMULATIVE VOTING ELECTIONS” box and indicate the number of votes that you</w:t>
            </w:r>
          </w:p>
        </w:tc>
        <w:tc>
          <w:tcPr>
            <w:tcW w:w="0" w:type="dxa"/>
            <w:vAlign w:val="bottom"/>
          </w:tcPr>
          <w:p>
            <w:pPr>
              <w:spacing w:after="0"/>
              <w:rPr>
                <w:sz w:val="1"/>
                <w:szCs w:val="1"/>
                <w:color w:val="auto"/>
              </w:rPr>
            </w:pPr>
          </w:p>
        </w:tc>
      </w:tr>
      <w:tr>
        <w:trPr>
          <w:trHeight w:val="153"/>
        </w:trPr>
        <w:tc>
          <w:tcPr>
            <w:tcW w:w="160" w:type="dxa"/>
            <w:vAlign w:val="bottom"/>
          </w:tcPr>
          <w:p>
            <w:pPr>
              <w:spacing w:after="0" w:line="153" w:lineRule="exact"/>
              <w:rPr>
                <w:sz w:val="20"/>
                <w:szCs w:val="20"/>
                <w:color w:val="auto"/>
              </w:rPr>
            </w:pPr>
            <w:r>
              <w:rPr>
                <w:rFonts w:ascii="Arial" w:cs="Arial" w:eastAsia="Arial" w:hAnsi="Arial"/>
                <w:sz w:val="14"/>
                <w:szCs w:val="14"/>
                <w:color w:val="auto"/>
                <w:w w:val="89"/>
              </w:rPr>
              <w:t>02</w:t>
            </w:r>
          </w:p>
        </w:tc>
        <w:tc>
          <w:tcPr>
            <w:tcW w:w="168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 Gordon E. Kimball</w:t>
            </w:r>
          </w:p>
        </w:tc>
        <w:tc>
          <w:tcPr>
            <w:tcW w:w="2100" w:type="dxa"/>
            <w:vAlign w:val="bottom"/>
            <w:gridSpan w:val="3"/>
          </w:tcPr>
          <w:p>
            <w:pPr>
              <w:ind w:left="320"/>
              <w:spacing w:after="0" w:line="153" w:lineRule="exact"/>
              <w:rPr>
                <w:sz w:val="20"/>
                <w:szCs w:val="20"/>
                <w:color w:val="auto"/>
              </w:rPr>
            </w:pPr>
            <w:r>
              <w:rPr>
                <w:rFonts w:ascii="Arial" w:cs="Arial" w:eastAsia="Arial" w:hAnsi="Arial"/>
                <w:sz w:val="14"/>
                <w:szCs w:val="14"/>
                <w:color w:val="auto"/>
              </w:rPr>
              <w:t>__________ Votes FOR</w:t>
            </w:r>
          </w:p>
        </w:tc>
        <w:tc>
          <w:tcPr>
            <w:tcW w:w="7300" w:type="dxa"/>
            <w:vAlign w:val="bottom"/>
            <w:gridSpan w:val="6"/>
          </w:tcPr>
          <w:p>
            <w:pPr>
              <w:ind w:left="240"/>
              <w:spacing w:after="0" w:line="153" w:lineRule="exact"/>
              <w:rPr>
                <w:sz w:val="20"/>
                <w:szCs w:val="20"/>
                <w:color w:val="auto"/>
              </w:rPr>
            </w:pPr>
            <w:r>
              <w:rPr>
                <w:rFonts w:ascii="Arial" w:cs="Arial" w:eastAsia="Arial" w:hAnsi="Arial"/>
                <w:sz w:val="14"/>
                <w:szCs w:val="14"/>
                <w:color w:val="auto"/>
                <w:w w:val="99"/>
              </w:rPr>
              <w:t>would like to have cast FOR each nominee. The total of the votes cast on this proxy may not exceed the number of</w:t>
            </w: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300" w:type="dxa"/>
            <w:vAlign w:val="bottom"/>
            <w:gridSpan w:val="6"/>
          </w:tcPr>
          <w:p>
            <w:pPr>
              <w:ind w:left="240"/>
              <w:spacing w:after="0" w:line="153" w:lineRule="exact"/>
              <w:rPr>
                <w:sz w:val="20"/>
                <w:szCs w:val="20"/>
                <w:color w:val="auto"/>
              </w:rPr>
            </w:pPr>
            <w:r>
              <w:rPr>
                <w:rFonts w:ascii="Arial" w:cs="Arial" w:eastAsia="Arial" w:hAnsi="Arial"/>
                <w:sz w:val="14"/>
                <w:szCs w:val="14"/>
                <w:color w:val="auto"/>
              </w:rPr>
              <w:t>votes you are entitled to times three. For example, if you own 100 shares, you are entitled to cast 300 votes for</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20"/>
                <w:szCs w:val="20"/>
                <w:color w:val="auto"/>
              </w:rPr>
            </w:pPr>
            <w:r>
              <w:rPr>
                <w:rFonts w:ascii="Arial" w:cs="Arial" w:eastAsia="Arial" w:hAnsi="Arial"/>
                <w:sz w:val="14"/>
                <w:szCs w:val="14"/>
                <w:color w:val="auto"/>
                <w:w w:val="89"/>
              </w:rPr>
              <w:t>03</w:t>
            </w: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 Scott S. Slater</w:t>
            </w:r>
          </w:p>
        </w:tc>
        <w:tc>
          <w:tcPr>
            <w:tcW w:w="2100" w:type="dxa"/>
            <w:vAlign w:val="bottom"/>
            <w:gridSpan w:val="3"/>
          </w:tcPr>
          <w:p>
            <w:pPr>
              <w:ind w:left="320"/>
              <w:spacing w:after="0"/>
              <w:rPr>
                <w:sz w:val="20"/>
                <w:szCs w:val="20"/>
                <w:color w:val="auto"/>
              </w:rPr>
            </w:pPr>
            <w:r>
              <w:rPr>
                <w:rFonts w:ascii="Arial" w:cs="Arial" w:eastAsia="Arial" w:hAnsi="Arial"/>
                <w:sz w:val="14"/>
                <w:szCs w:val="14"/>
                <w:color w:val="auto"/>
              </w:rPr>
              <w:t>__________ Votes FOR</w:t>
            </w:r>
          </w:p>
        </w:tc>
        <w:tc>
          <w:tcPr>
            <w:tcW w:w="7300" w:type="dxa"/>
            <w:vAlign w:val="bottom"/>
            <w:gridSpan w:val="6"/>
          </w:tcPr>
          <w:p>
            <w:pPr>
              <w:ind w:left="240"/>
              <w:spacing w:after="0"/>
              <w:rPr>
                <w:sz w:val="20"/>
                <w:szCs w:val="20"/>
                <w:color w:val="auto"/>
              </w:rPr>
            </w:pPr>
            <w:r>
              <w:rPr>
                <w:rFonts w:ascii="Arial" w:cs="Arial" w:eastAsia="Arial" w:hAnsi="Arial"/>
                <w:sz w:val="14"/>
                <w:szCs w:val="14"/>
                <w:color w:val="auto"/>
              </w:rPr>
              <w:t>director nominees. However, if you have cast your proxy for the other above choices, do not complete this table.</w:t>
            </w:r>
          </w:p>
        </w:tc>
        <w:tc>
          <w:tcPr>
            <w:tcW w:w="0" w:type="dxa"/>
            <w:vAlign w:val="bottom"/>
          </w:tcPr>
          <w:p>
            <w:pPr>
              <w:spacing w:after="0"/>
              <w:rPr>
                <w:sz w:val="1"/>
                <w:szCs w:val="1"/>
                <w:color w:val="auto"/>
              </w:rPr>
            </w:pPr>
          </w:p>
        </w:tc>
      </w:tr>
      <w:tr>
        <w:trPr>
          <w:trHeight w:val="313"/>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Total Votes Cast: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w:t>
            </w: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Against</w:t>
            </w: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Abstain</w:t>
            </w:r>
          </w:p>
        </w:tc>
        <w:tc>
          <w:tcPr>
            <w:tcW w:w="3620" w:type="dxa"/>
            <w:vAlign w:val="bottom"/>
          </w:tcPr>
          <w:p>
            <w:pPr>
              <w:spacing w:after="0"/>
              <w:rPr>
                <w:sz w:val="24"/>
                <w:szCs w:val="24"/>
                <w:color w:val="auto"/>
              </w:rPr>
            </w:pPr>
          </w:p>
        </w:tc>
        <w:tc>
          <w:tcPr>
            <w:tcW w:w="5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103"/>
        </w:trPr>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240" w:type="dxa"/>
            <w:vAlign w:val="bottom"/>
            <w:gridSpan w:val="5"/>
          </w:tcPr>
          <w:p>
            <w:pPr>
              <w:spacing w:after="0"/>
              <w:rPr>
                <w:sz w:val="20"/>
                <w:szCs w:val="20"/>
                <w:color w:val="auto"/>
              </w:rPr>
            </w:pPr>
            <w:r>
              <w:rPr>
                <w:rFonts w:ascii="Arial" w:cs="Arial" w:eastAsia="Arial" w:hAnsi="Arial"/>
                <w:sz w:val="14"/>
                <w:szCs w:val="14"/>
                <w:color w:val="auto"/>
              </w:rPr>
              <w:t>2. To vote on an advisory resolution to approve the</w:t>
            </w:r>
          </w:p>
        </w:tc>
        <w:tc>
          <w:tcPr>
            <w:tcW w:w="700" w:type="dxa"/>
            <w:vAlign w:val="bottom"/>
            <w:vMerge w:val="restart"/>
          </w:tcPr>
          <w:p>
            <w:pPr>
              <w:ind w:left="320"/>
              <w:spacing w:after="0" w:line="241" w:lineRule="exact"/>
              <w:rPr>
                <w:sz w:val="20"/>
                <w:szCs w:val="20"/>
                <w:color w:val="auto"/>
              </w:rPr>
            </w:pPr>
            <w:r>
              <w:rPr>
                <w:rFonts w:ascii="MS PGothic" w:cs="MS PGothic" w:eastAsia="MS PGothic" w:hAnsi="MS PGothic"/>
                <w:sz w:val="24"/>
                <w:szCs w:val="24"/>
                <w:color w:val="auto"/>
              </w:rPr>
              <w:t>☐</w:t>
            </w:r>
          </w:p>
        </w:tc>
        <w:tc>
          <w:tcPr>
            <w:tcW w:w="800" w:type="dxa"/>
            <w:vAlign w:val="bottom"/>
            <w:vMerge w:val="restart"/>
          </w:tcPr>
          <w:p>
            <w:pPr>
              <w:ind w:left="280"/>
              <w:spacing w:after="0" w:line="241" w:lineRule="exact"/>
              <w:rPr>
                <w:sz w:val="20"/>
                <w:szCs w:val="20"/>
                <w:color w:val="auto"/>
              </w:rPr>
            </w:pPr>
            <w:r>
              <w:rPr>
                <w:rFonts w:ascii="MS PGothic" w:cs="MS PGothic" w:eastAsia="MS PGothic" w:hAnsi="MS PGothic"/>
                <w:sz w:val="24"/>
                <w:szCs w:val="24"/>
                <w:color w:val="auto"/>
              </w:rPr>
              <w:t>☐</w:t>
            </w:r>
          </w:p>
        </w:tc>
        <w:tc>
          <w:tcPr>
            <w:tcW w:w="820" w:type="dxa"/>
            <w:vAlign w:val="bottom"/>
            <w:vMerge w:val="restart"/>
          </w:tcPr>
          <w:p>
            <w:pPr>
              <w:ind w:left="300"/>
              <w:spacing w:after="0" w:line="241" w:lineRule="exact"/>
              <w:rPr>
                <w:sz w:val="20"/>
                <w:szCs w:val="20"/>
                <w:color w:val="auto"/>
              </w:rPr>
            </w:pPr>
            <w:r>
              <w:rPr>
                <w:rFonts w:ascii="MS PGothic" w:cs="MS PGothic" w:eastAsia="MS PGothic" w:hAnsi="MS PGothic"/>
                <w:sz w:val="24"/>
                <w:szCs w:val="24"/>
                <w:color w:val="auto"/>
              </w:rPr>
              <w:t>☐</w:t>
            </w:r>
          </w:p>
        </w:tc>
        <w:tc>
          <w:tcPr>
            <w:tcW w:w="3620" w:type="dxa"/>
            <w:vAlign w:val="bottom"/>
          </w:tcPr>
          <w:p>
            <w:pPr>
              <w:ind w:left="180"/>
              <w:spacing w:after="0"/>
              <w:rPr>
                <w:sz w:val="20"/>
                <w:szCs w:val="20"/>
                <w:color w:val="auto"/>
              </w:rPr>
            </w:pPr>
            <w:r>
              <w:rPr>
                <w:rFonts w:ascii="Arial" w:cs="Arial" w:eastAsia="Arial" w:hAnsi="Arial"/>
                <w:sz w:val="14"/>
                <w:szCs w:val="14"/>
                <w:color w:val="auto"/>
                <w:w w:val="98"/>
              </w:rPr>
              <w:t>3. To ratify the appointment of Deloitte &amp; Touche LLP to</w:t>
            </w:r>
          </w:p>
        </w:tc>
        <w:tc>
          <w:tcPr>
            <w:tcW w:w="500" w:type="dxa"/>
            <w:vAlign w:val="bottom"/>
            <w:vMerge w:val="restart"/>
          </w:tcPr>
          <w:p>
            <w:pPr>
              <w:ind w:left="120"/>
              <w:spacing w:after="0" w:line="241" w:lineRule="exact"/>
              <w:rPr>
                <w:sz w:val="20"/>
                <w:szCs w:val="20"/>
                <w:color w:val="auto"/>
              </w:rPr>
            </w:pPr>
            <w:r>
              <w:rPr>
                <w:rFonts w:ascii="MS PGothic" w:cs="MS PGothic" w:eastAsia="MS PGothic" w:hAnsi="MS PGothic"/>
                <w:sz w:val="24"/>
                <w:szCs w:val="24"/>
                <w:color w:val="auto"/>
              </w:rPr>
              <w:t>☐</w:t>
            </w:r>
          </w:p>
        </w:tc>
        <w:tc>
          <w:tcPr>
            <w:tcW w:w="82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7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3080" w:type="dxa"/>
            <w:vAlign w:val="bottom"/>
            <w:gridSpan w:val="4"/>
          </w:tcPr>
          <w:p>
            <w:pPr>
              <w:spacing w:after="0" w:line="153" w:lineRule="exact"/>
              <w:rPr>
                <w:sz w:val="20"/>
                <w:szCs w:val="20"/>
                <w:color w:val="auto"/>
              </w:rPr>
            </w:pPr>
            <w:r>
              <w:rPr>
                <w:rFonts w:ascii="Arial" w:cs="Arial" w:eastAsia="Arial" w:hAnsi="Arial"/>
                <w:sz w:val="14"/>
                <w:szCs w:val="14"/>
                <w:color w:val="auto"/>
                <w:w w:val="98"/>
              </w:rPr>
              <w:t>compensation of the Named Executive Officers as</w:t>
            </w:r>
          </w:p>
        </w:tc>
        <w:tc>
          <w:tcPr>
            <w:tcW w:w="7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620" w:type="dxa"/>
            <w:vAlign w:val="bottom"/>
          </w:tcPr>
          <w:p>
            <w:pPr>
              <w:ind w:left="340"/>
              <w:spacing w:after="0" w:line="153" w:lineRule="exact"/>
              <w:rPr>
                <w:sz w:val="20"/>
                <w:szCs w:val="20"/>
                <w:color w:val="auto"/>
              </w:rPr>
            </w:pPr>
            <w:r>
              <w:rPr>
                <w:rFonts w:ascii="Arial" w:cs="Arial" w:eastAsia="Arial" w:hAnsi="Arial"/>
                <w:sz w:val="14"/>
                <w:szCs w:val="14"/>
                <w:color w:val="auto"/>
              </w:rPr>
              <w:t>service as the independent registered public</w:t>
            </w:r>
          </w:p>
        </w:tc>
        <w:tc>
          <w:tcPr>
            <w:tcW w:w="5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3080" w:type="dxa"/>
            <w:vAlign w:val="bottom"/>
            <w:gridSpan w:val="4"/>
          </w:tcPr>
          <w:p>
            <w:pPr>
              <w:spacing w:after="0" w:line="153" w:lineRule="exact"/>
              <w:rPr>
                <w:sz w:val="20"/>
                <w:szCs w:val="20"/>
                <w:color w:val="auto"/>
              </w:rPr>
            </w:pPr>
            <w:r>
              <w:rPr>
                <w:rFonts w:ascii="Arial" w:cs="Arial" w:eastAsia="Arial" w:hAnsi="Arial"/>
                <w:sz w:val="14"/>
                <w:szCs w:val="14"/>
                <w:color w:val="auto"/>
              </w:rPr>
              <w:t>disclosed in this proxy statement (“Proposal 2”);</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20" w:type="dxa"/>
            <w:vAlign w:val="bottom"/>
          </w:tcPr>
          <w:p>
            <w:pPr>
              <w:ind w:left="340"/>
              <w:spacing w:after="0" w:line="153" w:lineRule="exact"/>
              <w:rPr>
                <w:sz w:val="20"/>
                <w:szCs w:val="20"/>
                <w:color w:val="auto"/>
              </w:rPr>
            </w:pPr>
            <w:r>
              <w:rPr>
                <w:rFonts w:ascii="Arial" w:cs="Arial" w:eastAsia="Arial" w:hAnsi="Arial"/>
                <w:sz w:val="14"/>
                <w:szCs w:val="14"/>
                <w:color w:val="auto"/>
              </w:rPr>
              <w:t>accounting firm for Limoneira Company for the fiscal</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20" w:type="dxa"/>
            <w:vAlign w:val="bottom"/>
          </w:tcPr>
          <w:p>
            <w:pPr>
              <w:ind w:left="340"/>
              <w:spacing w:after="0"/>
              <w:rPr>
                <w:sz w:val="20"/>
                <w:szCs w:val="20"/>
                <w:color w:val="auto"/>
              </w:rPr>
            </w:pPr>
            <w:r>
              <w:rPr>
                <w:rFonts w:ascii="Arial" w:cs="Arial" w:eastAsia="Arial" w:hAnsi="Arial"/>
                <w:sz w:val="14"/>
                <w:szCs w:val="14"/>
                <w:color w:val="auto"/>
              </w:rPr>
              <w:t>year ending October 31, 2025 (“Proposal 3”);</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180" w:right="8160" w:hanging="158"/>
        <w:spacing w:after="0" w:line="235" w:lineRule="auto"/>
        <w:tabs>
          <w:tab w:leader="none" w:pos="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574040</wp:posOffset>
            </wp:positionV>
            <wp:extent cx="7139305" cy="178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305" cy="17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hanging="280"/>
        <w:spacing w:after="0"/>
        <w:tabs>
          <w:tab w:leader="none" w:pos="420" w:val="left"/>
        </w:tabs>
        <w:numPr>
          <w:ilvl w:val="0"/>
          <w:numId w:val="60"/>
        </w:numPr>
        <w:rPr>
          <w:rFonts w:ascii="Arial" w:cs="Arial" w:eastAsia="Arial" w:hAnsi="Arial"/>
          <w:sz w:val="15"/>
          <w:szCs w:val="15"/>
          <w:b w:val="1"/>
          <w:bCs w:val="1"/>
          <w:color w:val="FFFFFF"/>
        </w:rPr>
      </w:pPr>
      <w:r>
        <w:rPr>
          <w:rFonts w:ascii="Arial" w:cs="Arial" w:eastAsia="Arial" w:hAnsi="Arial"/>
          <w:sz w:val="15"/>
          <w:szCs w:val="15"/>
          <w:b w:val="1"/>
          <w:bCs w:val="1"/>
          <w:color w:val="auto"/>
        </w:rPr>
        <w:t>Authorized Signatures – This section must be completed for your vote to be counted. – Date and Sign Below</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Please sign as name appears hereon. Joint owners should each sign. When signing as attorney, executor, administrator, trustee or guardian, please give full title as such.</w:t>
      </w: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2740" w:type="dxa"/>
            <w:vAlign w:val="bottom"/>
            <w:gridSpan w:val="3"/>
          </w:tcPr>
          <w:p>
            <w:pPr>
              <w:jc w:val="right"/>
              <w:spacing w:after="0" w:line="153" w:lineRule="exact"/>
              <w:rPr>
                <w:sz w:val="20"/>
                <w:szCs w:val="20"/>
                <w:color w:val="auto"/>
              </w:rPr>
            </w:pPr>
            <w:r>
              <w:rPr>
                <w:rFonts w:ascii="Arial" w:cs="Arial" w:eastAsia="Arial" w:hAnsi="Arial"/>
                <w:sz w:val="14"/>
                <w:szCs w:val="14"/>
                <w:color w:val="auto"/>
                <w:w w:val="95"/>
              </w:rPr>
              <w:t>Date (mm/dd/yyyy) – Please print date below.</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gridSpan w:val="2"/>
          </w:tcPr>
          <w:p>
            <w:pPr>
              <w:spacing w:after="0" w:line="153" w:lineRule="exact"/>
              <w:rPr>
                <w:sz w:val="20"/>
                <w:szCs w:val="20"/>
                <w:color w:val="auto"/>
              </w:rPr>
            </w:pPr>
            <w:r>
              <w:rPr>
                <w:rFonts w:ascii="Arial" w:cs="Arial" w:eastAsia="Arial" w:hAnsi="Arial"/>
                <w:sz w:val="14"/>
                <w:szCs w:val="14"/>
                <w:color w:val="auto"/>
              </w:rPr>
              <w:t>Signature 1 – Please keep signature within the box.</w:t>
            </w:r>
          </w:p>
        </w:tc>
        <w:tc>
          <w:tcPr>
            <w:tcW w:w="3600" w:type="dxa"/>
            <w:vAlign w:val="bottom"/>
          </w:tcPr>
          <w:p>
            <w:pPr>
              <w:jc w:val="right"/>
              <w:ind w:right="381"/>
              <w:spacing w:after="0" w:line="153" w:lineRule="exact"/>
              <w:rPr>
                <w:sz w:val="20"/>
                <w:szCs w:val="20"/>
                <w:color w:val="auto"/>
              </w:rPr>
            </w:pPr>
            <w:r>
              <w:rPr>
                <w:rFonts w:ascii="Arial" w:cs="Arial" w:eastAsia="Arial" w:hAnsi="Arial"/>
                <w:sz w:val="14"/>
                <w:szCs w:val="14"/>
                <w:color w:val="auto"/>
                <w:w w:val="96"/>
              </w:rPr>
              <w:t>Signature 2 – Please keep signature within the box.</w:t>
            </w:r>
          </w:p>
        </w:tc>
        <w:tc>
          <w:tcPr>
            <w:tcW w:w="0" w:type="dxa"/>
            <w:vAlign w:val="bottom"/>
          </w:tcPr>
          <w:p>
            <w:pPr>
              <w:spacing w:after="0"/>
              <w:rPr>
                <w:sz w:val="1"/>
                <w:szCs w:val="1"/>
                <w:color w:val="auto"/>
              </w:rPr>
            </w:pPr>
          </w:p>
        </w:tc>
      </w:tr>
      <w:tr>
        <w:trPr>
          <w:trHeight w:val="479"/>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14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41"/>
                <w:szCs w:val="41"/>
                <w:color w:val="auto"/>
              </w:rPr>
              <w:t>/</w:t>
            </w:r>
          </w:p>
        </w:tc>
        <w:tc>
          <w:tcPr>
            <w:tcW w:w="13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41"/>
                <w:szCs w:val="41"/>
                <w:color w:val="auto"/>
              </w:rPr>
              <w:t>/</w:t>
            </w:r>
          </w:p>
        </w:tc>
        <w:tc>
          <w:tcPr>
            <w:tcW w:w="860" w:type="dxa"/>
            <w:vAlign w:val="bottom"/>
            <w:tcBorders>
              <w:top w:val="single" w:sz="8" w:color="auto"/>
              <w:bottom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gridSpan w:val="2"/>
            <w:vMerge w:val="restart"/>
          </w:tcPr>
          <w:p>
            <w:pPr>
              <w:ind w:left="420"/>
              <w:spacing w:after="0"/>
              <w:rPr>
                <w:sz w:val="20"/>
                <w:szCs w:val="20"/>
                <w:color w:val="auto"/>
              </w:rPr>
            </w:pPr>
            <w:r>
              <w:rPr>
                <w:rFonts w:ascii="Arial" w:cs="Arial" w:eastAsia="Arial" w:hAnsi="Arial"/>
                <w:sz w:val="20"/>
                <w:szCs w:val="20"/>
                <w:color w:val="auto"/>
              </w:rPr>
              <w:t>1 U P X</w:t>
            </w:r>
          </w:p>
        </w:tc>
        <w:tc>
          <w:tcPr>
            <w:tcW w:w="3600" w:type="dxa"/>
            <w:vAlign w:val="bottom"/>
            <w:vMerge w:val="restart"/>
          </w:tcPr>
          <w:p>
            <w:pPr>
              <w:jc w:val="right"/>
              <w:spacing w:after="0"/>
              <w:rPr>
                <w:sz w:val="20"/>
                <w:szCs w:val="20"/>
                <w:color w:val="auto"/>
              </w:rPr>
            </w:pPr>
            <w:r>
              <w:rPr>
                <w:rFonts w:ascii="Arial" w:cs="Arial" w:eastAsia="Arial" w:hAnsi="Arial"/>
                <w:sz w:val="34"/>
                <w:szCs w:val="34"/>
                <w:color w:val="auto"/>
              </w:rPr>
              <w:t>+</w:t>
            </w:r>
          </w:p>
        </w:tc>
        <w:tc>
          <w:tcPr>
            <w:tcW w:w="0" w:type="dxa"/>
            <w:vAlign w:val="bottom"/>
          </w:tcPr>
          <w:p>
            <w:pPr>
              <w:spacing w:after="0"/>
              <w:rPr>
                <w:sz w:val="1"/>
                <w:szCs w:val="1"/>
                <w:color w:val="auto"/>
              </w:rPr>
            </w:pPr>
          </w:p>
        </w:tc>
      </w:tr>
      <w:tr>
        <w:trPr>
          <w:trHeight w:val="479"/>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shd w:val="clear" w:color="auto" w:fill="000000"/>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4"/>
                <w:szCs w:val="14"/>
                <w:color w:val="auto"/>
              </w:rPr>
              <w:t>043HPD</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440" w:right="319" w:bottom="1015"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line="258"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to be held on April 9, 2025.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of the Annual Meeting of Stockholders, Proxy Statement and the Annual Report for the fiscal year ended October 31, 2024, are available at: </w:t>
      </w:r>
      <w:r>
        <w:rPr>
          <w:rFonts w:ascii="Arial" w:cs="Arial" w:eastAsia="Arial" w:hAnsi="Arial"/>
          <w:sz w:val="17"/>
          <w:szCs w:val="17"/>
          <w:b w:val="1"/>
          <w:bCs w:val="1"/>
          <w:u w:val="single" w:color="auto"/>
          <w:color w:val="auto"/>
        </w:rPr>
        <w:t>http://www.envisionreports.com/LMNR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121920</wp:posOffset>
            </wp:positionV>
            <wp:extent cx="4995545" cy="5683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5545" cy="56832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Small steps make an impact.</w:t>
      </w:r>
    </w:p>
    <w:p>
      <w:pPr>
        <w:spacing w:after="0" w:line="12" w:lineRule="exact"/>
        <w:rPr>
          <w:sz w:val="20"/>
          <w:szCs w:val="20"/>
          <w:color w:val="auto"/>
        </w:rPr>
      </w:pPr>
    </w:p>
    <w:p>
      <w:pPr>
        <w:ind w:left="3660" w:right="3500" w:hanging="205"/>
        <w:spacing w:after="0" w:line="251" w:lineRule="auto"/>
        <w:rPr>
          <w:sz w:val="20"/>
          <w:szCs w:val="20"/>
          <w:color w:val="auto"/>
        </w:rPr>
      </w:pPr>
      <w:r>
        <w:rPr>
          <w:rFonts w:ascii="Arial" w:cs="Arial" w:eastAsia="Arial" w:hAnsi="Arial"/>
          <w:sz w:val="17"/>
          <w:szCs w:val="17"/>
          <w:color w:val="auto"/>
        </w:rPr>
        <w:t>Help the environment by consenting to receive electronic delivery, sign up at www.envisionreports.com/LMNR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VOTING BY MAIL, SIGN, DETACH AND RETURN THE BOTTOM PORTION IN THE ENCLOSED ENVELOPE.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293370</wp:posOffset>
            </wp:positionV>
            <wp:extent cx="6790055" cy="332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0055" cy="3327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0"/>
        <w:spacing w:after="0"/>
        <w:tabs>
          <w:tab w:leader="none" w:pos="10860" w:val="left"/>
        </w:tabs>
        <w:rPr>
          <w:sz w:val="20"/>
          <w:szCs w:val="20"/>
          <w:color w:val="auto"/>
        </w:rPr>
      </w:pPr>
      <w:r>
        <w:rPr>
          <w:rFonts w:ascii="Arial" w:cs="Arial" w:eastAsia="Arial" w:hAnsi="Arial"/>
          <w:sz w:val="24"/>
          <w:szCs w:val="24"/>
          <w:b w:val="1"/>
          <w:bCs w:val="1"/>
          <w:color w:val="auto"/>
        </w:rPr>
        <w:t>Proxy – LIMONEIRA COMPANY</w:t>
      </w:r>
      <w:r>
        <w:rPr>
          <w:sz w:val="20"/>
          <w:szCs w:val="20"/>
          <w:color w:val="auto"/>
        </w:rPr>
        <w:tab/>
      </w:r>
      <w:r>
        <w:rPr>
          <w:rFonts w:ascii="Arial" w:cs="Arial" w:eastAsia="Arial" w:hAnsi="Arial"/>
          <w:sz w:val="34"/>
          <w:szCs w:val="34"/>
          <w:color w:val="auto"/>
        </w:rPr>
        <w: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PROXY FOR THE ANNUAL MEETING OF STOCKHOLDERS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ON APRIL 9, 2025</w:t>
      </w:r>
    </w:p>
    <w:p>
      <w:pPr>
        <w:jc w:val="center"/>
        <w:spacing w:after="0"/>
        <w:rPr>
          <w:sz w:val="20"/>
          <w:szCs w:val="20"/>
          <w:color w:val="auto"/>
        </w:rPr>
      </w:pPr>
      <w:r>
        <w:rPr>
          <w:rFonts w:ascii="Arial" w:cs="Arial" w:eastAsia="Arial" w:hAnsi="Arial"/>
          <w:sz w:val="20"/>
          <w:szCs w:val="20"/>
          <w:b w:val="1"/>
          <w:bCs w:val="1"/>
          <w:color w:val="auto"/>
        </w:rPr>
        <w:t>at Museum of Ventura County – Agriculture Museum, 926 Railroad Avenue, Santa Paula, CA 93060</w:t>
      </w:r>
    </w:p>
    <w:p>
      <w:pPr>
        <w:jc w:val="center"/>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6" w:lineRule="exact"/>
        <w:rPr>
          <w:sz w:val="20"/>
          <w:szCs w:val="20"/>
          <w:color w:val="auto"/>
        </w:rPr>
      </w:pPr>
    </w:p>
    <w:p>
      <w:pPr>
        <w:jc w:val="both"/>
        <w:ind w:firstLine="430"/>
        <w:spacing w:after="0" w:line="239" w:lineRule="auto"/>
        <w:rPr>
          <w:sz w:val="20"/>
          <w:szCs w:val="20"/>
          <w:color w:val="auto"/>
        </w:rPr>
      </w:pPr>
      <w:r>
        <w:rPr>
          <w:rFonts w:ascii="Arial" w:cs="Arial" w:eastAsia="Arial" w:hAnsi="Arial"/>
          <w:sz w:val="17"/>
          <w:szCs w:val="17"/>
          <w:color w:val="auto"/>
        </w:rPr>
        <w:t>The undersigned hereby appoints Harold S. Edwards and Mark Palamountain, and each of them, as the attorneys, agents and proxies of the undersigned with full power of substitution to each, to attend and act as proxy or proxies of the undersigned at the Annual Meeting of Stockholders of Limoneira Company to be held at Museum of Ventura County – Agriculture Museum, 926 Railroad Avenue, Santa Paula, CA 93060, on April 9, 2025, at 10:00 a.m., Pacific Time, and at any and all adjournments thereof, and to vote as specified herein the number of shares which the undersigned, if personally present, would be entitled to vote.</w:t>
      </w:r>
    </w:p>
    <w:p>
      <w:pPr>
        <w:spacing w:after="0" w:line="162" w:lineRule="exact"/>
        <w:rPr>
          <w:sz w:val="20"/>
          <w:szCs w:val="20"/>
          <w:color w:val="auto"/>
        </w:rPr>
      </w:pPr>
    </w:p>
    <w:p>
      <w:pPr>
        <w:jc w:val="both"/>
        <w:ind w:firstLine="430"/>
        <w:spacing w:after="0" w:line="247" w:lineRule="auto"/>
        <w:rPr>
          <w:sz w:val="20"/>
          <w:szCs w:val="20"/>
          <w:color w:val="auto"/>
        </w:rPr>
      </w:pPr>
      <w:r>
        <w:rPr>
          <w:rFonts w:ascii="Arial" w:cs="Arial" w:eastAsia="Arial" w:hAnsi="Arial"/>
          <w:sz w:val="17"/>
          <w:szCs w:val="17"/>
          <w:color w:val="auto"/>
        </w:rPr>
        <w:t>THE BOARD OF DIRECTORS RECOMMENDS A VOTE “FOR ALL” DIRECTORS NOMINATED BY THE BOARD OF DIRECTORS IN PROPOSAL 1; “FOR” THE ADVISORY RESOLUTION TO APPROVE THE COMPENSATION OF THE NAMED EXECUTIVE OFFICERS AS DISCLOSED IN THE PROXY STATEMENT (PROPOSAL 2); “FOR” THE RATIFICATION OF THE APPOINTMENT OF DELOITTE &amp; TOUCHE LLP FOR LIMONEIRA COMPANY FOR THE FISCAL YEAR ENDING OCTOBER 31, 2025 (PROPOSAL 3).</w:t>
      </w:r>
    </w:p>
    <w:p>
      <w:pPr>
        <w:spacing w:after="0" w:line="155" w:lineRule="exact"/>
        <w:rPr>
          <w:sz w:val="20"/>
          <w:szCs w:val="20"/>
          <w:color w:val="auto"/>
        </w:rPr>
      </w:pPr>
    </w:p>
    <w:p>
      <w:pPr>
        <w:jc w:val="both"/>
        <w:ind w:firstLine="430"/>
        <w:spacing w:after="0" w:line="242" w:lineRule="auto"/>
        <w:rPr>
          <w:sz w:val="20"/>
          <w:szCs w:val="20"/>
          <w:color w:val="auto"/>
        </w:rPr>
      </w:pPr>
      <w:r>
        <w:rPr>
          <w:rFonts w:ascii="Arial" w:cs="Arial" w:eastAsia="Arial" w:hAnsi="Arial"/>
          <w:sz w:val="17"/>
          <w:szCs w:val="17"/>
          <w:b w:val="1"/>
          <w:bCs w:val="1"/>
          <w:color w:val="auto"/>
        </w:rPr>
        <w:t>THIS PROXY, WHEN PROPERLY EXECUTED, WILL BE VOTED AS DIRECTED. IF NO DIRECTION IS MADE, IT WILL BE VOTED “FOR ALL” DIRECTORS NOMINATED BY THE BOARD OF DIRECTORS (PROPOSAL 1); “FOR” THE RESOLUTION TO APPROVE THE COMPENSATION OF THE NAMED EXECUTIVE OFFICERS AS DISCLOSED IN THE PROXY STATEMENT (PROPOSAL 2); “FOR” THE RATIFICATION OF THE APPOINTMENT OF DELOITTE &amp; TOUCHE LLP FOR LIMONEIRA COMPANY FOR THE FISCAL YEAR ENDING OCTOBER 31, 2025 (PROPOSAL 3); AND WILL VOTE IN THE DISCRETION OF THE PROXIES WITH RESPECT TO SUCH OTHER BUSINESS AS MAY PROPERLY COME BEFORE THE MEETING OR ANY OTHER ADJOURNMENT OR POSTPONEMENT THEREOF. IF NO DIRECTION IS MADE, THE VOTING POWER GRANTED TO THE PROXIES INCLUDES THE POWER TO VOTE CUMULATIVELY IN THE ELECTION OF DIRECTORS IF DEEMED NECESSARY OR APPROPRIATE BY THE PROXIES.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293370</wp:posOffset>
            </wp:positionV>
            <wp:extent cx="7139305" cy="178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305" cy="178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00" w:hanging="280"/>
        <w:spacing w:after="0"/>
        <w:tabs>
          <w:tab w:leader="none" w:pos="400" w:val="left"/>
        </w:tabs>
        <w:numPr>
          <w:ilvl w:val="0"/>
          <w:numId w:val="61"/>
        </w:numPr>
        <w:rPr>
          <w:rFonts w:ascii="Arial" w:cs="Arial" w:eastAsia="Arial" w:hAnsi="Arial"/>
          <w:sz w:val="15"/>
          <w:szCs w:val="15"/>
          <w:b w:val="1"/>
          <w:bCs w:val="1"/>
          <w:color w:val="FFFFFF"/>
        </w:rPr>
      </w:pPr>
      <w:r>
        <w:rPr>
          <w:rFonts w:ascii="Arial" w:cs="Arial" w:eastAsia="Arial" w:hAnsi="Arial"/>
          <w:sz w:val="15"/>
          <w:szCs w:val="15"/>
          <w:b w:val="1"/>
          <w:bCs w:val="1"/>
          <w:color w:val="auto"/>
        </w:rPr>
        <w:t>Non-Voting Items</w:t>
      </w:r>
    </w:p>
    <w:p>
      <w:pPr>
        <w:spacing w:after="0" w:line="178" w:lineRule="exact"/>
        <w:rPr>
          <w:sz w:val="20"/>
          <w:szCs w:val="20"/>
          <w:color w:val="auto"/>
        </w:rPr>
      </w:pPr>
    </w:p>
    <w:p>
      <w:pPr>
        <w:spacing w:after="0"/>
        <w:tabs>
          <w:tab w:leader="none" w:pos="5720" w:val="left"/>
        </w:tabs>
        <w:rPr>
          <w:sz w:val="20"/>
          <w:szCs w:val="20"/>
          <w:color w:val="auto"/>
        </w:rPr>
      </w:pPr>
      <w:r>
        <w:rPr>
          <w:rFonts w:ascii="Arial" w:cs="Arial" w:eastAsia="Arial" w:hAnsi="Arial"/>
          <w:sz w:val="14"/>
          <w:szCs w:val="14"/>
          <w:b w:val="1"/>
          <w:bCs w:val="1"/>
          <w:color w:val="auto"/>
        </w:rPr>
        <w:t xml:space="preserve">Change of Address – </w:t>
      </w:r>
      <w:r>
        <w:rPr>
          <w:rFonts w:ascii="Arial" w:cs="Arial" w:eastAsia="Arial" w:hAnsi="Arial"/>
          <w:sz w:val="14"/>
          <w:szCs w:val="14"/>
          <w:color w:val="auto"/>
        </w:rPr>
        <w:t>Please print new address below.</w:t>
      </w:r>
      <w:r>
        <w:rPr>
          <w:sz w:val="20"/>
          <w:szCs w:val="20"/>
          <w:color w:val="auto"/>
        </w:rPr>
        <w:tab/>
      </w:r>
      <w:r>
        <w:rPr>
          <w:rFonts w:ascii="Arial" w:cs="Arial" w:eastAsia="Arial" w:hAnsi="Arial"/>
          <w:sz w:val="12"/>
          <w:szCs w:val="12"/>
          <w:b w:val="1"/>
          <w:bCs w:val="1"/>
          <w:color w:val="auto"/>
        </w:rPr>
        <w:t xml:space="preserve">Comments – </w:t>
      </w:r>
      <w:r>
        <w:rPr>
          <w:rFonts w:ascii="Arial" w:cs="Arial" w:eastAsia="Arial" w:hAnsi="Arial"/>
          <w:sz w:val="12"/>
          <w:szCs w:val="12"/>
          <w:color w:val="auto"/>
        </w:rPr>
        <w:t>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4385" cy="410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4385" cy="410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699770</wp:posOffset>
            </wp:positionV>
            <wp:extent cx="219075" cy="316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907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0"/>
        <w:spacing w:after="0"/>
        <w:rPr>
          <w:sz w:val="20"/>
          <w:szCs w:val="20"/>
          <w:color w:val="auto"/>
        </w:rPr>
      </w:pPr>
      <w:r>
        <w:rPr>
          <w:rFonts w:ascii="Arial" w:cs="Arial" w:eastAsia="Arial" w:hAnsi="Arial"/>
          <w:sz w:val="34"/>
          <w:szCs w:val="3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415925</wp:posOffset>
            </wp:positionV>
            <wp:extent cx="7139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sectPr>
      <w:pgSz w:w="11900" w:h="16838" w:orient="portrait"/>
      <w:cols w:equalWidth="0" w:num="1">
        <w:col w:w="11240"/>
      </w:cols>
      <w:pgMar w:left="320" w:top="1440" w:right="339" w:bottom="91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1."/>
      <w:numFmt w:val="decimal"/>
      <w:start w:val="4"/>
    </w:lvl>
  </w:abstractNum>
  <w:abstractNum w:abstractNumId="8">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90"/>
    </w:lvl>
  </w:abstractNum>
  <w:abstractNum w:abstractNumId="32">
    <w:nsid w:val="6DE91B18"/>
    <w:multiLevelType w:val="hybridMultilevel"/>
    <w:lvl w:ilvl="0">
      <w:lvlJc w:val="left"/>
      <w:lvlText w:val="(%1)"/>
      <w:numFmt w:val="lowerRoman"/>
      <w:start w:val="3"/>
    </w:lvl>
  </w:abstractNum>
  <w:abstractNum w:abstractNumId="33">
    <w:nsid w:val="38437FDB"/>
    <w:multiLevelType w:val="hybridMultilevel"/>
    <w:lvl w:ilvl="0">
      <w:lvlJc w:val="left"/>
      <w:lvlText w:val="(%1)"/>
      <w:numFmt w:val="lowerRoman"/>
      <w:start w:val="3"/>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4"/>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3"/>
    </w:lvl>
  </w:abstractNum>
  <w:abstractNum w:abstractNumId="48">
    <w:nsid w:val="23F9C13C"/>
    <w:multiLevelType w:val="hybridMultilevel"/>
    <w:lvl w:ilvl="0">
      <w:lvlJc w:val="left"/>
      <w:lvlText w:val="(%1)"/>
      <w:numFmt w:val="decimal"/>
      <w:start w:val="6"/>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amp;"/>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805"/>
    </w:lvl>
  </w:abstractNum>
  <w:abstractNum w:abstractNumId="57">
    <w:nsid w:val="15B5AF5C"/>
    <w:multiLevelType w:val="hybridMultilevel"/>
    <w:lvl w:ilvl="0">
      <w:lvlJc w:val="left"/>
      <w:lvlText w:val="A"/>
      <w:numFmt w:val="bullet"/>
      <w:start w:val="1"/>
    </w:lvl>
  </w:abstractNum>
  <w:abstractNum w:abstractNumId="58">
    <w:nsid w:val="741226BB"/>
    <w:multiLevelType w:val="hybridMultilevel"/>
    <w:lvl w:ilvl="0">
      <w:lvlJc w:val="left"/>
      <w:lvlText w:val="%1."/>
      <w:numFmt w:val="decimal"/>
      <w:start w:val="4"/>
    </w:lvl>
  </w:abstractNum>
  <w:abstractNum w:abstractNumId="59">
    <w:nsid w:val="D34B6A8"/>
    <w:multiLevelType w:val="hybridMultilevel"/>
    <w:lvl w:ilvl="0">
      <w:lvlJc w:val="left"/>
      <w:lvlText w:val="B"/>
      <w:numFmt w:val="bullet"/>
      <w:start w:val="1"/>
    </w:lvl>
  </w:abstractNum>
  <w:abstractNum w:abstractNumId="60">
    <w:nsid w:val="10233C9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2025-02-27T17:23:53Z</dcterms:created>
  <dcterms:modified xsi:type="dcterms:W3CDTF">2025-02-27T17:23:53Z</dcterms:modified>
</cp:coreProperties>
</file>