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165100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60" w:right="1720" w:hanging="552"/>
        <w:spacing w:after="0" w:line="488" w:lineRule="auto"/>
        <w:tabs>
          <w:tab w:leader="none" w:pos="549"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2017</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60"/>
        <w:spacing w:after="0"/>
        <w:tabs>
          <w:tab w:leader="none" w:pos="45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2498090</wp:posOffset>
            </wp:positionH>
            <wp:positionV relativeFrom="paragraph">
              <wp:posOffset>-5080</wp:posOffset>
            </wp:positionV>
            <wp:extent cx="904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157480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Limoneira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77-0260692</w:t>
            </w:r>
          </w:p>
        </w:tc>
      </w:tr>
      <w:tr>
        <w:trPr>
          <w:trHeight w:val="21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8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1141 Cummings Road, Santa Paula, CA</w:t>
            </w:r>
          </w:p>
        </w:tc>
        <w:tc>
          <w:tcPr>
            <w:tcW w:w="3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38"/>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(805) 525-5541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ind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jc w:val="both"/>
        <w:ind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754" w:right="239" w:bottom="1440" w:gutter="0" w:footer="0" w:header="0"/>
        </w:sectPr>
      </w:pPr>
    </w:p>
    <w:p>
      <w:pPr>
        <w:spacing w:after="0" w:line="17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Accelerated filer</w:t>
      </w:r>
    </w:p>
    <w:p>
      <w:pPr>
        <w:spacing w:after="0" w:line="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18" w:lineRule="exact"/>
        <w:rPr>
          <w:sz w:val="24"/>
          <w:szCs w:val="24"/>
          <w:color w:val="auto"/>
        </w:rPr>
      </w:pPr>
    </w:p>
    <w:p>
      <w:pPr>
        <w:sectPr>
          <w:pgSz w:w="11900" w:h="16838" w:orient="portrait"/>
          <w:cols w:equalWidth="0" w:num="2">
            <w:col w:w="5680" w:space="720"/>
            <w:col w:w="5020"/>
          </w:cols>
          <w:pgMar w:left="240" w:top="754" w:right="239" w:bottom="1440" w:gutter="0" w:footer="0" w:header="0"/>
          <w:type w:val="continuous"/>
        </w:sect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sz w:val="24"/>
          <w:szCs w:val="24"/>
          <w:color w:val="auto"/>
        </w:rPr>
      </w:pPr>
    </w:p>
    <w:p>
      <w:pPr>
        <w:ind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August 31, 2017, there were 14,405,031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8"/>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LIMONEIRA COMPANY</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80" w:type="dxa"/>
            <w:vAlign w:val="bottom"/>
            <w:gridSpan w:val="8"/>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PART I. FINANCIAL INFORMATION</w:t>
              </w:r>
            </w:hyperlink>
          </w:p>
        </w:tc>
        <w:tc>
          <w:tcPr>
            <w:tcW w:w="6560" w:type="dxa"/>
            <w:vAlign w:val="bottom"/>
            <w:tcBorders>
              <w:bottom w:val="single" w:sz="8" w:color="CCEEFF"/>
            </w:tcBorders>
            <w:gridSpan w:val="11"/>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8"/>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 July 31, 2017 and October 31, 2016</w:t>
              </w:r>
            </w:hyperlink>
          </w:p>
        </w:tc>
        <w:tc>
          <w:tcPr>
            <w:tcW w:w="4600" w:type="dxa"/>
            <w:vAlign w:val="bottom"/>
            <w:tcBorders>
              <w:bottom w:val="single" w:sz="8" w:color="CCEEFF"/>
            </w:tcBorders>
            <w:gridSpan w:val="7"/>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40" w:type="dxa"/>
            <w:vAlign w:val="bottom"/>
            <w:gridSpan w:val="20"/>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Operations – three and nine months ended July 31, 2017 and 2016</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Comprehensive Income - three and nine months ended July 31, 2017 and 2016</w:t>
              </w:r>
            </w:hyperlink>
          </w:p>
        </w:tc>
        <w:tc>
          <w:tcPr>
            <w:tcW w:w="17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40" w:type="dxa"/>
            <w:vAlign w:val="bottom"/>
            <w:gridSpan w:val="20"/>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 – nine months ended July 31, 2017 and 2016</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Notes to Consolidated Financial Statements</w:t>
              </w:r>
            </w:hyperlink>
          </w:p>
        </w:tc>
        <w:tc>
          <w:tcPr>
            <w:tcW w:w="6300" w:type="dxa"/>
            <w:vAlign w:val="bottom"/>
            <w:tcBorders>
              <w:bottom w:val="single" w:sz="8" w:color="CCEEFF"/>
            </w:tcBorders>
            <w:gridSpan w:val="9"/>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8"/>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Quantitative and Qualitative Disclosures about Market Risk</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Controls and Procedures</w:t>
              </w:r>
            </w:hyperlink>
          </w:p>
        </w:tc>
        <w:tc>
          <w:tcPr>
            <w:tcW w:w="4000" w:type="dxa"/>
            <w:vAlign w:val="bottom"/>
            <w:tcBorders>
              <w:top w:val="single" w:sz="8" w:color="CCEEFF"/>
            </w:tcBorders>
            <w:gridSpan w:val="6"/>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4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PART II. OTHER INFORMATION</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420" w:type="dxa"/>
            <w:vAlign w:val="bottom"/>
            <w:tcBorders>
              <w:top w:val="single" w:sz="8" w:color="0000EE"/>
            </w:tcBorders>
            <w:gridSpan w:val="5"/>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Legal Proceedings</w:t>
              </w:r>
            </w:hyperlink>
          </w:p>
        </w:tc>
        <w:tc>
          <w:tcPr>
            <w:tcW w:w="6880" w:type="dxa"/>
            <w:vAlign w:val="bottom"/>
            <w:tcBorders>
              <w:top w:val="single" w:sz="8" w:color="CCEEFF"/>
            </w:tcBorders>
            <w:gridSpan w:val="13"/>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Risk Factors</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8"/>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Unregistered Sales of Equity Securities and Use of Proceeds</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Defaults Upon Senior Securities</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Mine Safety Disclosures</w:t>
              </w:r>
            </w:hyperlink>
          </w:p>
        </w:tc>
        <w:tc>
          <w:tcPr>
            <w:tcW w:w="5980" w:type="dxa"/>
            <w:vAlign w:val="bottom"/>
            <w:tcBorders>
              <w:top w:val="single" w:sz="8" w:color="CCEEFF"/>
            </w:tcBorders>
            <w:gridSpan w:val="8"/>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Other Information</w:t>
              </w:r>
            </w:hyperlink>
          </w:p>
        </w:tc>
        <w:tc>
          <w:tcPr>
            <w:tcW w:w="6980" w:type="dxa"/>
            <w:vAlign w:val="bottom"/>
            <w:tcBorders>
              <w:bottom w:val="single" w:sz="8" w:color="CCEEFF"/>
            </w:tcBorders>
            <w:gridSpan w:val="15"/>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300" w:type="dxa"/>
            <w:vAlign w:val="bottom"/>
            <w:gridSpan w:val="18"/>
          </w:tcPr>
          <w:p>
            <w:pPr>
              <w:spacing w:after="0" w:line="17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Exhibits</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gridSpan w:val="14"/>
          </w:tcPr>
          <w:p>
            <w:pPr>
              <w:jc w:val="center"/>
              <w:ind w:left="4050"/>
              <w:spacing w:after="0"/>
              <w:rPr>
                <w:sz w:val="20"/>
                <w:szCs w:val="20"/>
                <w:color w:val="auto"/>
              </w:rPr>
            </w:pPr>
            <w:r>
              <w:rPr>
                <w:rFonts w:ascii="Times New Roman" w:cs="Times New Roman" w:eastAsia="Times New Roman" w:hAnsi="Times New Roman"/>
                <w:sz w:val="18"/>
                <w:szCs w:val="18"/>
                <w:color w:val="auto"/>
                <w:w w:val="88"/>
              </w:rPr>
              <w:t>2</w:t>
            </w:r>
          </w:p>
        </w:tc>
        <w:tc>
          <w:tcPr>
            <w:tcW w:w="66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76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74" w:lineRule="exact"/>
        <w:rPr>
          <w:sz w:val="20"/>
          <w:szCs w:val="20"/>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laws, regulations, rules, quotas, tariff, and import laws;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weather conditions, including freezes, rains and droughts that affect the production, transportation, storage, import and export of fresh produce;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responses to industry volume pressures;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increased pressure from disease, insects and other pests;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disruption of water supplies or changes in water allocations;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raw materials supplies and pricing;</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energy supply and pricing;</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interest and currency exchange rates;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financing for development activities;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economic conditions for residential and commercial real estate development;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political changes and economic crisis;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conflict;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acts of terrorism;</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labor disruptions, strikes, shortages or work stoppages;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of important intellectual property rights;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factors disclosed in our public filings with the Securities and Exchange Commission.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2016.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Limoneira Company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(unaudited)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53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10,732,000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Cultural costs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3,789,000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19,773,000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186,845,000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177,096,000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development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79,160,000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77,136,000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investments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14,337,000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Calavo Growers, Inc.</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17,745,000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335,711,000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305,448,000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4,462,000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Growers payable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Fair value of derivative instrument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26,896,000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97,638,000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28,470,000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Sale-leaseback deferral</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23,349,000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185,730,000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 $100 par value (50,000 shares authorized: 14,790 and 29,000 shares issued</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at July 31, 2017 and October 31, 2016, respectively) (8.75% coupon rate)</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1,479,000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B-2 Convertible Preferred Stock – $100 par value (10,000 shares authorized: 9,300 shares issued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at July 31, 2017 and October 31, 2016) (4% dividend rate on liquidation value of $1,000 per share)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Junior Participating Preferred Stock – $.01 par value (20,000 shares authorized: zero issued or</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outstanding at July 31, 2017 and October 31, 2016)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 $.01 par value (39,000,000 shares authorized: 14,405,031 and 14,178,226 shares issued and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outstanding at July 31, 2017 and October 31, 2016, respectively)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94,053,000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38,261,000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139,171,000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126,498,000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335,711,000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305,448,000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-126365</wp:posOffset>
            </wp:positionV>
            <wp:extent cx="17322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34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494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0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39,050,000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38,430,000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101,236,000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87,943,000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4,144,000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4,273,000</w:t>
            </w: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2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21,151,000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75,821,000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67,861,000</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2,934,000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2,711,000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1,880,000</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10,192,000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9,728,000</w:t>
            </w:r>
          </w:p>
        </w:tc>
      </w:tr>
      <w:tr>
        <w:trPr>
          <w:trHeight w:val="210"/>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27,227,000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89,239,000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82,180,000</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(473,000)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(1,036,000)</w:t>
            </w: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stock in Calavo Growers, Inc.</w:t>
            </w: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3,419,000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3,419,000</w:t>
            </w:r>
          </w:p>
        </w:tc>
      </w:tr>
      <w:tr>
        <w:trPr>
          <w:trHeight w:val="216"/>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investments</w:t>
            </w:r>
          </w:p>
        </w:tc>
        <w:tc>
          <w:tcPr>
            <w:tcW w:w="2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206,000</w:t>
            </w:r>
          </w:p>
        </w:tc>
      </w:tr>
      <w:tr>
        <w:trPr>
          <w:trHeight w:val="230"/>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463,000</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420"/>
          </w:cols>
          <w:pgMar w:left="240" w:top="900"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before income tax provision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18" w:lineRule="exact"/>
        <w:rPr>
          <w:sz w:val="20"/>
          <w:szCs w:val="20"/>
          <w:color w:val="auto"/>
        </w:rPr>
      </w:pPr>
    </w:p>
    <w:p>
      <w:pPr>
        <w:ind w:right="1460"/>
        <w:spacing w:after="0" w:line="261" w:lineRule="auto"/>
        <w:rPr>
          <w:sz w:val="20"/>
          <w:szCs w:val="20"/>
          <w:color w:val="auto"/>
        </w:rPr>
      </w:pPr>
      <w:r>
        <w:rPr>
          <w:rFonts w:ascii="Times New Roman" w:cs="Times New Roman" w:eastAsia="Times New Roman" w:hAnsi="Times New Roman"/>
          <w:sz w:val="18"/>
          <w:szCs w:val="18"/>
          <w:color w:val="auto"/>
        </w:rPr>
        <w:t>Net income attributable to Limoneira Company Preferred dividends</w:t>
      </w:r>
    </w:p>
    <w:p>
      <w:pPr>
        <w:spacing w:after="0"/>
        <w:rPr>
          <w:sz w:val="20"/>
          <w:szCs w:val="20"/>
          <w:color w:val="auto"/>
        </w:rPr>
      </w:pPr>
      <w:r>
        <w:rPr>
          <w:rFonts w:ascii="Times New Roman" w:cs="Times New Roman" w:eastAsia="Times New Roman" w:hAnsi="Times New Roman"/>
          <w:sz w:val="18"/>
          <w:szCs w:val="18"/>
          <w:color w:val="auto"/>
        </w:rPr>
        <w:t>Net income attributable to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12,760,000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17,422,000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15,142,000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13,127,000</w:t>
            </w:r>
          </w:p>
        </w:tc>
        <w:tc>
          <w:tcPr>
            <w:tcW w:w="60" w:type="dxa"/>
            <w:vAlign w:val="bottom"/>
          </w:tcPr>
          <w:p>
            <w:pPr>
              <w:spacing w:after="0"/>
              <w:rPr>
                <w:sz w:val="20"/>
                <w:szCs w:val="20"/>
                <w:color w:val="auto"/>
              </w:rPr>
            </w:pPr>
          </w:p>
        </w:tc>
      </w:tr>
      <w:tr>
        <w:trPr>
          <w:trHeight w:val="446"/>
        </w:trPr>
        <w:tc>
          <w:tcPr>
            <w:tcW w:w="2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(5,017,000)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(6,693,000)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(5,935,000)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(5,088,000)</w:t>
            </w:r>
          </w:p>
        </w:tc>
      </w:tr>
      <w:tr>
        <w:trPr>
          <w:trHeight w:val="205"/>
        </w:trPr>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7,743,000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10,729,000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9,207,000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8,039,000</w:t>
            </w:r>
          </w:p>
        </w:tc>
        <w:tc>
          <w:tcPr>
            <w:tcW w:w="60" w:type="dxa"/>
            <w:vAlign w:val="bottom"/>
          </w:tcPr>
          <w:p>
            <w:pPr>
              <w:spacing w:after="0"/>
              <w:rPr>
                <w:sz w:val="17"/>
                <w:szCs w:val="17"/>
                <w:color w:val="auto"/>
              </w:rPr>
            </w:pPr>
          </w:p>
        </w:tc>
      </w:tr>
      <w:tr>
        <w:trPr>
          <w:trHeight w:val="234"/>
        </w:trPr>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191"/>
        </w:trPr>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7,777,000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10,729,000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9,245,000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8,039,000</w:t>
            </w:r>
          </w:p>
        </w:tc>
        <w:tc>
          <w:tcPr>
            <w:tcW w:w="60" w:type="dxa"/>
            <w:vAlign w:val="bottom"/>
          </w:tcPr>
          <w:p>
            <w:pPr>
              <w:spacing w:after="0"/>
              <w:rPr>
                <w:sz w:val="16"/>
                <w:szCs w:val="16"/>
                <w:color w:val="auto"/>
              </w:rPr>
            </w:pPr>
          </w:p>
        </w:tc>
      </w:tr>
      <w:tr>
        <w:trPr>
          <w:trHeight w:val="248"/>
        </w:trPr>
        <w:tc>
          <w:tcPr>
            <w:tcW w:w="2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(435,000)</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(471,000)</w:t>
            </w:r>
          </w:p>
        </w:tc>
      </w:tr>
      <w:tr>
        <w:trPr>
          <w:trHeight w:val="223"/>
        </w:trPr>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7,568,000</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-1183005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-908685</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-616585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900" w:space="720"/>
            <w:col w:w="58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2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14,396,000</w:t>
            </w:r>
          </w:p>
        </w:tc>
        <w:tc>
          <w:tcPr>
            <w:tcW w:w="2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14,178,000</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14,287,000</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14,989,000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15,066,000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14,570,000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15,053,000</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4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20" w:type="dxa"/>
            <w:vAlign w:val="bottom"/>
            <w:gridSpan w:val="9"/>
          </w:tcPr>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7,743,000</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10,729,000</w:t>
            </w:r>
          </w:p>
        </w:tc>
        <w:tc>
          <w:tcPr>
            <w:tcW w:w="3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9,207,000</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holding gains on security available-for-sale</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2,707,000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Reclassification of unrealized gain on security sold</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(1,719,000)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gains from derivative instrument</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443,000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10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Limoneira Company</w:t>
            </w: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12,671,000</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12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9,207,000</w:t>
            </w:r>
          </w:p>
        </w:tc>
        <w:tc>
          <w:tcPr>
            <w:tcW w:w="2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stock in Calavo Growers, Inc.</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disposals of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1,088,000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Equity in earnings of investments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distributions from equity investments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on note receivable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Cultural costs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receivable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growers payable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1,968,000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20,122,000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(9,607,000)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LLC Interest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(5,706,000)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property acquisition</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sale of stock in Calavo Growers, Inc.</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 contributions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(7,450,000)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mutual water companies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(23,113,000)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Borrowings of long-term debt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161,425,000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127,702,000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(153,442,000)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(127,777,000)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 common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(2,362,000)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 preferred</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Exchange of common stock</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debt financing costs</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(2,905,000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in cash</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38,000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380" w:type="dxa"/>
            <w:vAlign w:val="bottom"/>
          </w:tcPr>
          <w:p>
            <w:pPr>
              <w:ind w:left="492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8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 (continued)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 (net of amounts capitalized)</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796,000</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holding gain on Calavo investment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(4,470,000)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(4,311,000)</w:t>
            </w:r>
          </w:p>
        </w:tc>
      </w:tr>
      <w:tr>
        <w:trPr>
          <w:trHeight w:val="216"/>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in real estate development and sale-leaseback deferral</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4,216,000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2,349,000</w:t>
            </w:r>
          </w:p>
        </w:tc>
      </w:tr>
      <w:tr>
        <w:trPr>
          <w:trHeight w:val="216"/>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 of lease obligation related to agriculture property acquisition</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(739,000)</w:t>
            </w:r>
          </w:p>
        </w:tc>
      </w:tr>
      <w:tr>
        <w:trPr>
          <w:trHeight w:val="216"/>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accrued but not paid at period-end</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431,000</w:t>
            </w:r>
          </w:p>
        </w:tc>
      </w:tr>
      <w:tr>
        <w:trPr>
          <w:trHeight w:val="216"/>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 on note receivable</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r>
      <w:tr>
        <w:trPr>
          <w:trHeight w:val="234"/>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Series B-2 Convertible Preferred Stock dividends</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31,000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July 31, 2017 and 2016, certain shares of Series B convertible preferred stock were converted into common stock as described in Note 21 - Series B and Series B-2 Preferred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24, 2017, the Company acquired 90% of the outstanding stock of Fruticola Pan de Azucar S.A. for a purchase price of $5,706,000 in cash as further described in Note 3 - Acquisitions.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20, 2017, the Company entered into a Master Loan Agreement with Farm Credit West, FLCA and repaid $68,572,000 of outstanding debt under the Rabobank revolving credit facility as further described in Note 13 -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Preface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requires management to make use of estimates and assumptions that affect the reported amount of assets and liabilities, revenue and expenses and certain financial statement disclosures. Actual results may differ from these estimates.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nine months ended July 31, 2017 and 2016 and balance sheet as of July 31, 2017 included herein have not been audited by an independent registered public accounting firm, but in management’s opinion, all adjustments (consisting of normal recurring adjustments) necessary to make a fair statement of the financial position at July 31, 2017 and the results of operations and the cash flows for the periods presented herein have been made. The results of operations for the three and nine months ended July 31, 2017 are not necessarily indicative of the operating results expected for the full fiscal year.</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October 31, 2016 included herein has been derived from the audited consolidated financial statements at that date but does not include all of the information and footnotes required by U.S. generally accepted accounting principles (“GAAP”) for complete financial statements.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included herein have been prepared pursuant to the rules and regulations of the U.S. Securities and Exchange Commission (the “SEC”). Although the Company believes the disclosures made are adequate to make the information presented not misleading, certain information and footnote disclosures normally included in financial statements prepared in accordance with GAAP have been condensed or omitted pursuant to such rules or regulations. These unaudited interim consolidated financial statements should be read in conjunction with the consolidated financial statements and notes thereto included in the Company’s Annual Report on Form 10-K for the fiscal year ended October 31, 2016.</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Limoneira Company, a Delaware corporation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its oranges, specialty citrus and other crops to Sunkist-licensed and other third-party packinghouses.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sells all of its avocado production to Calavo Growers, Inc. (“Calavo”), a packing and marketing company listed on NASDAQ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unaudited interim consolidated financial statements include the accounts of the Company and the accounts of all the subsidiaries and investments in which a controlling interest is held by the Company. The unaudited interim consolidated financial statements represent the consolidated balance sheets, consolidated statements of operations, consolidated statements of comprehensive income and consolidated statements of cash flows of the Company and its wholly-owned subsidiaries. The Company’s material subsidiaries include: Limoneira Mercantile, LLC, Windfall Investors, LLC (“Windfall”), Templeton Santa Barbara, LLC, Associated Citrus Packers, Inc. (“Associated”), Limoneira Chile, SpA, Limoneira EA1 Land, LLC and Fruticola Pan de Azucar S.A.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and the effect of variable interest entities, in its consolidation process. These unaudited consolidated financial statements should be read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the notes thereto included in this Quarterly Report on Form 10-Q.</w:t>
      </w:r>
    </w:p>
    <w:p>
      <w:pPr>
        <w:spacing w:after="0" w:line="185" w:lineRule="exact"/>
        <w:rPr>
          <w:sz w:val="20"/>
          <w:szCs w:val="20"/>
          <w:color w:val="auto"/>
        </w:rPr>
      </w:pPr>
    </w:p>
    <w:p>
      <w:pPr>
        <w:ind w:right="786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Foreign Currency Translation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PDA’s functional currency is the Chilean Peso. Its balance sheet is translated to U.S. dollars at exchange rates in effect at the 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 Accounting Standards Update (“ASU”) 2014-09, Revenue from Contracts with Customers (Topic 606).</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2016, the FASB issued ASU 2016-08, Revenue from Contracts with Customers (Topic 606): Principal versus Agent Considerations (Reporting Revenue Gross versus Net). ASU 2016-08 clarifies the implementation guidance on principal versus agent considerations.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2016, the FASB issued, ASU 2016-12, Revenue from Contracts with Customers (Topic 606): Narrow-Scope Improvements and Practical Expedients.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2016-12 provides clarifying guidance in certain narrow areas and adds some practical expedients.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currently anticipates adopting the standard in the first quarter of its fiscal year ending October 31, 2019 and anticipates using the modified retrospective method. The Company has begun to inventory and evaluate its revenue streams and related contracts with customers. The Company continues to evaluate the effect this ASU may have on its consolidated financial statements.</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FASB ASU 2014-15, Presentation of Financial Statements - Going Concern (Subtopic 205-40): Disclosure of Uncertainties about an Entity’s Ability to Continue as a Going Concern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2014-15 is intended to define management’s responsibility to evaluate whether there is substantial doubt about an organization’s ability to continue as a going concern and to provide related footnote disclosures. Under GAAP, financial statements are prepared under the presumption that the reporting organization will continue to operate as a going concern, except in limited circumstances. The going concern basis of accounting is critical to financial reporting because it establishes the fundamental basis for measuring and classifying assets and liabilities. Currently, GAAP lacks guidance about management’s responsibility to evaluate whether there is substantial doubt about the organization’s ability to continue as a going concern or to provide related footnote disclosures. This ASU provides guidance to an organization’s management, with principles and definitions that are intended to reduce diversity in the timing and content of disclosures that are commonly provided by organizations today in the financial statement footnotes.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ASU is effective for annual periods ending after December 15, 2016 and interim periods within annual periods beginning after December 15, 2016. The Company’s adoption of this ASU had no impact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2015-11, Inventory (Topic 330): Simplifying the Measurement of Inventory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in this ASU more closely align the measurement of inventory in GAAP with the measurement of inventory in International Financial Reporting Standards.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 does not expect the adoption of this guidance to have an effect on its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2016-01, Financial Instruments - Overall (Subtopic 825-10): Recognition and Measurement of Financial Assets and Financial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2016-02, Leases (Topic 832)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new guidance, lessees will be required to recognize the following for all leases (with the exception of short-term leases) at the commencement date:</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lease liability, which is a lessee‘s obligation to make lease payments arising from a lease, measured on a discounted basis;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right-of-use asset, which is an asset that represents the lessee’s right to use, or control the use of, a specified asset for the lease term.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new guidance, lessor accounting is largely unchanged. Certain targeted improvements were made to align, where necessary, lessor accounting with the lessee accounting model and Topic 606, Revenue from Contracts with Customers.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new lease guidance simplified the accounting for sale and leaseback transactions primarily because lessees must recognize lease assets and lease liabilities. Lessees will no longer be provided with a source of off-balance sheet financing.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ASU 2016-02 is effective for fiscal years beginning after December 15, 2018, including interim periods within those fiscal years. Early application is permitted.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2019. The Company is evaluating the effect this ASU may have on its consolidated financial statements, however it expects to apply the practical expedients provided in the ASU and to record right-of-use assets and lease obligations for its operating leases that exist on the date of adoption. Note 20 – Commitment and Contingencies in the Notes to Consolidated Financial Statements included in the Company’s fiscal year 2016 Annual Report on Form 10-K describes it’s operating lease arrangements as of October 31, 2016.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2016-05, Derivatives and Hedging (Topic 815): Effect of Derivative Contract Novations on Existing Hedge Accounting Relationships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amendments are effective for public business entities for financial statements issued for fiscal years beginning after December 15, 2016, and interim periods within those fiscal years. Early adoption is permitted, including adoption in an interim period. The Company adopted this ASU during the quarter ended July 31, 2017 in connection with the refinancing of its line of credit arrangements and related interest rates swap as described in Note 13 – Long-Term Debt and Note 14 – Derivative Instrument and Hedging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ASU 2016-09, Compensation - Stock Compensation (Topic 718): Improvements to Employee Share-Based Payment Accounting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the current period tax provision.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180" w:lineRule="exact"/>
        <w:rPr>
          <w:sz w:val="20"/>
          <w:szCs w:val="20"/>
          <w:color w:val="auto"/>
        </w:rPr>
      </w:pPr>
    </w:p>
    <w:p>
      <w:pPr>
        <w:ind w:right="9700" w:firstLine="8"/>
        <w:spacing w:after="0" w:line="503"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210-acre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the nine months ended July 31, 2017 were approximately $57,000, which are included in selling, general and administrative expense.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right="8780" w:firstLine="8"/>
        <w:spacing w:after="0" w:line="533" w:lineRule="auto"/>
        <w:tabs>
          <w:tab w:leader="none" w:pos="1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(continued) Business Combination (continued)</w:t>
      </w: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After the April 30, 2017, interim unaudited financial statements were issued, a third-party valuation of the fair value of the net assets was finalized, which resulted in a $193,000 increase in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Cultural costs</w:t>
            </w:r>
          </w:p>
        </w:tc>
        <w:tc>
          <w:tcPr>
            <w:tcW w:w="4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equipment</w:t>
            </w: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Orchards</w:t>
            </w:r>
          </w:p>
        </w:tc>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Rosales</w:t>
            </w: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1,120,000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Deposit for land purchase</w:t>
            </w:r>
          </w:p>
        </w:tc>
        <w:tc>
          <w:tcPr>
            <w:tcW w:w="3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645,000</w:t>
            </w:r>
          </w:p>
        </w:tc>
      </w:tr>
      <w:tr>
        <w:trPr>
          <w:trHeight w:val="23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196,000</w:t>
            </w: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3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9,451,000</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0"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paid</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Times New Roman" w:cs="Times New Roman" w:eastAsia="Times New Roman" w:hAnsi="Times New Roman"/>
          <w:sz w:val="18"/>
          <w:szCs w:val="18"/>
          <w:color w:val="auto"/>
        </w:rPr>
        <w:t>(122,000)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(1,964,000)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(1,026,000)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(633,000)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 w:lineRule="exact"/>
        <w:rPr>
          <w:sz w:val="20"/>
          <w:szCs w:val="20"/>
          <w:color w:val="auto"/>
        </w:rPr>
      </w:pPr>
    </w:p>
    <w:p>
      <w:pPr>
        <w:ind w:left="540" w:hanging="531"/>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886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7886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900" w:right="239" w:bottom="1440" w:gutter="0" w:footer="0" w:header="0"/>
          <w:type w:val="continuous"/>
        </w:sectPr>
      </w:pP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of $463,000 and net loss of $206,000 of PDA are included in the Company’s consolidated statement of operations from the Acquisition Date to the period ended July 31, 2017.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consolidated statement of operations as if PDA had been included in the consolidated results of the Company for the entire nine months ended July 31, 2017 results in revenue of $105,991,000 and net income of $9,312,000.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Agriculture Property Acquisition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2015, the Company entered into a purchase agreement to acquire 757 acres of lemon, orange and specialty citrus orchards in California’s San Joaquin Valley, for $15,148,000. The orchards were acquired pursuant to purchase options contained in the Sheldon Ranches operating leases. The Company paid a deposit of $50,000 in September 2015 and escrow closed in December 2015, at which time the remaining $15,098,000 was paid. This acquisition was accounted for as an asset purchase.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incurred $111,000 of transaction costs that were capitalized as a component of land value. The purchase price includes the settlement of the balance of the lease obligation as of the closing of the acquisition in the amount of $739,000.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fair value of the assets acquired on the date of acquisition based on a third-party valuation, which is considered a Level 3 fair value measurement under FASB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1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11,560,000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1,800,000</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Orchards</w:t>
            </w:r>
          </w:p>
        </w:tc>
        <w:tc>
          <w:tcPr>
            <w:tcW w:w="5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1,050,000</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58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880" w:type="dxa"/>
            <w:vAlign w:val="bottom"/>
            <w:vMerge w:val="restart"/>
          </w:tcPr>
          <w:p>
            <w:pPr>
              <w:jc w:val="right"/>
              <w:ind w:right="415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as of July 31, 2017 and October 31, 2016, which are measured on a recurring basis during the period, segregated by level within the fair value hierarchy: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July 31, 2017</w:t>
            </w: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22,215,000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22,215,000</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 2016</w:t>
            </w: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17,745,000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17,745,000</w:t>
            </w: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1,151,000</w:t>
            </w:r>
          </w:p>
        </w:tc>
        <w:tc>
          <w:tcPr>
            <w:tcW w:w="11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1,151,000</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marketable securities in Calavo common stock. The Company currently owns 300,000 shares, representing approximately 1.7% of Calavo’s outstanding common stock. These securities are measured at fair value by quoted market prices. Calavo’s stock price at July 31, 2017 and October 31, 2016 was $74.05 and $59.15 per share,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derivative consists of an interest rate swap, the fair value of which is estimated using industry-standard valuation models. Such models project future cash flows and discount the future amounts to a present value using market-based observable inputs.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in the course of its operations to customers,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certain other factors. As of July 31, 2017 and October 31, 2016 the allowances totaled $343,000 and $357,000,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Lemons procured from third-party growers were 37% of lemon supply in the three months ended July 31, 2017. Lemons procured from third-party growers were 42% of lemon supply in the nine months ended July 31, 2017, of which one third-party grower was 14% of lemon supply. The Company sells all of its avocado production to Calavo.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Limoneira Company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Prepaid supplies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supplier advances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expense, water assessments and other</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Real Estate Development Assets</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development assets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Areas I and II</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71,224,000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Templeton Santa Barbara, LLC</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11,039,000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East Areas I and II</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year 2005, the Company began capitalizing the costs of two real estate development projects east of Santa Paula, California, for the development of 550 acres of land into residential units, commercial buildings and civic facilities. During the three months ended July 31, 2017 and 2016, the Company capitalized $1,415,000 and $1,229,000, respectively, of costs related to these real estate development projects. During the nine months ended July 31, 2017 and 2016, the Company capitalized $5,127,000 and $5,508,000, respectively, of costs related to these real estate development projects. Additionally, in relation to these projects, the Company incurred expenses of $2,000 and $3,000 in the three-months ended July 31, 2017 and 2016, respectively and $39,000 and $1,158,000 in the nine months ended July 31, 2017 and 2016, respectively.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Transaction Date. The Company received net cash of approximately $18,800,000 after transaction costs of approximately $1,200,000, which were expensed in the first quarter of fiscal year 2016.</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the Transaction Date, the Company incurred a Success Fee with Parkstone Companies, Inc., in the amount of $2,100,000, which was paid on January 28, 2016 and capitalized as a component of the Company’s investment in the East Area I.</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right="7860" w:firstLine="8"/>
        <w:spacing w:after="0" w:line="503" w:lineRule="auto"/>
        <w:tabs>
          <w:tab w:leader="none" w:pos="1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Development Assets (continued) East Areas I and II (continued)</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on the Transaction Date, the Joint Venture and the Company entered into a Lease Agreement (the "Lease Agreement"), pursuant to which the Joint Venture will lease certain of the contributed East Area I property back to the Company for continuation of agricultural operations, and certain other permitted uses, on the property until the Joint Venture requires the property for development. The Lease will terminate in stages corresponding to the Joint Venture's development of the property, which is to occur in stages pursuant to a phased master development plan. In any event, the Lease will terminate five years from the Transaction Date.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sale of an interest in the LLC in which the Company’s contributed property comprises the LLC’s primary asset, combined with the Lease Agreement is considered a sale-leaseback transaction under </w:t>
      </w:r>
      <w:r>
        <w:rPr>
          <w:rFonts w:ascii="Times New Roman" w:cs="Times New Roman" w:eastAsia="Times New Roman" w:hAnsi="Times New Roman"/>
          <w:sz w:val="18"/>
          <w:szCs w:val="18"/>
          <w:i w:val="1"/>
          <w:iCs w:val="1"/>
          <w:color w:val="auto"/>
        </w:rPr>
        <w:t>FASB ASC 840, Leases</w:t>
      </w:r>
      <w:r>
        <w:rPr>
          <w:rFonts w:ascii="Times New Roman" w:cs="Times New Roman" w:eastAsia="Times New Roman" w:hAnsi="Times New Roman"/>
          <w:sz w:val="18"/>
          <w:szCs w:val="18"/>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three months ended July 31, 2017 and 2016, the Company recorded $1,236,000 and $758,000, respectively, of real estate development costs and corresponding increases in the sale-leaseback deferral to recognize real estate development costs capitalized by the LLC. During the nine months ended July 31, 2017 and 2016, the Company recorded $4,216,000 and $2,349,000,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LLC Agreement, the Company is to be reimbursed $250,000 by the Joint Venture on February 1, 2018 for Initial Public Safety Facility Payments made to the City of Santa Paula in October 2015. This amount is included in prepaid expenses and other current assets in the consolidated balance sheets. Additionally, beginning March 2016, the Company leases office space to Lewis and received rental income of $12,000 and $7,000 in the nine months ended July 31, 2017 and 2016,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the Joint Venture to be a Variable Interest Entity (“VIE”) under ASC 810,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Joint Venture’s results of operations and distributions received by the Company from the LLC will be accounted for under the equity method. The Company made contributions of $3,000,000 and $825,000 to the LLC in the three months ended July 31, 2017 and 2016, respectively, and $7,450,000 and $1,275,000 in the nine months ended July 31, 2017 and 2016, respectively. Additionally, the Company recorded an equity loss of $54,000 in the nine months ended July 31, 2017 related to the Joint Venture.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right="7860" w:firstLine="8"/>
        <w:spacing w:after="0" w:line="503"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Development Assets (continued) East Areas I and II (continued)</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facilitating the annexation of East Area I into the City of Santa Paula, during February 2014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Templeton Santa Barbara,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three real estate development parcels within the Templeton Santa Barbara, LLC project are described as Centennial Square (“Centennial”), The Terraces at Pacific Crest (“Pacific Crest”), and Sevilla. The net carrying values of Centennial, Pacific Crest and Sevilla at July 31, 2017 were $2,983,000, $3,250,000 and $4,686,000, respectively, and as of October 31, 2016 were $2,983,000, $3,370,000 and $4,686,000, respectively. These projects were idle during the nine months ended July 31, 2017 and 2016 and, as such, no costs were capitalized. Additionally, in relation to these projects, the Company incurred expenses of $45,000 and $48,000 in the three months ended July 31, 2017 and 2016, respectively, and $133,000 and $130,000 in the nine months ended July 31, 2017 and 2016, respectively.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27, 2017, the Company entered into an agreement to sell its Centennial property for $3,200,000, which based on estimated transaction costs will result in a gain of approximately $100,000. Buyer due diligence was completed in August 2017 and escrow is expected to close in September 2017. Centennial is classified as held for sale and included in other assets at July 31, 2017. In June 2017, the Company accepted an offer on its Pacific Crest property for a sales price of $3,500,000, which after estimated transaction costs, is anticipated to result in a loss of approximately $120,000. Such loss was recognized as an impairment in the second quarter of fiscal year 2017. The transaction is subject to buyer due diligence. In August 2017, the Company entered into an agreement to sell the commercial portion of its Sevilla property for a sales price of $1,452,000, which after estimated closing costs is anticipated to result in a gain of approximately $40,000. The transaction is subject to buyer due diligence and is expected to close in October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Equity in Investments</w:t>
            </w:r>
          </w:p>
        </w:tc>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investments consist of the following:</w:t>
            </w: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Limoneira Lewis Community Builders, LLC</w:t>
            </w:r>
          </w:p>
        </w:tc>
        <w:tc>
          <w:tcPr>
            <w:tcW w:w="2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Limco Del Mar, Ltd.</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Rosales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Romney Property Partnership</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Rosales equity investment includes the Company’s 35% interest acquired in fiscal year 2014 and an additional 12% interest acquired with the purchase of PDA as described in Note 3 - Acquisitions. The Company’s investment in Rosales is accounted for using the equity method of accounting based on the sum of its direct and indirect ownership.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Calavo Growers,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marketable securities investment as available-for-sale.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Calavo Growers, Inc.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These gains are included in other income in the consolidated financial statements of operations. The Company continues to own 300,000 shares of Calavo common stock.</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in the fair value of the available-for-sale securities result in unrealized holding gains or losses for the remaining shares held by the Company. The Company recorded unrealized holding gains of $2,535,000 ($1,534,000 net of tax) and $2,583,000 ($1,569,000 net of tax), during the three months ended July 31, 2017 and 2016, respectively. The Company recorded unrealized holding gains of $4,470,000 ($2,707,000 net of tax) and $4,657,000 ($2,829,000 net of tax), during the nine months ended July 31, 2017 and 2016, respectively. Additionally, the Company recorded reclassification of unrealized gain on security sold of $2,830,000 ($1,719,000 net of tax) during the three and nine months ended July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Other Assets</w:t>
            </w:r>
          </w:p>
        </w:tc>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mutual water companies</w:t>
            </w:r>
          </w:p>
        </w:tc>
        <w:tc>
          <w:tcPr>
            <w:tcW w:w="4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4,679,000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Acquired water and mineral rights</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development held for sale</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Deposit for land purchase</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assets and other</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Note receivable</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funds and memberships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Acquired trade names and trademarks, net</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Accrued Liabilities</w:t>
            </w: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gridSpan w:val="2"/>
            <w:vMerge w:val="continue"/>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4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and deposits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supplier payables</w:t>
            </w:r>
          </w:p>
        </w:tc>
        <w:tc>
          <w:tcPr>
            <w:tcW w:w="4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top w:val="single" w:sz="8" w:color="CCEEFF"/>
              <w:bottom w:val="single" w:sz="8" w:color="CCEEFF"/>
            </w:tcBorders>
            <w:shd w:val="clear" w:color="auto" w:fill="CCEEFF"/>
          </w:tcPr>
          <w:p>
            <w:pPr>
              <w:spacing w:after="0"/>
              <w:rPr>
                <w:sz w:val="19"/>
                <w:szCs w:val="19"/>
                <w:color w:val="auto"/>
              </w:rPr>
            </w:pPr>
          </w:p>
        </w:tc>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20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500" w:type="dxa"/>
            <w:vAlign w:val="bottom"/>
          </w:tcPr>
          <w:p>
            <w:pPr>
              <w:ind w:left="4900"/>
              <w:spacing w:after="0"/>
              <w:rPr>
                <w:sz w:val="20"/>
                <w:szCs w:val="20"/>
                <w:color w:val="auto"/>
              </w:rPr>
            </w:pPr>
            <w:r>
              <w:rPr>
                <w:rFonts w:ascii="Times New Roman" w:cs="Times New Roman" w:eastAsia="Times New Roman" w:hAnsi="Times New Roman"/>
                <w:sz w:val="18"/>
                <w:szCs w:val="18"/>
                <w:b w:val="1"/>
                <w:bCs w:val="1"/>
                <w:color w:val="auto"/>
              </w:rPr>
              <w:t>Limoneira Company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Long-Term Debt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is comprised of the following:</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Farm Credit West revolving and non-revolving lines of credit: the interest rate is variable based on the one-month</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London Interbank Offered Rate (“LIBOR”), which was 1.22% at July 31, 2017, plus 1.85%. Interest is payable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and the principal is due in full on July 1, 2022.</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69,478,000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Rabobank revolving credit facility: the loan was repaid in June 2017 with proceeds from the Farm Credit West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and non-revolving lines of credit as noted below.</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59,606,000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Farm Credit West term loan: the interest rate is variable and was 3.70% at July 31, 2017.  The loan is payable in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 installments through November 2022.</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3,292,000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3,701,000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Farm Credit West term loan: the interest rate is variable and was 3.70% at July 31, 2017. The loan is payable in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installments through October 2035.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1,178,000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1,213,000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Farm Credit West term loan: the interest rate is fixed at 4.70%. The loan is payable in monthly installments though</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2036.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9,585,000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9,822,000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Farm Credit West term loan: the interest rate is fixed at 3.62% until March 2021, becoming variable for the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the loan. The loan is payable in monthly installments though March 2036.</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7,151,000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7,349,000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Wells Fargo term loan: the interest rate is fixed at 3.58%. The loan is payable in monthly installments through</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2023.</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8,063,000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9,152,000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Banco de Chile term loan: the interest rate is fixed at 6.48%. The loan is payable in annual installments through</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2,022,000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100,769,000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90,843,000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financing costs, net of accumulated amortization</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w:t>
            </w: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100,573,000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2,935,000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97,638,000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88,164,000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20, 2017, the Company entered into a Master Loan Agreement (the “Loan Agreement”) with Farm Credit West, FLCA (“Farm Credit West”) which includes a Revolving Credit Supplement and a Non-revolving Credit Supplement (the “Supplements”).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Supplements provide aggregate borrowing capacity of $100,000,000 comprised of $60,000,000 under the Revolving Credit Supplement and $40,000,000 under the Non-Revolving Credit Supplement. The interest rate for any amount outstanding under the Supplements is based on the one month LIBOR rate plus an applicable margin, which is subject to adjustment on a monthly basis. The applicable margin ranges from 1.60% to 2.35% depending on the ratio of current assets plus the remaining available commitment divided by current liabilities. On July 1, 2018, and on each one year anniversary thereafter, the Company has the option to convert the interest rate in use under each Supplement from the preceding LIBOR-based calculation to a variable interest rate, or the reverse, as applicable. Any amounts outstanding under the Supplements are due and payable in full on July 1, 2022. The Company may prepay any amounts outstanding under the Supplements without penalty.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Debt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 Proceeds from the Supplements were used to pay down all the remaining outstanding indebtedness under the revolving credit facility the Company had with Rabobank, N.A.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Farm Credit West credit facility provides for maximum borrowings of $100,000,000 and the borrowing capacity based on collateral value was $100,000,000 at July 31, 2017.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paid and capitalized debt financing costs of $108,000 related to the Loan Agreement and expensed $45,000 of capitalized debt financing costs related to the Rabobank revolving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20, 2016, the Company entered into a $10,000,000 term loan with Wells Fargo Equipment Finance, Inc., which is secured by certain equipment associated with the Company’s new packing facilities. The loan includes a prepayment penalty of 2% of the unpaid balance for the first eighteen months, with no prepayment penalty thereafter.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2016, the Company entered into a Promissory Note and Loan Agreement with Farm Credit West. The loan agreement provides for a term loan in the amount of $10,000,000 and a term loan in the amount of $7,500,000 (the “Term Loans”). The proceeds from the Term Loans were used to repay the Farm Credit West Line of Credit and pay down outstanding indebtedness.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Banco de Chile term loan was assumed with the acquisition of PDA in February 2017. The interest rate is fixed at 6.48%. The loan is payable in eight annual principal and interest payments beginning January 2018. This loan is unsecured.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non-bearing orchards, real estate development projects and significant construction in progress. The Company capitalized interest of $551,000 and $444,000 during the three months ended July 31, 2017 and 2016, respectively, and $1,424,000 and $1,448,000 during the nine months ended July 31, 2017 and 2016, respectively. Capitalized interest is included in property, plant and equipment and real estate development in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Instrument and Hedging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interest rate swaps to minimize the risks and costs associated with its financing activities. Derivative financial instruments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 Liability</w:t>
            </w:r>
          </w:p>
        </w:tc>
      </w:tr>
      <w:tr>
        <w:trPr>
          <w:trHeight w:val="187"/>
        </w:trPr>
        <w:tc>
          <w:tcPr>
            <w:tcW w:w="56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October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00" w:type="dxa"/>
            <w:vAlign w:val="bottom"/>
          </w:tcPr>
          <w:p>
            <w:pPr>
              <w:spacing w:after="0"/>
              <w:rPr>
                <w:sz w:val="16"/>
                <w:szCs w:val="16"/>
                <w:color w:val="auto"/>
              </w:rPr>
            </w:pPr>
          </w:p>
        </w:tc>
      </w:tr>
      <w:tr>
        <w:trPr>
          <w:trHeight w:val="238"/>
        </w:trPr>
        <w:tc>
          <w:tcPr>
            <w:tcW w:w="5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178"/>
        </w:trPr>
        <w:tc>
          <w:tcPr>
            <w:tcW w:w="56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Pay fixed-rate, receive floating-rate forward interest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swap, beginning July 2013 until June 2018</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40,000,000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40,000,000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1,151,000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Derivative Instrument and Hedging Activities (continued)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interest rate swap qualifies as a cash flow hedge and the fair value liability is included in fair value of derivative instrument, other long-term liabilities and related accumulated other comprehensive income at July 31, 2017 and October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Basic and Diluted Net Income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calculated using the weighted-average number of common shares outstanding during the period without consideration of the dilutive effect of conversion of preferred stock. Diluted net income per common share is calculated using the weighted-average number of common shares outstanding during the period plus the dilutive effect of conversion of preferred stock. The computations for basic and diluted net income per common share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Numerator: Net income applicable to common stock</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7,652,000</w:t>
            </w:r>
          </w:p>
        </w:tc>
        <w:tc>
          <w:tcPr>
            <w:tcW w:w="120" w:type="dxa"/>
            <w:vAlign w:val="bottom"/>
          </w:tcPr>
          <w:p>
            <w:pPr>
              <w:spacing w:after="0"/>
              <w:rPr>
                <w:sz w:val="18"/>
                <w:szCs w:val="18"/>
                <w:color w:val="auto"/>
              </w:rPr>
            </w:pP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10,573,000</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8,810,000</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14,396,000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14,178,000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14,287,000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Net income for diluted EPS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7,777,000</w:t>
            </w: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10,729,000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8,966,000</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8,039,000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Weighted average common shares–basic</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14,396,000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14,287,000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preferred stock</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Unvested stock-based compensation awards that contain non-forfeitable rights to dividends as participating shares are included in computing earnings per share using the two-class method. The Company’s unvested, restricted stock awards qualify as participating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rents certain of its residential housing assets to employees on a month-to-month basis. The Company recorded $180,000 and $191,000 of rental revenue from employees in the three months ended July 31, 2017 and 2016, respectively. The Company recorded $548,000 and $561,000 of rental revenue from employees in the nine months ended July 31, 2017 and 2016, respectively. There were no rental payments due from employees at July 31, 2017 or October 31, 2016.</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$207,000 and $292,000 in the three months ended July 31, 2017 and 2016, respectively. The Company recorded capital contributions and purchased water and water delivery services from such mutual water companies, in aggregate, of $925,000 and $1,034,000 in the nine months ended July 31, 2017 and 2016, respectively. Capital contributions are included in other assets in the Company’s consolidated balance sheets and purchases of water and water delivery services are included in agribusiness expense in the Company’s consolidated statements of operations. Payments due to the mutual water companies were, in aggregate, $67,000 and $131,000 at July 31, 2017 and October 31, 2016,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representation on the board of directors of a non-profit cooperative association that provides pest control services for the agricultural industry. The Company purchased services and supplies of $373,000 and $312,000 from the association in the three months ended July 31, 2017 and 2016, respectively. The Company purchased services and supplies of $1,354,000 and $1,202,000 from the association in the nine months ended July 31, 2017 and 2016, respectively. Such amounts are included in agribusiness expense in the Company’s consolidated statements of operations. Payments due to the association were $72,000 and $87,000 at July 31, 2017 and October 31, 2016, respectively.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an investment in and representation on the board of directors of Calavo and Calavo has an investment in and representation on the board of directors of the Company. The Company recorded dividend income of $270,000 and $288,000 in the nine months ended July 31, 2017 and 2016, respectively, on its investment in Calavo, which is included in other income (expense), net in the Company’s consolidated statements of operations. The Company had $7,490,000 and $9,571,000 of avocado sales to Calavo for the three months ended July 31, 2017 and 2016, respectively. The Company had $9,519,000 and $10,759,000 of avocado sales to Calavo for the nine months ended July 31, 2017 and 2016, respectively. Such amounts are included in agribusiness revenues in the Company’s consolidated statements of operations. There was $1,654,000 and zero receivable by the Company from Calavo at July 31, 2017 and October 31, 2016, respectively. Additionally, the Company leases office space to Calavo and received rental income of $72,000 and $70,000 in the three months ended July 30, 2017 and 2016, respectively, and $214,000 and $208,000 in the nine months ended July 31, 2017 and 2016, respectively. Such amounts are included in rental operations revenues in the Company’s consolidated statements of operations. The Company purchased zero and $368,000 of packed avocados and lemons to sell from Calavo in the three months ended July 31, 2017 and 2016, respectively and zero and $405,000 in the nine months ended July 31, 2017 and 2016, respectively. There was zero due to Calavo at July 31, 2017 and October 31, 2016, respectively.</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members of the Company’s board of directors market lemons through the Company pursuant to its customary marketing agreements. During the three months ended July 31, 2017 and 2016, the aggregate amount of lemons procured from entities owned or controlled by members of the board of directors was $1,135,000 and $1,271,000, respectively. During the nine months ended July 31, 2017 and 2016, the aggregate amount was $2,111,000 and $1,899,000, respectively. Such amounts are included in agribusiness expense in the Company’s consolidated statements of operations. Payments due to these board members were $978,000 and $877,000 at July 31, 2017 and October 31, 2016, respectively. Additionally, the Company leases approximately 31 acres of orchards from entities affiliated with a member on the board of directors and incurred $3,000 and $96,000 of lease expense related to these leases in the three months ended July 31, 2017 and 2016, respectively and $15,000 and $108,000 in the nine months ended July 31, 2017 and 2016,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$30,000 and $11,000 to the Company during the three months ended July 31, 2017 and 2016, respectively. The Company received services from this law firm of $71,000 and $26,000 during the nine months ended July 31, 2017 and 2016, respectively. The Company incurred lease and farming expenses of $17,000 and zero in the three months ended July 31, 2017 and 2016, respectively, and $113,000 and $87,000 in the nine months ended July 31, 2017 and 2016, respectively, which are recorded in agribusiness expense in the Company’s consolidated statements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Payments due to Fenner were $45,000 and $25,000 at July 31, 2017 and October 31, 2016, respectively.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representation on the board of directors of Colorado River Growers, Inc. (“CRG”), a non-profit cooperative association of fruit growers engaged in the agricultural harvesting business in Yuma County, Arizona. The Company paid no harvest costs to CRG in the three months ended July 31, 2017 and 2016, respectively. The Company paid harvest costs to CRG of $2,825,000 and $2,888,000 for the nine months ended July 31, 2017 and 2016, respectively. Such amounts are included in agribusiness expense in the Company’s consolidated statements of operations. Additionally, Associated provided no harvest management and administrative services to CRG in the three months ended July 31, 2017 and 2016, respectively. Associated provided harvest management and administrative services to CRG in the amount of $303,000 and $274,000 in the nine months ended July 31, 2017 and 2016, respectively. Such amounts are included in agribusiness revenues in the Company’s consolidated statements of operations. There was zero and $181,000 due to Associated from CRG at July 31, 2017 and October 31, 2016, respectively, which is included in accounts receivable in the Company’s consolidated balance sheets.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 (continued)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representation on the board of directors of Yuma Mesa Irrigation and Drainage District (“YMIDD”). In December 2013, Associated entered into an agreement, as amended in December 2014 and 2015, with the YMIDD to participate in a Pilot Fallowing Program in which Associated agreed to forego its water allocation for approximately 300 acres of land in exchange for $750 per acre through December 31, 2016. In relation to this program, during the three months ended July 31, 2017 and 2016 the Company recorded revenues of zero and $50,000, respectively. In relation to this program, during the nine months ended July 31, 2017 and 2016 the Company recorded revenues of $34,000 and $151,000, respectively. These amounts are included in other income, net in the Company’s consolidated statements of operations. Additionally, the Company purchased water in the amounts of zero and $6,000 from YMIDD during the three months ended July 31, 2017 and 2016, respectively. The Company purchased water in the amounts of $67,000 and $76,000 from YMIDD during the nine months ended July 31, 2017 and 2016, respectively. Such amounts are included in agribusiness expenses in the Company’s consolidated statements of operations. There were no amounts receivable from or payments due to YMIDD at July 31, 2017 and October 31, 2016.</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$35,000 and $44,000 in the three months ended July 31, 2017 and 2016 and $104,000 and $111,000 in the nine months ended July 31, 2017 and 2016, respectively. Del Mar markets lemons through the Company pursuant to its customary marketing agreements and the amount of lemons procured from Del Mar was $1,052,000 and $1,368,000 in the three months ended July 31, 2017 and 2016, respectively and $1,714,000 and $1,710,000 in the nine months ended July 31, 2017 and 2016, respectively. Such amounts are included in agribusiness expenses in the Company’s consolidated statements of operations. Fruit proceeds due to Del Mar were $1,008,000 and $791,000 at July 31, 2017 and October 31, 2016, respectively and are included in grower’s payable in the Company’s consolidated balance sheets. In the three months ended July 31, 2017 and 2016, the Company received cash distributions of $176,000 and $220,000 and recorded equity in earnings of this investment of $107,000 and $153,000, respectively. In the nine months ended July 31, 2017 and 2016, the Company received cash distributions of $176,000 and $220,000 and recorded equity in earnings of this investment of $244,000 and $294,000, respectively.</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$428,000 and $216,000 of lemon sales to Rosales in the three months ended July 31, 2017 and 2016, respectively. The Company recognized $1,038,000 and $268,000 of lemon sales to Rosales in the nine months ended July 31, 2017 and 2016, respectively. Additionally, PDA recognized $430,000 of lemon sales to Rosales from the Acquisition Date to the period ended July 31, 2017. Such amounts are recorded in agribusiness revenues in the Company’s consolidated statements of operations. In the three months ended July 31, 2017, and 2016, the aggregate amount of lemons procured from Rosales was $ 1,348,000 and $467,000, respectively. In the nine months ended July 31, 2017 and 2016 the aggregate amount procured was $1,590,000 and $763,000, respectively. Amounts due from Rosales were zero at July 31, 2017 and October 31, 2016, respectively. The Company recorded equity in earnings of this investment of $70,000 and $135,000 in the three months ended July 31, 2017 and 2016, respectively and amortization of fair value basis differences of $102,000 and $52,000 in the three months ended July 31, 2017 and 2016, respectively. The Company recorded equity in earnings of this investment of $24,000 and $68,000 in the nine months ended July 31, 2017 and 2016, respectively and amortization of fair value basis differences of $206,000 and $156,000 in the nine months ended July 31, 2017 and 2016, respectively. The Company received cash distributions from this equity investment of $134,000 and $56,000 in the nine months ended July 31, 2017 and 2016,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estimated effective tax rate for the nine months ended July 31, 2017 is approximately 39.2%, inclusive of certain discrete items. The Company has no uncertain tax positions as of July 31, 2017.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related to income tax matters as a component of income tax expense. The Company has not accrued any interest and penalties associated with uncertain tax positions as of July 31, 2017.</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Retirement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Limoneira Company Retirement Plan (the “Plan”) is a noncontributory, defined benefit, single employer pension plan, which provides retirement benefits for all eligible employees of the Company.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funded consistent with the funding requirements of federal law and regulations. There were funding contributions of $150,000 and $250,000 during the three months ended July 31, 2017 and 2016 and $575,000 and $375,000 during the nine months ended July 31, 2017 and 2016,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periodic pension costs for the Plan were as follows: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0" w:type="dxa"/>
            <w:vAlign w:val="bottom"/>
          </w:tcPr>
          <w:p>
            <w:pPr>
              <w:spacing w:after="0"/>
              <w:rPr>
                <w:sz w:val="24"/>
                <w:szCs w:val="24"/>
                <w:color w:val="auto"/>
              </w:rPr>
            </w:pPr>
          </w:p>
        </w:tc>
        <w:tc>
          <w:tcPr>
            <w:tcW w:w="284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76,000</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31,000</w:t>
            </w:r>
          </w:p>
        </w:tc>
        <w:tc>
          <w:tcPr>
            <w:tcW w:w="2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Other Long-Term Liabilities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pension liability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5,099,000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instrument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gain and other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and/or operating results. Legal claims are inherently uncertain, however, and it is possible that the Company’s business, financial condition, liquidity and/or operating results could be adversely affected in the future by legal proceedings.</w:t>
      </w:r>
    </w:p>
    <w:p>
      <w:pPr>
        <w:spacing w:after="0" w:line="176" w:lineRule="exact"/>
        <w:rPr>
          <w:sz w:val="20"/>
          <w:szCs w:val="20"/>
          <w:color w:val="auto"/>
        </w:rPr>
      </w:pPr>
    </w:p>
    <w:p>
      <w:pPr>
        <w:ind w:right="8100" w:firstLine="8"/>
        <w:spacing w:after="0" w:line="533" w:lineRule="auto"/>
        <w:tabs>
          <w:tab w:leader="none" w:pos="27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Series B Convertible Preferred Stock</w:t>
      </w:r>
    </w:p>
    <w:p>
      <w:pPr>
        <w:spacing w:after="0" w:line="282"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the Company issued 30,000 shares of Series B Convertible Preferred Stock at $100.00 par value (the “Series B Stock”).</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right="7180" w:firstLine="8"/>
        <w:spacing w:after="0" w:line="533" w:lineRule="auto"/>
        <w:tabs>
          <w:tab w:leader="none" w:pos="27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 Convertible Preferred Stock (continued)</w:t>
      </w:r>
    </w:p>
    <w:p>
      <w:pPr>
        <w:spacing w:after="0"/>
        <w:rPr>
          <w:sz w:val="20"/>
          <w:szCs w:val="20"/>
          <w:color w:val="auto"/>
        </w:rPr>
      </w:pPr>
      <w:r>
        <w:rPr>
          <w:rFonts w:ascii="Times New Roman" w:cs="Times New Roman" w:eastAsia="Times New Roman" w:hAnsi="Times New Roman"/>
          <w:sz w:val="18"/>
          <w:szCs w:val="18"/>
          <w:color w:val="auto"/>
        </w:rPr>
        <w:t>Voting Rights: Each shareholder of Series B Stock is entitled to ten votes on all matters submitted to a vote of the stockholders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2017, 3,042 shares of Series B preferred stock were converted into 38,025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2017, 10,453 shares of Series B preferred stock were converted into 130,662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2016, 715 shares of Series B preferred stock were converted into 8,937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2016, 500 shares of Series B preferred stock were converted into 6,250 shares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2015, 500 shares of Series B preferred stock were converted into 6,250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B-2 Convertible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and April of 2014, pursuant to a Series B-2 Stock Purchase Agreement dated March 21, 2014, the Company issued an aggregate of 9,300 shares of Series B-2, 4% voting preferred stock with a par value of $100.00 per share (the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ind w:right="7180" w:firstLine="8"/>
        <w:spacing w:after="0" w:line="533" w:lineRule="auto"/>
        <w:tabs>
          <w:tab w:leader="none" w:pos="27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Series B and Series B-2 Preferred Stock (continued) Series B-2 Convertible Preferred Stock (continued)</w:t>
      </w:r>
    </w:p>
    <w:p>
      <w:pPr>
        <w:jc w:val="both"/>
        <w:spacing w:after="0" w:line="261" w:lineRule="auto"/>
        <w:rPr>
          <w:sz w:val="20"/>
          <w:szCs w:val="20"/>
          <w:color w:val="auto"/>
        </w:rPr>
      </w:pPr>
      <w:r>
        <w:rPr>
          <w:rFonts w:ascii="Times New Roman" w:cs="Times New Roman" w:eastAsia="Times New Roman" w:hAnsi="Times New Roman"/>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Rights: Each share of Series B-2 Preferred Stock is entitled to one vote on all matters submitted to a vote of the Company’s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 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two-year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44,998 shares of common stock with a per share value of $19.92 were granted to management under the Stock Plan for fiscal year 2016 performance, resulting in total compensation expense of approximately $896,000, with $544,000 recognized in the year ended October 31, 2016 and the balance to be recognized over the next two years as the shares vest. In December 2015, 27,424 shares of common stock with a per share value of $15.29 were granted to management under the Stock Plan for fiscal year 2015 performance, resulting in total compensation expense of approximately $410,000, with $130,000 recognized in the year ended October 31, 2015 and the balance to be recognized over the next two years as the shares vest. In December 2014, 42,085 shares of common stock with a per share value of $25.35 were granted to management under the Stock Plan for fiscal year 2014 performance, resulting in a total compensation expense of approximately $1,071,000, with $367,000 recognized in the year ended October 31, 2014 and the balance recognized over the next two years as the shares vested.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Stock-based Compensation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recognized over the performance and vesting periods as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Performance</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4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Year</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Granted</w:t>
            </w:r>
          </w:p>
        </w:tc>
        <w:tc>
          <w:tcPr>
            <w:tcW w:w="400" w:type="dxa"/>
            <w:vAlign w:val="bottom"/>
          </w:tcPr>
          <w:p>
            <w:pPr>
              <w:spacing w:after="0"/>
              <w:rPr>
                <w:sz w:val="19"/>
                <w:szCs w:val="19"/>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42,085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36,000</w:t>
            </w:r>
          </w:p>
        </w:tc>
        <w:tc>
          <w:tcPr>
            <w:tcW w:w="10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108,000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96,000</w:t>
            </w:r>
          </w:p>
        </w:tc>
      </w:tr>
      <w:tr>
        <w:trPr>
          <w:trHeight w:val="216"/>
        </w:trPr>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44,998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64,000</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379,000</w:t>
            </w:r>
          </w:p>
        </w:tc>
      </w:tr>
      <w:tr>
        <w:trPr>
          <w:trHeight w:val="230"/>
        </w:trPr>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465,000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January 31, 2017 and 2016 members of management exchanged 14,773 and 12,433 shares, respectively of common stock with fair value of $294,000 and $190,000, respectively, at the date of the exchanges, for the payment of payroll taxes associated with the vesting of shares under the Company’s stock-based compensation programs.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January 2017 and 2016, 18,956 and 21,905 shares, respectively, of common stock were granted to the Company’s non-employee directors under the Company’s stock-based compensation plans. The Company recognized $323,000 and $273,000 of stock-based compensation to non-employee directors during the nine months ended July 31,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four reportable operating segments; lemon operations, other agribusiness, rental operations and real estate development. The reportable operating segments of the Company are strategic business units with different products and services, distribution processes and customer bases. The lemon operations segment includes lemons sales, farming, harvesting and lemon packing. The other agribusiness segment includes sales, farming and harvesting of avocados, oranges and specialty citrus. The lemon operations and other agribusiness segments are seasonal in nature and interim results should not be taken as indicative of the estimated results for a full fiscal year. The rental operations segment includes residential and commercial rental operations, leased land and organic recycling. The real estate development segment includes real estate development operations. The Company does not separately allocate depreciation and amortization to its lemon operations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2016, the Company repurposed Windfall from a real estate development project to an agricultural ranch and reclassified $26,779,000 of real estate development assets to property, plant and equipment. Windfall was reclassified to the other agribusiness reportable segment from the real estate development segment concurrent with the first harvest of wine grapes in October 2016. Windfall has had limited real estate development activities in recent years, with operating costs consisting primarily of property maintenance and taxes being the main components of its operating results. Operating loss of $135,000 and $507,000 associated with Windfall are included in the real estate development segment operating loss for the three and nine months ended July 31, 2016,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information for the three months ended July 31, 2017 and 2016:</w:t>
            </w: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Lemon operations:</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29,995,000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26,209,000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17,581,000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15,614,000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agribusiness: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9,055,000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4,054,000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and other agribusiness depreciation and amortization</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1,387,000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agribusiness operating income</w:t>
            </w:r>
          </w:p>
        </w:tc>
        <w:tc>
          <w:tcPr>
            <w:tcW w:w="3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1,345,000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development:</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(3,229,000)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revenues by category, by segment for the three months ended July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operations revenues</w:t>
            </w:r>
          </w:p>
        </w:tc>
        <w:tc>
          <w:tcPr>
            <w:tcW w:w="4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29,995,000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Navel and Valencia oranges</w:t>
            </w: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4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45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Agribusiness revenues</w:t>
            </w: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and commercial rentals</w:t>
            </w: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Leased land</w:t>
            </w:r>
          </w:p>
        </w:tc>
        <w:tc>
          <w:tcPr>
            <w:tcW w:w="4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recycling and other</w:t>
            </w:r>
          </w:p>
        </w:tc>
        <w:tc>
          <w:tcPr>
            <w:tcW w:w="4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Rental operations revenues</w:t>
            </w:r>
          </w:p>
        </w:tc>
        <w:tc>
          <w:tcPr>
            <w:tcW w:w="4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development revenues</w:t>
            </w:r>
          </w:p>
        </w:tc>
        <w:tc>
          <w:tcPr>
            <w:tcW w:w="4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50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Limoneira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tc>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information for the nine months ended July 31, 2017 and 2016:</w:t>
            </w: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Lemon operations: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82,154,000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68,852,000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58,180,000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agribusiness: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19,082,000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13,548,000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and other agribusiness depreciation and amortization</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4,093,000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agribusiness operating income</w:t>
            </w: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4,144,000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development:</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(10,192,000)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14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44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9"/>
              </w:rPr>
              <w:t>Limoneira Company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Segment Information (continued)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revenues by category, by segment for the nine months ended July 31, 2017 and 2016: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 operations revenues</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82,154,000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68,852,000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Avocados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9,519,000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Navel and Valencia oranges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6,539,000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agribusiness revenues</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19,082,000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Agribusiness revenues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101,236,000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and commercial rentals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2,688,000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Leased land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recycling and other</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Rental operations revenues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Real estate development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subsequent to July 31, 2017 through the filing date to assess the need for potential recognition or disclosure in this Quarterly Report on Form 10-Q.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Company was incorporated in Delaware in 1990 as the successor to several businesses with operations in California since 1893. We also have agricultural operations in Yuma, Arizona, through our subsidiary, Associated Citrus Packers Inc. (“Associated”). We have a 47% interest in Rosales S.A., a citrus packing, marketing and sales business and a 90% interest in Fruticola Pan de Azucar S.A. (“PDA”), a lemon and orange orchard, both located near La Serena, Chile.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agribusiness and real estate development company founded and based in Santa Paula, California, committed to responsibly using and managing our approximately 11,200 acres of land, water resources and other assets to maximize long-term stockholder value. Our current operations consist of fruit production, sales and marketing, real estate development and capital investment activities.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Bernardino, and San Luis Obispo Counties in California and in Yuma County in Arizona, which plantings consist of approximately 4,600 acres of lemons, 1,000 acres of avocados, 1,400 acres of oranges and 900 acres of specialty citrus and other crops. With the acquisition of PDA, we have approximately 200 acres of lemons and orange plantings in Chile. We also operate our own packinghouses in Santa Paula, California and Yuma, Arizona, where we process, pack and sell lemons that we grow as well as lemons grown by others.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and irrigation districts in Tulare County, which is in California’s San Joaquin Valley. We also use ground water from the Cadiz Valley Basin in California’s San Bernardino County and we use surface water in Arizona from the Colorado River through the Yuma Mesa Irrigation and Drainage District (“YMIDD”). We use ground water for our PDA farming operations in La Serena, Chile.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than 100 years, we have been making strategic investments in California agricultural and real estate development. We currently have four active real estate development projects in California. These projects include multi-family housing and single-family homes comprising approximately 260 completed units and another approximately 1,700 units in various stages of planning and entitlement.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Division Summary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business divisions: agribusiness, rental operations, and real estate development. The agribusiness division is comprised of two reportable segments, lemon operations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four reportable segments, lemon operations, other agribusiness, rental operations and real estate development, are contained in the notes to the accompanying consolidated financial statements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Agribusiness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agribusiness division is comprised of two of our reportable segments, lemon operations and other agribusiness, and represented approximately 95% of our consolidated revenues for each of our fiscal years 2016, 2015 and 2014, of which lemon operations represented 76%, 79% and 77% of our fiscal year 2016, 2015 and 2014 consolidated revenues, respectively, and other agribusiness represented 19%, 16% and 18% of our fiscal year 2016, 2015 and 2014 consolidated revenues,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one of the largest growers of lemons and avocados in the United States. We market and sell lemons directly to our foodservice, wholesale and retail customers throughout the United States, Canada, Asia and other international markets. During the nine months ended July 31, 2017, lemon sales were comprised of approximately 73% in domestic and Canadian sales, 23% in sales to domestic exporters and 4% in international sales. We sell a portion of our oranges and specialty citrus to Sunkist-licensed and other third-party packinghouses. We sell our pistachios to a roaster, packager and marketer of nuts; our olives are sold to a processor and marketer of olives; and our wine grapes are sold to various wine producers.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 Division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rental operations division is provided for in our financial statements as its own reportable segment and includes our residential and commercial rentals, leased land operations and organic recycling. Our rental operations division represented approximately 5%, 5% and 4% of our consolidated revenues in fiscal years 2016, 2015 and 2014,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Development Division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real estate development division is provided for in our financial statements as its own reportable segment and includes our real estate development operations. The real estate development division had no significant revenue in fiscal years 2016 or 2015 and represented 1% of our consolidated revenues in fiscal year 2014.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Water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and water from local water and irrigation districts in California’s Tulare County, which is in the San Joaquin Valley and ground water from the Cadiz Valley Basin in California’s San Bernardino County. Following our acquisition of Associated we began using surface water in Arizona from the Colorado River through the YMIDD.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is expected to be provided to San Joaquin Valley farmers this year compared to 75% in 2016 and zero in 2015 and 2014.</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Windfall Investors, LLC (“Windfall”) property located in San Luis Obispo County, California, obtains water from wells deriving water from the Paso Robles Basin.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Associated farming operations in Yuma, Arizona sources water from the Colorado River through the YMIDD, where we have access to approximately 11,700 acre feet of Class 3 Colorado River water rights.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ground water provided by wells for our PDA farming operations in La Serena, Chile.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10, 2015, we entered into a joint venture with The Lewis Group of Companies (“Lewis”) for the residential development of our East Area I real estate development project (the “Joint Venture”). We expect to receive $100.0 million from the Joint Venture over the estimated 7- to 10-year life of the project. The Joint Venture partners will share in capital contributions to fund project costs until loan proceeds and/or revenues are sufficient to fund the project. These funding requirements are currently estimated to total $10.0 million to $15.0 million for each Joint Venture partner in the first two to three years of the project and we funded $2.3 million in fiscal year 2016 and an additional $7.5 million in the nine months ended July 31, 2017. The Joint Venture is planning approximately 632 units in Phase 1 of the project. We have substantially completed Phase 1 tree removal and are currently engaged in other site preparation activities. Our current plans indicate that grading should begin during the fall of 2017 and Phase 1 site improvements during the winter of 2017. The lot sale process with home builders is expected to begin near the end of calendar 2017 and initial closings of lot sales are anticipated to begin in the summer of 2018.</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lemons directly to our customers in Limoneira branded cartons. Historically, we have sold a portion of our oranges and specialty citrus to Sunkist affiliated and other packinghouses for processing and sale to customers in Sunkist and other branded cartons. Beginning in fiscal year 2017, we began selling a portion of our oranges and specialty citrus directly to our customers in Limoneira branded cartons, similar to our lemons. We utilize our own packing facilities to process lemons for sale and have contracted with an independent packinghouse to pack a portion of our oranges and specialty citrus. We incur packing service charges from the independent packinghouse to pack our oranges and specialty citrus in Limoneira branded cartons.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24, 2017, we completed the acquisition of 90% of the outstanding stock of PDA, a privately-owned Chilean corporation, for $5.7 million in cash. PDA also had approximately $1.7 million in long term debt on the acquisition date, which we assumed in the acquisition. A holdback of 10% of the purchase proceeds paid to the seller were withheld for a six-month period to allow for potential contingencies as defined in the purchase agreement. PDA is a 210-acre lemon and orange orchard located near La Serena, Chile. PDA’s total assets of approximately $9.5 million on the acquisition date included a 13% equity interest in Rosales, in which we owned a 35% equity investment. After the Acquisition, we own 47% of Rosales and PDA’s 10% stockholder owns the remaining 53% of Rosales. Rosales packs and sells all of PDA’s citrus production. PDA had approximately $450,000 of net income on approximately $1.9 million in sales for the year ended December 31, 2016. The results of operations of PDA are included in our consolidated results of operations from the acquisition date.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On March 27, 2017, we entered into an agreement to sell our Centennial property for $3,200,000, which after estimated transaction costs will result in a gain of approximately $100,000. Buyer due diligence was completed in August 2017 and escrow is expected to close in September 2017. In June 2017, we accepted an offer on our Pacific Crest property for a sales price of approximately $3.5 million, which after estimated transaction costs, is anticipated to result in a loss of approximately $0.1 million. Such loss was recognized as an impairment in the second quarter of fiscal year 2017. The transaction is subject to buyer due diligence. In August 2017, we entered into an agreement to sell the commercial portion of our Sevilla project for approximately $1.5 million, which based on estimated transaction costs, is anticipated to result in a gain of approximately $40,000. The transaction is subject to buyer due diligence and is expected to close in October 2017.</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27, 2017, we declared a quarterly cash dividend of $0.055 per common share, which was paid on July 18, 2017 in the aggregate amount of approximately $0.8 million to stockholders of record on July 10,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results of operations: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r>
      <w:tr>
        <w:trPr>
          <w:trHeight w:val="223"/>
        </w:trPr>
        <w:tc>
          <w:tcPr>
            <w:tcW w:w="5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39,050,000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38,430,000</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101,236,000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87,943,000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4,144,000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4,273,000</w:t>
            </w:r>
          </w:p>
        </w:tc>
      </w:tr>
      <w:tr>
        <w:trPr>
          <w:trHeight w:val="230"/>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23,022,000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21,151,000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75,821,000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67,861,000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2,934,000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2,711,000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1,880,000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of real estate development assets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10,192,000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9,728,000</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27,227,000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89,239,000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82,180,000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16,028,000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17,279,000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25,415,000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20,082,000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1,210,000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1,562,000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(1,841,000)</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(3,229,000)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(9,728,000)</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(1,036,000)</w:t>
            </w: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stock in Calavo Growers, Inc.</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3,419,000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3,419,000</w:t>
            </w: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investments</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206,000</w:t>
            </w: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463,000</w:t>
            </w:r>
          </w:p>
        </w:tc>
      </w:tr>
      <w:tr>
        <w:trPr>
          <w:trHeight w:val="21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16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(999,000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3,052,000</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15,142,000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13,127,000</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(5,017,000)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(6,693,000)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(5,935,000)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(5,088,000)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Company’s results of operations between periods on a more comparable basis. Such measures are widely used by analysts, investors and lenders as well as by management in assessing our Company’s financial performance and business trends relating to our results of operations and financial condition. These measurements are not prepared in accordance with U.S. generally accepted accounting principles (“GAAP”) and should not be construed as an alternative to reported results determined in accordance with GAAP. The non-GAAP information provided is unique to our Company and may not be consistent with methodologies used by other companies. EBITDA and adjusted EBITDA are summarized and reconciled to net income which management considers to be the most directly comparable financial measure calculated and presented in accordance with GAAP as follows: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7,743,000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10,729,000</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9,207,000</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6,693,000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21,338,000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 development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Fiscal Year 2017 Compared to the Third Quarter of Fiscal Year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for the third quarter of fiscal year 2017 was $40.4 million compared to $39.9 million for the third quarter of fiscal year 2016. The 1% increase of $0.5 million was primarily the result of increased agribusiness revenue, as detailed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11"/>
          </w:tcPr>
          <w:p>
            <w:pPr>
              <w:ind w:left="480"/>
              <w:spacing w:after="0"/>
              <w:rPr>
                <w:sz w:val="20"/>
                <w:szCs w:val="20"/>
                <w:color w:val="auto"/>
              </w:rPr>
            </w:pPr>
            <w:r>
              <w:rPr>
                <w:rFonts w:ascii="Times New Roman" w:cs="Times New Roman" w:eastAsia="Times New Roman" w:hAnsi="Times New Roman"/>
                <w:sz w:val="18"/>
                <w:szCs w:val="18"/>
                <w:b w:val="1"/>
                <w:bCs w:val="1"/>
                <w:color w:val="auto"/>
              </w:rPr>
              <w:t>Agribusiness Revenues for the 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29,995,000</w:t>
            </w: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26,209,000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3,786,000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Avocados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9,571,000</w:t>
            </w:r>
          </w:p>
        </w:tc>
        <w:tc>
          <w:tcPr>
            <w:tcW w:w="28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(2,081,000)</w:t>
            </w:r>
          </w:p>
        </w:tc>
        <w:tc>
          <w:tcPr>
            <w:tcW w:w="24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Navel and Valencia oranges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1,891,000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(773,000)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759,000</w:t>
            </w:r>
          </w:p>
        </w:tc>
        <w:tc>
          <w:tcPr>
            <w:tcW w:w="28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(312,000)</w:t>
            </w:r>
          </w:p>
        </w:tc>
        <w:tc>
          <w:tcPr>
            <w:tcW w:w="240" w:type="dxa"/>
            <w:vAlign w:val="bottom"/>
          </w:tcPr>
          <w:p>
            <w:pPr>
              <w:spacing w:after="0"/>
              <w:rPr>
                <w:sz w:val="19"/>
                <w:szCs w:val="19"/>
                <w:color w:val="auto"/>
              </w:rPr>
            </w:pPr>
          </w:p>
        </w:tc>
        <w:tc>
          <w:tcPr>
            <w:tcW w:w="1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Agribusiness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increase in the third quarter of fiscal year 2017 was primarily the result of higher prices and volume of fresh lemons sold compared to the same period in fiscal year 2016. During the third quarters of fiscal years 2017 and 2016, fresh lemon sales were $26.1 million and $23.0 million, respectively, on 919,000 and 846,000 cartons of lemons sold at average per carton prices of $28.45 and $27.19, respectively. Additionally, lemon revenues include $2.2 million shipping and handling, $1.1 million lemon by-products and $0.6 million other lemon sales in the third quarter of fiscal year 2017 compared to $1.7 million shipping and handling, $1.2 million lemon by-product and $0.3 million other lemon sales during the same period in fiscal year 2016.</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decrease in the third quarter of fiscal year 2017 was primarily the result of lower volume of avocados sold partially offset by higher prices compared to the same period in fiscal year 2016. During the third quarter of fiscal year 2017, 5.0 million pounds of avocados were sold at an average per pound price of $1.50 compared to 9.5 million pounds sold at an average per pound price of $1.01 during the same period in fiscal year 2016. The California avocado crop typically experiences alternating years of high and low production due to plant physiology. Our fiscal year 2017 avocado harvest is substantially complete and the higher prices in fiscal year 2017 were the result of lower supply in the marketplace.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Navel and Valencia oranges: The decrease in the third quarter of fiscal year 2017 was primarily attributable to lower prices and volume of oranges sold compared to the same period in fiscal year 2016. In the third quarter of fiscal year 2017, 313,000 40-pound carton equivalents of oranges were sold at average per carton prices of $3.57 compared to 338,000 40-pound carton equivalents sold at average per carton prices of $5.59 in the third quarter of fiscal year 2016.</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decrease in the third quarter of fiscal year 2017 was primarily the result of lower prices of specialty citrus sold partially offset by higher volume compared to the same period in fiscal year 2016. During the third quarter of fiscal year 2017, 123,000 40-pound carton equivalents of specialty citrus were sold at an average per carton price of $3.63 compared to 59,000 40-pound carton equivalents sold at an average per carton price of $12.36 during the same period in fiscal year 2016.</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costs and expenses in the third quarter of fiscal year 2017 were $27.2 million compared to $25.7 million in the third quarter of fiscal year 2016, for a 6% increase of $1.5 million. This increase was primarily attributable to increases in our agribusiness costs partially offset by decreases in our real estate development expenses and selling, general and administrative expenses. Costs associated with our agribusiness include packing costs, harvest costs, growing costs, costs related to the fruit we procure and sell for third-party growers and depreciation expense. These costs are discussed further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94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Three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Packing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5,727,000</w:t>
            </w: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5,878,000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Harvest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4,417,000</w:t>
            </w: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(1,249,000)</w:t>
            </w:r>
          </w:p>
        </w:tc>
        <w:tc>
          <w:tcPr>
            <w:tcW w:w="3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Growing costs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4,063,000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Third-party grower costs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5,598,000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6"/>
              </w:rPr>
              <w:t>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1,387,000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1,195,000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23,022,000</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21,151,000</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1,871,000</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Lemon packing costs were $5.1 million and $5.6 million in the third quarter of fiscal years 2017 and 2016, respectively. The decrease in the third quarter of fiscal year 2017 was primarily attributable to lower average per carton costs partially offset by higher volume of fresh lemons packed and sold compared to the third quarter of fiscal year 2016. During the third quarter of fiscal year 2017, we packed and sold 919,000 cartons of lemons at average per carton costs of $5.58 compared to 846,000 cartons of lemons sold at average per carton costs of $6.59 during the same period in fiscal year 2016. Lemon packing efficiency has improved primarily as a result of our new facility that became operational during March 2016. Additionally, packing costs include $0.3 million of shipping costs in the third quarter of fiscal years 2017 and 2016. Further, in the third quarter of fiscal year 2017, we incurred $0.3 million of packing service charges from an independent packinghouse to have a portion of our oranges and specialty citrus packed in Limoneira branded cartons.</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decrease in the third quarter of fiscal year 2017 is primarily attributable to decreased volume of avocados and oranges partially offset by increased volume of lemons and specialty citrus harvested.</w:t>
      </w:r>
    </w:p>
    <w:p>
      <w:pPr>
        <w:spacing w:after="0" w:line="161" w:lineRule="exact"/>
        <w:rPr>
          <w:rFonts w:ascii="Times New Roman" w:cs="Times New Roman" w:eastAsia="Times New Roman" w:hAnsi="Times New Roman"/>
          <w:sz w:val="18"/>
          <w:szCs w:val="18"/>
          <w:color w:val="auto"/>
        </w:rPr>
      </w:pPr>
    </w:p>
    <w:p>
      <w:pPr>
        <w:jc w:val="both"/>
        <w:ind w:left="640" w:hanging="281"/>
        <w:spacing w:after="0" w:line="261" w:lineRule="auto"/>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the third quarter of fiscal year 2017 is primarily due to net increased costs of $0.7 million for cultivation, fertilization and soil amendments, pruning and PDA growing costs compared to the same period in fiscal year 2016. These net increases reflect farm management decisions based on weather, harvest timing and crop conditions.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fruit that we grow and fruit that we procure from other growers. The cost of procuring fruit from other growers is referred to as third-party grower costs. The increase in the third quarter of fiscal year 2017 is primarily attributable to higher volume of third-party grower fruit sold. Of the 919,000 and 846,000 cartons of lemons packed and sold during the third quarter of fiscal years 2017 and 2016, respectively, 342,000 (37%) and 236,000 (28%) were procured from third-party growers at average per carton prices of $23.32 and $22.87, respectively. Additionally, we incurred $32,000 of costs for purchased, packed fruit to sell in the third quarter of fiscal year 2017 compared to $0.2 million during the same period in fiscal year 2016.</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the third quarter of fiscal year 2017 was approximately $0.2 million higher than the third quarter of fiscal year 2016 primarily due to the acquisition of PDA in February 2017 and an increase in assets placed into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 estate development expenses in the third quarter of fiscal year 2017 were $47,000 compared to $0.2 million in the third quarter of fiscal year 2016. In October 2016, we repurposed Windfall from a real estate development project to an agricultural ranch and the third quarter of fiscal year 2016 includes $0.2 million of operating expenses associated with Windfall.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$3.2 million in the nine months ended July 31, 2017 compared to $3.4 million in the nine months ended July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$0.4 million of expense for the third quarter of fiscal year 2017 compared to $3.2 million of income for the third quarter of fiscal year 2016. The $3.6 million decrease in income was primarily due to an increase in net interest expense in the third quarter of fiscal year 2017 compared to the same period in fiscal year 2016 and $3.4 million gain recognized in the third quarter of fiscal year 2016 on the sale of stock in Calavo.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real estate development projects and significant construction in progress using the weighted average interest rate during the fiscal year. We capitalized $0.6 million and $0.4 million of interest in the third quarter of fiscal years 2017 and 2016, respectively. Interest capitalization is discontinued when a project is substantially complete. Under the equity method of accounting used for our Limoneira/Lewis Joint Venture, interest capitalization will cease upon the commencement of lot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estimated income tax provision of $5.0 million in the third quarter of fiscal year 2017 on pre-tax income of $12.8 million compared to an estimated income tax provision of $6.7 million on pre-tax income of $17.4 million in the third quarter of fiscal year 2016. Our projected annual effective tax rate for fiscal year 2017 is approximately 39.0%.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10% of the net loss of PDA.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2017 Compared to the Nine Months Ended July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nine months ended July 31, 2017 was $105.4 million compared to $92.3 million for the nine months ended July 31, 2016. The 14% increase of $13.1 million was primarily the result of increased agribusiness revenues as detailed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gridSpan w:val="11"/>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Agribusiness Revenues for the 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Lemons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82,154,000</w:t>
            </w: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68,852,000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13,302,000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Avocados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10,759,000</w:t>
            </w:r>
          </w:p>
        </w:tc>
        <w:tc>
          <w:tcPr>
            <w:tcW w:w="2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(1,240,000)</w:t>
            </w:r>
          </w:p>
        </w:tc>
        <w:tc>
          <w:tcPr>
            <w:tcW w:w="32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Navel and Valencia oranges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5,576,000</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Specialty citrus and other crops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2,756,000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Agribusiness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101,236,000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Lemons: The increase in the nine months ended July 31, 2017 was primarily the result of higher volume of fresh lemons sold partially offset by lower prices compared to the same period in fiscal year 2016. In the nine months ended July 31, 2017 and 2016, fresh lemon sales were $67.8 million and $58.2 million, respectively, on 2,786,000 and 2,379,000 cartons of lemons sold at average per carton prices of $24.33 and $24.46, respectively. Additionally, lemon revenues include $7.6 million shipping and handling, $4.6 million lemon by-products and $2.2 million other lemon sales in the nine months ended July 31, 2017 compared to $4.4 million shipping and handling, $4.1 million lemon by-product and $2.2 million other lemon sales during the same period in fiscal year 2016.</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The decrease in the nine months ended July 31, 2017 was primarily the result of lower volume of avocados sold partially offset by higher prices compared to the same period in fiscal year 2016. In the nine months ended July 31, 2017, 6.3 million pounds of avocados were sold at an average per pound price of $1.51 per pound compared to 11.4 million pounds sold at an average per pound price of $0.95 during the same period in fiscal year 2016. The California avocado crop typically experiences alternating years of high and low production due to plant physiology. Our fiscal year 2017 avocado harvest is substantially complete and the higher prices in fiscal year 2017 are the result of lower supply in the marketplace.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Navel and Valencia oranges: The increase in the nine months ended July 31, 2017 was primarily the result of higher prices of oranges sold partially offset by lower volume compared to the same period in fiscal year 2016. In the nine months ended July 31, 2017, 889,000 40-pound carton equivalents of oranges were sold at average per carton prices of $7.36 compared to 998,000 40-pound carton equivalents sold at average per carton prices of $5.59 in the nine months ended July 31, 2016. The higher prices in the nine months ended July 31, 2017, compared to the same period in fiscal year 2016, are primarily due to a combination of more favorable market conditions and higher prices recognized for Limoneira branded oranges. Sales of Limoneira branded oranges, which we sell directly to our customers, are not reduced by packing service charges incurred with an independent packinghouse whereas sales of oranges sold to third-party packinghouses are net of third-party packinghouse charges to pack and sell our fruit.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crops: The increase in the nine months ended July 31, 2017 was primarily the result of higher volume of specialty citrus sold partially offset by lower prices compared to the same period in fiscal year 2017. During the nine months ended July 31, 2017, 359,000 40-pound carton equivalents of specialty citrus were sold at an average per carton price of $8.42 compared to 261,000 40-pound carton equivalents sold at an average per carton price of $10.56 during the same period in fiscal year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costs and expenses in the nine months ended July 31, 2017 were $89.2 million compared to $82.2 million in the nine months ended July 31, 2016, for a 9% increase of $7.0 million. This increase was primarily attributable to increases in our agribusiness and selling, general and administrative costs and expenses partially offset by decreases in our real estate development expenses. Costs associated with our agribusiness include packing costs, harvest costs, growing costs, costs related to the fruit we procure for third-party growers and depreciation expense. These costs are discussed further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Agribusiness Costs and Expenses for the 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Packing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19,629,000</w:t>
            </w: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17,900,000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Harvest costs</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11,845,000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11,393,000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Growing costs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16,679,000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15,175,000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1,504,000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Third-party grower costs</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23,575,000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20,297,000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3,278,000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3,096,000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997,000</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270"/>
              <w:spacing w:after="0"/>
              <w:rPr>
                <w:sz w:val="20"/>
                <w:szCs w:val="20"/>
                <w:color w:val="auto"/>
              </w:rPr>
            </w:pPr>
            <w:r>
              <w:rPr>
                <w:rFonts w:ascii="Times New Roman" w:cs="Times New Roman" w:eastAsia="Times New Roman" w:hAnsi="Times New Roman"/>
                <w:sz w:val="18"/>
                <w:szCs w:val="18"/>
                <w:color w:val="auto"/>
                <w:w w:val="96"/>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Agribusiness costs and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75,821,000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67,861,000</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7,960,000</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costs: Packing costs primarily consist of the costs to pack lemons for sale such as labor and benefits, cardboard cartons, fruit treatments, packing and shipping supplies and facility operating costs. Lemon packing costs were $16.3 million and $17.1 million in the nine months ended July 31, 2017 and 2016, respectively. The decrease in the nine months ended July 31, 2017 was primarily attributable to lower average per carton costs partially offset by higher volume of fresh lemons packed and sold compared to the nine months ended July 31, 2016. In the nine months ended July 31, 2017, we packed and sold 2,786,000 cartons of lemons at average per carton costs of $5.87 compared to 2,379,000 cartons of lemons at average per carton costs of $7.19 during the same period in fiscal year 2016. Lemon packing efficiency has improved primarily as a result of our new facility that became operational during March 2016. Additionally, packing costs include $1.1 million of shipping costs in the nine months ended July 31, 2017 compared to $0.8 million in the nine months ended July 31, 2016. Further, in the nine months ended July 31, 2017, we incurred $2.2 million of packing service charges from an independent packinghouse to have a portion of our oranges and specialty citrus packed in Limoneira branded cartons.</w:t>
      </w:r>
    </w:p>
    <w:p>
      <w:pPr>
        <w:spacing w:after="0" w:line="18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The increase in the nine months ended July 31, 2017 is primarily attributable to increased volume of lemons and specialty citrus harvested partially offset by decreased volume of avocados and oranges harvested.</w:t>
      </w:r>
    </w:p>
    <w:p>
      <w:pPr>
        <w:spacing w:after="0" w:line="161" w:lineRule="exact"/>
        <w:rPr>
          <w:rFonts w:ascii="Times New Roman" w:cs="Times New Roman" w:eastAsia="Times New Roman" w:hAnsi="Times New Roman"/>
          <w:sz w:val="18"/>
          <w:szCs w:val="18"/>
          <w:color w:val="auto"/>
        </w:rPr>
      </w:pPr>
    </w:p>
    <w:p>
      <w:pPr>
        <w:jc w:val="both"/>
        <w:ind w:left="640" w:hanging="281"/>
        <w:spacing w:after="0" w:line="261"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Growing costs, also referred to as cultural costs, consist of orchard maintenance costs such as cultivation, fertilization and soil amendments, pest control, pruning and irrigation. The increase in growing costs in the nine months ended July 31, 2017 is primarily due to net increased costs of $1.5 million for cultivation, fertilization and soil amendments, pruning and PDA growing costs compared to the same period in fiscal year 2016. These net increases reflect farm management decisions based on weather, harvest timing and crop conditions.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We sell fruit that we grow and fruit that we procure from other growers. The cost of procuring fruit from other growers is referred to as third-party grower costs. The increase in the nine months ended July 31, 2017 was primarily attributable to higher volume of third-party grower fruit sold. Of the 2,786,000 and 2,379,000 cartons of lemons sold during the nine months ended July 31, 2017 and 2016, respectively, 1,177,000 (42%) and 951,000 (40%) were procured from third-party growers at average per carton costs of $19.92 and $21.03, respectively. Additionally, we incurred $0.1 million of costs for purchased, packed fruit to sell in the nine months ended July 31, 2017 compared to $0.3 million during the same period in fiscal year 2016.</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the nine months ended July 31, 2017 was $1.0 million higher than the nine months ended July 31, 2016 due to the acquisition of PDA in February 2017 and to the placement of our new, expanded lemon packing facility into service in March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Real estate costs and expenses were $0.3 million in the nine months ended July 31, 2017 compared to $1.9 million in the same period in fiscal year 2016. Real estate development costs and expenses in the nine months ended July 31, 2017 include $0.1 million impairment on our Pacific Crest real estate development project. The fiscal year 2016 real estate costs and expenses were primarily due to $1.2 million of transaction costs paid upon entering into a joint venture with Lewis for the residential development of our East Area I real estate development project.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and expenses were $10.2 million in the nine months ended July 31, 2017 compared to $9.7 million in the nine months ended July 31, 2016. The increase in the nine months ended July 31, 2017 is primarily due to increased salaries, benefits and incentive compensation as a result of projected improved operating results as of July 31, 2017 compared to July 31,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was $1.0 million of expense in the nine months ended July 31, 2017 compared to $3.1 million of income in the nine months ended July 31, 2016. The $4.1 million decrease in income was primarily due to an increase in net interest expense in the nine months ended July 31, 2017 compared to the same period in fiscal year 2016 and $3.4 million gain recognized in the third quarter of fiscal year 2016 on the sale of stock in Calavo.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is capitalized on real estate development projects and significant construction in progress using the weighted average interest rate during the fiscal year. We capitalized $1.4 million of interest in each of the nine months ended July 31, 2017 and 2016. Interest capitalization is discontinued when a project is substantially complete. Under the equity method of accounting used for our Limoneira/Lewis Joint Venture, interest capitalization will cease upon the commencement of lot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estimated income tax provision of $5.9 million in the nine months ended July 31, 2017 on pre-tax income of $15.1 million compared to an estimated income tax provision of $5.1 million on pre-tax income of $13.1 million in the nine months ended July 31, 2016. Our projected annual effective tax rate for fiscal year 2017 is approximately 39.0%.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represents 10% of the net loss of PDA.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agribusiness, rental operations and real estate development segments separately to monitor the different factors affecting financial results. Each segment is subject to review and evaluations related to current market conditions, market opportunities and available resources. See Note 23 - Segment Information of the Notes to Consolidated Financial Statements included in this Quarterly Report on Form 10-Q for additional information regarding our operating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segment results of operations for the three and nine months ended July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July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Lemon operations: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29,995,000</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26,209,000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82,154,000</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68,852,000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17,581,000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15,614,000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58,180,000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53,719,000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agribusiness: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12,221,000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19,082,000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13,548,000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Lemon and other agribusiness depreciation</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1,387,000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4,093,000</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agribusiness operating income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17,279,000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Rental operations: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4,144,000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2,367,000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567,000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development: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(3,229,000)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(10,192,000)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13,168,000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Fiscal Year 2017 Compared to the Third Quarter of Fiscal Year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Lemon Operations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third quarter of fiscal year 2017, our lemon operations segment revenue was $30.0 million compared to $26.2 million for the third quarter of fiscal year 2016; a 14% increase of $3.8 million.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lemons operations segment include packing costs, harvest costs, growing costs and costs of fruit we procure from third-party growers. For the third quarter of fiscal year 2017, our lemon operations costs and expenses were $17.6 million compared to $15.6 million for the third quarter of fiscal year 2016. The 13% increase of $2.0 million primarily consisted of the following:</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and shipping costs for the third quarter of fiscal year 2017 were $0.4 million lower than the third quarter of fiscal year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2017 were $0.5 million lower than the third quarter of fiscal year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2017 were $0.5 million higher than the third quarter of fiscal year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the third quarter of fiscal year 2017 were $2.4 million higher than the third quarter of fiscal year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year 2017 our other agribusiness segment revenue was $9.1 million compared to $12.2 million for the third quarter of fiscal year 2016. The 25% decrease of $3.1 million primarily consisted of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revenue for the third quarter of fiscal year 2017 was $2.1 million lower than the third quarter of fiscal year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Navel and Valencia orange revenues for the third quarter of fiscal year 2017 were $0.8 million lower than the third quarter of fiscal year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 revenues for the third quarter of fiscal year 2017 were $0.3 million lower than the third quarter of fiscal year 2016.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associated with our other agribusiness segment include orange and specialty citrus packing service charges, harvest costs and growing costs. For the third quarter of fiscal year 2017, our other agribusiness costs were $4.1 million compared to $4.3 million for the third quarter of fiscal year 2016. The 7% decrease of $0.3 million primarily consisted of the following:</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and specialty citrus packing service charges for the third quarter of fiscal year 2017 were $0.3 million compared to zero in the third quarter of fiscal year 2016. In fiscal year 2017, we contracted with an independent packinghouse to pack a portion of our oranges and specialty citrus in Limoneira branded cartons.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third quarter of fiscal year 2017 were $0.9 million lower than the third quarter of fiscal year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third quarter of fiscal year 2017 were $0.4 million higher than the third quarter of fiscal year 2016.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Lemon and other agribusiness depreciation and amortization for the third quarter of fiscal year 2017 were $0.2 million higher than the third quarter of fiscal year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year 2017, our rental operations had revenues of $1.3 million compared to $1.5 million in the third quarter of fiscal year 2016.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in our rental operations segment for the third quarter of fiscal year 2017 were similar to the third quarter of fiscal year 2016. Depreciation expense was similar quarter to quarter at approximately $0.2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real estate development segment had no significant revenues in the third quarters of fiscal years 2017 and 2016.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in our real estate development segment for the third quarter of fiscal year 2017 were $0.2 million lower than the third quarter of fiscal year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and expenses include selling, general and administrative costs and other costs not allocated to the operating segments. Selling, general and administrative costs and expenses for the third quarter of fiscal year 2017 were $0.2 million lower than the third quarter of fiscal year 2016. Depreciation expense was similar quarter to quarter at approximately $0.1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 2017 Compared to the Nine Months Ended July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Lemon Operations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July 31, 2017, our lemon operations segment revenue was $82.2 million compared to $68.9 million for the nine months ended July 31, 2016, a 19% increase of $13.3 million.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Costs and expenses associated with our lemons operations segment include packing costs, harvest costs, growing costs and costs of fruit we procure from third-party growers. For the nine months ended July 31, 2017, our lemon operations costs and expenses were $58.2 million compared to $53.7 million for the nine months ended July 31, 2016. The 8% increase of $4.5 million primarily consisted of the following:</w:t>
      </w:r>
    </w:p>
    <w:p>
      <w:pPr>
        <w:spacing w:after="0" w:line="17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Packing and shipping costs for the nine months ended July 31, 2017 were $0.5 million lower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nine months ended July 31, 2017 were $0.7 million higher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nine months ended July 31, 2017 were $0.9 million higher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grower costs for the nine months ended July 31, 2017 were $3.3 million higher than the nine months ended July 31, 2016.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Agribusiness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July 31, 2017, our other agribusiness revenues were similar to the nine months ended July 31, 2016 and consisted of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 revenue for the nine months ended July 31, 2017 was $1.2 million lower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Navel and Valencia orange revenues for the nine months ended July 31, 2017 were $1.0 million higher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citrus and other crop revenues for the nine months ended July 31, 2017 were $0.3 million higher than the nine months ended July 31, 2016.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associated with our other agribusiness segment include orange and specialty packing service charges, harvest costs and growing costs. For the nine months ended July 31, 2017, our other agribusiness costs and expenses were $13.5 million compared to $11.0 million for the nine months ended July 31, 2016. The 23% increase of $2.5 million primarily consisted of the following:</w:t>
      </w:r>
    </w:p>
    <w:p>
      <w:pPr>
        <w:spacing w:after="0" w:line="176" w:lineRule="exact"/>
        <w:rPr>
          <w:sz w:val="20"/>
          <w:szCs w:val="20"/>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Orange and specialty citrus packing service charges for the nine months ended July 31, 2017 were $2.2 million compared to zero in the nine months ended July 31, 2016. In fiscal year 2017, we contracted with an independent packinghouse to pack a portion of our oranges and specialty citrus in Limoneira branded cartons.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Harvest costs for the nine months ended July 31, 2017 were $0.3 million lower than the nine months ended July 31,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costs for the nine months ended July 31, 2017 were $0.6 million higher than the nine months ended July 31, 2016.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Lemon and other agribusiness depreciation and amortization for the nine months ended July 31, 2017 were $1.0 million higher than the nine months ended July 31,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Operations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nine months ended July 31, 2017, our rental operations had revenues of $4.1 million compared to $4.3 million in the nine months ended July 31, 2016.</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Costs and expenses in our rental operations segment were $2.9 million in the nine months ended July 31, 2017 compared to $2.7 million in the nine months ended July 31, 2016. Depreciation expense was similar period to period at approximately $0.6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real estate development segment had no significant revenues in the nine months ended July 31, 2017 and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Real estate development costs and expenses were $0.3 million and $1.9 million for the nine months ended July 31, 2017 and 2016,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costs and expenses include selling, general and administrative costs and other costs not allocated to the operating segments. Selling, general and administrative costs and expenses for the nine months ended July 31, 2017 were $0.5 million higher than the nine months ended July 31, 2016. Depreciation expense was similar period to period at approximately $0.2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Trailing Twelve Months ended July 31, 2017 and July 31, 2016</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unaudited results of operations: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400" w:type="dxa"/>
            <w:vAlign w:val="bottom"/>
          </w:tcPr>
          <w:p>
            <w:pPr>
              <w:spacing w:after="0"/>
              <w:rPr>
                <w:sz w:val="24"/>
                <w:szCs w:val="24"/>
                <w:color w:val="auto"/>
              </w:rPr>
            </w:pPr>
          </w:p>
        </w:tc>
        <w:tc>
          <w:tcPr>
            <w:tcW w:w="3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Trailing twelve months ended July 31,</w:t>
            </w:r>
          </w:p>
        </w:tc>
      </w:tr>
      <w:tr>
        <w:trPr>
          <w:trHeight w:val="223"/>
        </w:trPr>
        <w:tc>
          <w:tcPr>
            <w:tcW w:w="84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119,423,000</w:t>
            </w:r>
          </w:p>
        </w:tc>
        <w:tc>
          <w:tcPr>
            <w:tcW w:w="140" w:type="dxa"/>
            <w:vAlign w:val="bottom"/>
          </w:tcPr>
          <w:p>
            <w:pPr>
              <w:spacing w:after="0"/>
              <w:rPr>
                <w:sz w:val="18"/>
                <w:szCs w:val="18"/>
                <w:color w:val="auto"/>
              </w:rPr>
            </w:pPr>
          </w:p>
        </w:tc>
        <w:tc>
          <w:tcPr>
            <w:tcW w:w="3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100,799,000</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5,608,000</w:t>
            </w:r>
          </w:p>
        </w:tc>
      </w:tr>
      <w:tr>
        <w:trPr>
          <w:trHeight w:val="23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124,914,000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Agribusiness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91,564,000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81,739,000</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3,680,000</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development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2,404,000</w:t>
            </w:r>
          </w:p>
        </w:tc>
      </w:tr>
      <w:tr>
        <w:trPr>
          <w:trHeight w:val="23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13,783,000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13,447,000</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109,660,000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5,197,000</w:t>
            </w: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(1,082,000)</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investments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256,000</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stock in Calavo Growers, Inc.</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8,452,000</w:t>
            </w: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conservation easement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Wilson Ranch</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935,000</w:t>
            </w: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520,000</w:t>
            </w:r>
          </w:p>
        </w:tc>
      </w:tr>
      <w:tr>
        <w:trPr>
          <w:trHeight w:val="210"/>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9,081,000</w:t>
            </w:r>
          </w:p>
        </w:tc>
        <w:tc>
          <w:tcPr>
            <w:tcW w:w="100" w:type="dxa"/>
            <w:vAlign w:val="bottom"/>
            <w:tcBorders>
              <w:bottom w:val="single" w:sz="8" w:color="CCEEFF"/>
            </w:tcBorders>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14,278,000</w:t>
            </w:r>
          </w:p>
        </w:tc>
        <w:tc>
          <w:tcPr>
            <w:tcW w:w="100" w:type="dxa"/>
            <w:vAlign w:val="bottom"/>
            <w:shd w:val="clear" w:color="auto" w:fill="CCEEFF"/>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(6,114,000)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(5,585,000)</w:t>
            </w:r>
          </w:p>
        </w:tc>
      </w:tr>
      <w:tr>
        <w:trPr>
          <w:trHeight w:val="223"/>
        </w:trPr>
        <w:tc>
          <w:tcPr>
            <w:tcW w:w="8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 Months Ended July 31, 2017 Compared to the Twelve Months Ended July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analysis should be read in conjunction with the previous section “Results of Operations”.</w:t>
      </w:r>
    </w:p>
    <w:p>
      <w:pPr>
        <w:spacing w:after="0" w:line="227"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$18.4 million in the twelve months ended July 31, 2017 compared to the twelve months ended July 31, 2016 primarily due to increased agribusiness revenues, particularly for lemon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both"/>
        <w:ind w:left="660" w:hanging="328"/>
        <w:spacing w:after="0" w:line="25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increased $8.4 million in the twelve months ended July 31, 2017 compared to the twelve months ended July 31, 2016 primarily due to increases in our agribusiness costs and selling, general and administrative expenses, partially offset by decreases in real estate development costs. The increase in agribusiness costs is associated with increased agribusiness production and the increase in selling, general and administrative expenses is primarily due to higher salaries, benefits and incentive compensation resulting from an increase in projected operating results. The decrease in real estate development costs is primarily due to $1.2 million of transaction costs paid upon entering into a joint venture in November 2015 to develop our East Area I real estate development project. No such costs were incurred in the twelve months ended July 31, 2017.</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other income decreased $9.0 million in the twelve months ended July 31, 2017 compared to the twelve months ended July 31, 2016 primarily due to $0.7 million increase in net interest expense and $8.5 million decrease in gain on the sale of stock in Calavo.</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provision increased $0.5 million in the twelve months ended July 31, 2017 compared to the twelve months ended July 31, 2016 primarily due to a $1.1 million increase in earnings before income taxes and an increase in our estimated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 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July 31, 2017, net cash provided by operating activities was $20.1 million compared to net cash provided by operating activities of $10.9 million for the nine months ended July 31, 2016. The significant components of our Company’s cash flows provided by operating activities as included in the unaudited consolidated statements of cash flows are as follows:</w:t>
      </w:r>
    </w:p>
    <w:p>
      <w:pPr>
        <w:spacing w:after="0" w:line="176" w:lineRule="exact"/>
        <w:rPr>
          <w:sz w:val="20"/>
          <w:szCs w:val="20"/>
          <w:color w:val="auto"/>
        </w:rPr>
      </w:pPr>
    </w:p>
    <w:p>
      <w:pPr>
        <w:jc w:val="both"/>
        <w:ind w:left="6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nine months ended July 31, 2017 was $9.2 million compared to $8.0 million for the nine months ended July 31, 2016. The increase of $1.2 million in the nine months July 31, 2017 compared to the same period in fiscal year 2016 was primarily attributable to an increase in operating income of $6.1 million offset by a decrease in other income of $4.1 million and an increase in income tax provision of $0.8 million.</w:t>
      </w:r>
    </w:p>
    <w:p>
      <w:pPr>
        <w:spacing w:after="0" w:line="176"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$1.0 million in the nine months ended July 31, 2017 compared to the same period in fiscal year 2016 primarily due to the acquisition of PDA in February 2017 and to the placement of our new, expanded lemon packing facility into service in March 2016.</w:t>
      </w:r>
    </w:p>
    <w:p>
      <w:pPr>
        <w:spacing w:after="0" w:line="176"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of real estate development assets was $0.1 million in the nine months ended July 31, 2017 and was attributable to an impairment charge recognized in the second quarter on our Pacific Crest project.</w:t>
      </w:r>
    </w:p>
    <w:p>
      <w:pPr>
        <w:spacing w:after="0" w:line="161" w:lineRule="exact"/>
        <w:rPr>
          <w:rFonts w:ascii="Times New Roman" w:cs="Times New Roman" w:eastAsia="Times New Roman" w:hAnsi="Times New Roman"/>
          <w:sz w:val="18"/>
          <w:szCs w:val="18"/>
          <w:color w:val="auto"/>
        </w:rPr>
      </w:pPr>
    </w:p>
    <w:p>
      <w:pPr>
        <w:ind w:left="640" w:hanging="281"/>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disposals of assets was $0.2 million in the nine months ended July 31, 2017 and was primarily the result of expenses incurred from orchard disposals related to real estate development and our on-going orchard redevelopment plans.</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compensation expense was $1.1 million and $1.0 million in the nine months ended July 31, 2017 and 2016, respectively, and was comprised primarily of vesting and expense recognition of the 2014, 2015, 2016 and 2017 grants to management under our stock-based compensation plan plus non-employee directors’ stock-based compensation.</w:t>
      </w:r>
    </w:p>
    <w:p>
      <w:pPr>
        <w:spacing w:after="0" w:line="176"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from equity investments of $0.4 million and $0.3 million during the nine months ended July 31, 2017 and 2016, respectively, were comprised of cash distributions from our investments in Limco Del Mar, Ltd. and Rosales.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ind w:left="680" w:hanging="321"/>
        <w:spacing w:after="0" w:line="25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balance at July 31, 2017 was $10.7 million compared to $9.3 million at October 31, 2016, resulting in a corresponding decrease in operating cash flows of approximately $1.3 million in the nine months ended July 31, 2017. Accounts receivable, net balance at July 31, 2016 was $12.6 million compared to $7.4 million at October 31, 2015, resulting in a corresponding decrease in operating cash flows of $5.1 million. Our accounts receivable balance typically increases during the first three quarters of our fiscal year due to the seasonal nature of our agribusiness operations. The $1.3 million decrease in operating cash flows in the nine months ended July 31, 2017 compared to the $5.1 million decrease in operating cash flows during same period in fiscal year 2016 was primarily due to fluctuations in price and volume related to agribusiness revenues.</w:t>
      </w:r>
    </w:p>
    <w:p>
      <w:pPr>
        <w:spacing w:after="0" w:line="18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costs provided $0.9 million of operating cash flows in the nine months ended July 31, 2017 compared to $1.1 million of operating cash flows during the same period in fiscal year 2016. This decrease was primarily due to an initial lower amount of capitalized cultural costs carried at the beginning of fiscal year 2017 and the related decrease in amortization of such costs during the nine months ended July 31, 2017.</w:t>
      </w:r>
    </w:p>
    <w:p>
      <w:pPr>
        <w:spacing w:after="0" w:line="176"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receivable balance at July 31, 2017 was zero compared to $2.8 million at October 31, 2016, resulting in a corresponding increase in operating cash flows of $2.8 million for the nine months ended July 31, 2017.</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58"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and growers payable provided $0.5 million and $0.4 million of operating cash flows in the nine months ended July 31, 2017 and 2016, respectively. The $0.5 million of cash provided in the nine months ended July 31, 2017 was primarily the result of $1.1 million decrease in accounts payable, $2.0 million increase in growers payable and $0.3 million of capital expenditures accrued but not paid at period end. The $0.4 million of cash provided in the nine months ended July 31, 2016 was primarily the result of $2.1 million decrease in accounts payable, $2.8 million increase in growers payable and $0.4 million of capital expenditures accrued but not paid at period end.</w:t>
      </w:r>
    </w:p>
    <w:p>
      <w:pPr>
        <w:spacing w:after="0" w:line="183"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liabilities provided $2.0 million of operating cash flows in the nine months ended July 31, 2017 compared to providing $4.5 million of operating cash flows during the same period in fiscal year 2016. The operating cash provided in the nine months ended July 31, 2017 was primarily comprised of accrued income taxes partially offset by payments for incentive compensation, property taxes and lemon suppliers. The operating cash provided in the nine months ended July 31, 2016 was primarily comprised of accrued income taxes partially offset by payments for lease expense.</w:t>
      </w:r>
    </w:p>
    <w:p>
      <w:pPr>
        <w:spacing w:after="0" w:line="180"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liabilities provided $0.1 million of operating cash flows in the nine months ended July 31, 2017 and represented $0.7 million of non-cash pension expense offset by $0.6 million of pension contributions for the period. The $0.1 million of operating cash flows provided during the nine months ended July 31, 2016 represented $0.5 million of non-cash pension expense offset by $0.4 million of pension contributions for the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July 31, 2017, net cash used in investing activities was $23.1 million compared to net cash used in investing activities of $7.9 million during the same period in fiscal year 2016. Net cash used in investing activities was primarily comprised of capital expenditures, acquisitions, sales of assets and investments.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$9.6 million in the nine months ended July 31, 2017, comprised of $8.8 million for property, plant and equipment primarily related to orchard and vineyard development and $0.8 million for real estate development projects. Additionally, in the nine months ended July 31, 2017, we purchased PDA for $5.7 million and contributed $7.5 million to the Joint Venture for the development of our East Area I real estate development project.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were $13.3 million in the nine months ended July 31, 2016, comprised of $9.5 million for property, plant and equipment primarily related to construction and equipment for our lemon packing facilities and orchard redevelopment and $3.8 million for real estate development projects. In December 2015, we purchased 757 acres of agriculture property for $15.1 million. In November 2015, we received $18.0 million for a 50% interest in a joint venture that will develop our East Area I real estate development project. Additionally, we contributed $1.3 million to the joint venture in the nine months ended July 31,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July 31, 2017, net cash provided by financing activities was $4.8 million compared to net cash used in financing activities of $2.9 million during the same period in fiscal year 2016.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$4.8 million of cash provided by financing activities during the nine months ended July 31, 2017 was comprised of net borrowings of long-term debt in the amount $8.0 million and payments of common and preferred dividends of $2.8 million. The $2.9 million of cash used in financing activities during the nine months ended July 31, 2016 was primarily comprised of net repayments of long-term debt in the amount of $0.1 million and payments of common and preferred dividends of $2.6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Transactions Affecting Liquidity and Capital Resources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20, 2017, we entered into a Master Loan Agreement (the “Loan Agreement”) with Farm Credit West, FLCA (“Farm Credit West”) which includes a Revolving Credit Supplement and a Non-Revolving Credit Supplement (the “Supplements”). The Supplements provide aggregate borrowing capacity of $100,000,000 comprised of $60,000,000 under the Revolving Credit Supplement and $40,000,000 under the Non-Revolving Credit Supplement. The interest rate for any amount outstanding under the Supplements is based on the one 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 We may prepay any amounts outstanding under the Supplements without penalty.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 Proceeds from the Supplements were used to pay down all the remaining outstanding indebtedness under the revolving credit facility we had with Rabobank, N.A.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finance our working capital and other liquidity requirements primarily through cash from operations and our Farm Credit West Credit Facility. In addition, we have the Farm Credit West Term Loans, the Wells Fargo Term Loan and the Banco de Chile term loan. Additional information regarding the Farm Credit West Credit Facility, the Farm Credit West Term Loans, the Wells Fargo Term Loan and the Banco de Chile term loan can be found in the Notes to Consolidated Financial Statements included in this Quarterly Report on Form 10-Q.</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2017. In addition, we have the ability to control a portion of our investing cash flows to the extent necessary based on our liquidity demands.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 Credit West Credit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2017, our outstanding borrowings under the Farm Credit West Credit Facility were $69.5 million and we had $30.5 million of availability. The Farm Credit West Credit Facility currently bears interest at a variable rate equal to the one month LIBOR plus 1.85%. The interest rate resets on the first of each month and was 3.07% at July 31, 2017. We have the ability to prepay any amounts outstanding under the Farm Credit West Credit Facility without penalty. The line of credit provides for maximum borrowings of $100.0 million and the borrowing capacity based on collateral value was $100.0 million at July 31, 2017.</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 Additional information regarding the interest rate swap can be found in the Notes to Consolidated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Farm Credit West Term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2017, we had an aggregate of approximately $21.2 million outstanding under Farm Credit West Term Loans, which are further discussed here: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 w:name="page49"/>
    <w:bookmarkEnd w:id="48"/>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November 2022. </w:t>
      </w:r>
      <w:r>
        <w:rPr>
          <w:rFonts w:ascii="Times New Roman" w:cs="Times New Roman" w:eastAsia="Times New Roman" w:hAnsi="Times New Roman"/>
          <w:sz w:val="18"/>
          <w:szCs w:val="18"/>
          <w:color w:val="auto"/>
        </w:rPr>
        <w:t>As of July 31, 2017, we had $3.3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3.70% at July 31, 2017. This term loan is secured by certain of our agricultural properties.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October 2035. </w:t>
      </w:r>
      <w:r>
        <w:rPr>
          <w:rFonts w:ascii="Times New Roman" w:cs="Times New Roman" w:eastAsia="Times New Roman" w:hAnsi="Times New Roman"/>
          <w:sz w:val="18"/>
          <w:szCs w:val="18"/>
          <w:color w:val="auto"/>
        </w:rPr>
        <w:t>As of July 31, 2017, Windfall had $1.2 million outstanding under the Farm Credit West Term Loan that matures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3.70% at July 31, 2017. This term loan is secured by the Windfall Farms property.</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March 2036. </w:t>
      </w:r>
      <w:r>
        <w:rPr>
          <w:rFonts w:ascii="Times New Roman" w:cs="Times New Roman" w:eastAsia="Times New Roman" w:hAnsi="Times New Roman"/>
          <w:sz w:val="18"/>
          <w:szCs w:val="18"/>
          <w:color w:val="auto"/>
        </w:rPr>
        <w:t>As of July 31, 2017, we had $9.6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2036. This loan bears interest at a fixed rate of 4.70% and is payable in monthly installments through March 2036. This term loan is secured by certain of our agricultural properties.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 Loan Maturing March 2036. </w:t>
      </w:r>
      <w:r>
        <w:rPr>
          <w:rFonts w:ascii="Times New Roman" w:cs="Times New Roman" w:eastAsia="Times New Roman" w:hAnsi="Times New Roman"/>
          <w:sz w:val="18"/>
          <w:szCs w:val="18"/>
          <w:color w:val="auto"/>
        </w:rPr>
        <w:t>As of July 31, 2017, we had $7.1 million outstanding under the Farm Credit West Term Loan that matures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November 2036 and is secured by certain of our agricultural properties.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Term Loan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31, 2017, we had $8.1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Banco de Chile Term Loan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the acquisition of PDA in February 2017, we assumed a $1.7 million term loan with Banco de Chile that matures in January 2025. This term loan bears interest at a fixed rate of 6.48% and is payable in eight annual installments beginning January 2018. This loan is unsecured and contains certain pre-payment limitations.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interest rate swap agreements to manage the risks and costs associated with our financing activities. At July 31, 2017, we had an interest rate swap agreement that locks in the interest rate on $40.0 million of our $100.8 million in debt at 4.30% until June 2018. Additional information regarding the interest rate swap can be found in the notes to the unaudited consolidated financial statements included elsewhere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$60.8 million of debt bears interest at fixed and variable rates, ranging from 3.07% to 6.48% at July 31,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Company’s contractual obligations at July 31, 2017 for which cash flows are fixed and determinable:</w:t>
      </w:r>
    </w:p>
    <w:p>
      <w:pPr>
        <w:sectPr>
          <w:pgSz w:w="11900" w:h="16838" w:orient="portrait"/>
          <w:cols w:equalWidth="0" w:num="1">
            <w:col w:w="11420"/>
          </w:cols>
          <w:pgMar w:left="240" w:top="902" w:right="2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right="1320"/>
        <w:spacing w:after="0" w:line="286" w:lineRule="auto"/>
        <w:rPr>
          <w:sz w:val="20"/>
          <w:szCs w:val="20"/>
          <w:color w:val="auto"/>
        </w:rPr>
      </w:pPr>
      <w:r>
        <w:rPr>
          <w:rFonts w:ascii="Times New Roman" w:cs="Times New Roman" w:eastAsia="Times New Roman" w:hAnsi="Times New Roman"/>
          <w:sz w:val="17"/>
          <w:szCs w:val="17"/>
          <w:b w:val="1"/>
          <w:bCs w:val="1"/>
          <w:color w:val="auto"/>
        </w:rPr>
        <w:t xml:space="preserve">Contractual Obligations: </w:t>
      </w:r>
      <w:r>
        <w:rPr>
          <w:rFonts w:ascii="Times New Roman" w:cs="Times New Roman" w:eastAsia="Times New Roman" w:hAnsi="Times New Roman"/>
          <w:sz w:val="17"/>
          <w:szCs w:val="17"/>
          <w:color w:val="auto"/>
        </w:rPr>
        <w:t>Fixed rate debt (principal) Variable rate debt (principal) Operating lease obligations Total contractual obligations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&lt; 1 year</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20" w:type="dxa"/>
            <w:vAlign w:val="bottom"/>
          </w:tcPr>
          <w:p>
            <w:pPr>
              <w:spacing w:after="0"/>
              <w:rPr>
                <w:sz w:val="19"/>
                <w:szCs w:val="19"/>
                <w:color w:val="auto"/>
              </w:rPr>
            </w:pPr>
          </w:p>
        </w:tc>
      </w:tr>
      <w:tr>
        <w:trPr>
          <w:trHeight w:val="191"/>
        </w:trPr>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66,821,000</w:t>
            </w:r>
          </w:p>
        </w:tc>
        <w:tc>
          <w:tcPr>
            <w:tcW w:w="240" w:type="dxa"/>
            <w:vAlign w:val="bottom"/>
          </w:tcPr>
          <w:p>
            <w:pPr>
              <w:spacing w:after="0"/>
              <w:rPr>
                <w:sz w:val="16"/>
                <w:szCs w:val="16"/>
                <w:color w:val="auto"/>
              </w:rPr>
            </w:pPr>
          </w:p>
        </w:tc>
        <w:tc>
          <w:tcPr>
            <w:tcW w:w="200" w:type="dxa"/>
            <w:vAlign w:val="bottom"/>
            <w:tcBorders>
              <w:top w:val="single" w:sz="8" w:color="auto"/>
            </w:tcBorders>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2,338,000</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4,439,000</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44,794,000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15,250,000</w:t>
            </w:r>
          </w:p>
        </w:tc>
        <w:tc>
          <w:tcPr>
            <w:tcW w:w="20" w:type="dxa"/>
            <w:vAlign w:val="bottom"/>
          </w:tcPr>
          <w:p>
            <w:pPr>
              <w:spacing w:after="0"/>
              <w:rPr>
                <w:sz w:val="16"/>
                <w:szCs w:val="16"/>
                <w:color w:val="auto"/>
              </w:rPr>
            </w:pPr>
          </w:p>
        </w:tc>
      </w:tr>
      <w:tr>
        <w:trPr>
          <w:trHeight w:val="230"/>
        </w:trPr>
        <w:tc>
          <w:tcPr>
            <w:tcW w:w="2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33,948,000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1,260,000</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30,834,000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1,257,000</w:t>
            </w:r>
          </w:p>
        </w:tc>
      </w:tr>
      <w:tr>
        <w:trPr>
          <w:trHeight w:val="234"/>
        </w:trPr>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1,138,000</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919,000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1,965,000</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106,117,000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4,261,000</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76,547,000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18,472,000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-16510</wp:posOffset>
            </wp:positionV>
            <wp:extent cx="72466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-608330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400" w:space="720"/>
            <w:col w:w="7300"/>
          </w:cols>
          <w:pgMar w:left="240" w:top="902" w:right="239" w:bottom="1440" w:gutter="0" w:footer="0" w:header="0"/>
          <w:type w:val="continuous"/>
        </w:sectPr>
      </w:pPr>
    </w:p>
    <w:p>
      <w:pPr>
        <w:spacing w:after="0"/>
        <w:tabs>
          <w:tab w:leader="none" w:pos="4100" w:val="left"/>
          <w:tab w:leader="none" w:pos="4560" w:val="left"/>
          <w:tab w:leader="none" w:pos="5620" w:val="left"/>
          <w:tab w:leader="none" w:pos="6160" w:val="left"/>
          <w:tab w:leader="none" w:pos="7140" w:val="left"/>
          <w:tab w:leader="none" w:pos="7660" w:val="left"/>
          <w:tab w:leader="none" w:pos="8600" w:val="left"/>
          <w:tab w:leader="none" w:pos="9120" w:val="left"/>
          <w:tab w:leader="none" w:pos="10040" w:val="left"/>
          <w:tab w:leader="none" w:pos="10580" w:val="left"/>
        </w:tabs>
        <w:rPr>
          <w:sz w:val="20"/>
          <w:szCs w:val="20"/>
          <w:color w:val="auto"/>
        </w:rPr>
      </w:pPr>
      <w:r>
        <w:rPr>
          <w:rFonts w:ascii="Times New Roman" w:cs="Times New Roman" w:eastAsia="Times New Roman" w:hAnsi="Times New Roman"/>
          <w:sz w:val="18"/>
          <w:szCs w:val="18"/>
          <w:color w:val="auto"/>
        </w:rPr>
        <w:t>Interest payments on fixed and variable rate debt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25,106,000</w:t>
        <w:tab/>
        <w:t>$</w:t>
      </w:r>
      <w:r>
        <w:rPr>
          <w:sz w:val="20"/>
          <w:szCs w:val="20"/>
          <w:color w:val="auto"/>
        </w:rPr>
        <w:tab/>
      </w:r>
      <w:r>
        <w:rPr>
          <w:rFonts w:ascii="Times New Roman" w:cs="Times New Roman" w:eastAsia="Times New Roman" w:hAnsi="Times New Roman"/>
          <w:sz w:val="18"/>
          <w:szCs w:val="18"/>
          <w:color w:val="auto"/>
        </w:rPr>
        <w:t>4,165,000</w:t>
        <w:tab/>
        <w:t>$</w:t>
      </w:r>
      <w:r>
        <w:rPr>
          <w:sz w:val="20"/>
          <w:szCs w:val="20"/>
          <w:color w:val="auto"/>
        </w:rPr>
        <w:tab/>
      </w:r>
      <w:r>
        <w:rPr>
          <w:rFonts w:ascii="Times New Roman" w:cs="Times New Roman" w:eastAsia="Times New Roman" w:hAnsi="Times New Roman"/>
          <w:sz w:val="18"/>
          <w:szCs w:val="18"/>
          <w:color w:val="auto"/>
        </w:rPr>
        <w:t>8,087,000</w:t>
        <w:tab/>
        <w:t>$</w:t>
      </w:r>
      <w:r>
        <w:rPr>
          <w:sz w:val="20"/>
          <w:szCs w:val="20"/>
          <w:color w:val="auto"/>
        </w:rPr>
        <w:tab/>
      </w:r>
      <w:r>
        <w:rPr>
          <w:rFonts w:ascii="Times New Roman" w:cs="Times New Roman" w:eastAsia="Times New Roman" w:hAnsi="Times New Roman"/>
          <w:sz w:val="18"/>
          <w:szCs w:val="18"/>
          <w:color w:val="auto"/>
        </w:rPr>
        <w:t>7,615,000</w:t>
        <w:tab/>
        <w:t>$</w:t>
      </w:r>
      <w:r>
        <w:rPr>
          <w:sz w:val="20"/>
          <w:szCs w:val="20"/>
          <w:color w:val="auto"/>
        </w:rPr>
        <w:tab/>
      </w:r>
      <w:r>
        <w:rPr>
          <w:rFonts w:ascii="Times New Roman" w:cs="Times New Roman" w:eastAsia="Times New Roman" w:hAnsi="Times New Roman"/>
          <w:sz w:val="18"/>
          <w:szCs w:val="18"/>
          <w:color w:val="auto"/>
        </w:rPr>
        <w:t>5,239,000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2017. In addition, we have the ability to control the timing of a portion of our investing cash flows to the extent necessary based on our liquidity demands.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and Variable Rate Debt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of amounts included in long-term debt can be found above and in the Notes to Consolidated Financial Statements included in this Quarterly Report on Form 10-Q. The table above assumes that long-term debt is held to maturity.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Payments on Fixed and Variable Debt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above assumes that our fixed rate and long-term debt is held to maturity and the interest rates on our variable rate debt remain unchanged for the remaining life of the debt from those in effect at July 31,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1997, in connection with the acquisition of Ronald Michaelis Ranches, Inc., we issued 30,000 shares of Series B Convertible Preferred Stock at $100 par value (the “Series B Stock”), of which 14,790 were outstanding at July 31, 2017. The holders of the Series B Stock are entitled to receive cumulative cash dividends at an annual rate of 8.75% of par value. Such dividends are payable quarterly on the first day of January, April, July and October in each year commencing July 1, 1997 and total $0.2 million annually.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March and April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noncontributory, defined benefit, single employer pension plan (the “Plan”), which provides retirement benefits for all eligible employees of the Company. Effective June 2004, our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$0.5 million, $0.4 million, and $0.5 million for fiscal years 2016, 2015, and 2014, respectively and we expect to contribute approximately $0.7 million to the Plan in fiscal year 2017.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numerous operating lease commitments with remaining terms ranging from less than one year to twenty years. In fiscal year 2008, we installed a one mega-watt photovoltaic solar array on one of our agricultural properties located in Ventura County that produces a significant amount of the power to run our lemon packinghouse. The construction of this array was financed by Farm Credit Leasing and we have a long-term lease with Farm Credit Leasing for this array. Annual payments for this lease are $0.5 million, and at the end of ten years we have an option to purchase the array for $1.1 million. In fiscal year 2009, we entered into a similar transaction with Farm Credit Leasing for a second photovoltaic array at one of our agricultural properties located in the San Joaquin Valley to supply a significant amount of the power to operate four deep-water well pumps located on our property. Annual lease payments for this facility range from $0.3 million to $0.8 million, and at the end of ten years we have the option to purchase the array for $1.3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type w:val="continuous"/>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2013, we entered into a lease agreement with Cadiz, Inc. (“Cadiz”) to develop new lemon orchards on Cadiz’s agricultural property in eastern San Bernardino County, California (the “Cadiz Ranch”). Under the terms of the Lease Agreement, we have the right 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$0.1 million and $15,000 of lease expense in fiscal years 2016, 2015 and 2014, respectively.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3,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 An entity affiliated with WAM is the holder of 9,300 shares of our Series B-2 Preferred Stock.</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machinery and equipment for our packing operations and other land for our agricultural operations under leases with annual lease commitments that are individually immaterial.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Development Activities, Capital Expenditures and Related Capital Resources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10, 2015 (the “Transaction Date”), we entered into a joint venture with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on the Transaction Date, the Joint Venture and Limoneira entered into a lease agreement (the "Lease Agreement"), pursuant to which the Joint Venture will lease certain of the contributed East Area I property back to Limoneira for continuation of agricultural operations, and certain other permitted uses, on the property until the Joint Venture requires the property for development. The Lease Agreement will terminate in stages corresponding to the Joint Venture's development of the property, which is to occur in stages pursuant to a phased master development plan. The Joint Venture is required to provide Limoneira with written notice 180 days prior to the termination of any portion of the Lease Agreement. In any event, the Lease Agreement will terminate five years from the Transaction Date.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receive approximately $100.0 million from the Joint Venture over the estimated 7- to 10-year life of the project. The Joint Venture partners will share in capital contributions to fund project costs until project loan proceeds and or revenues are sufficient to fund the project. These funding requirements are currently estimated to total $10.0 to $15.0 million for each Joint Venture partner in the first two to three years of the project, and we funded $7.5 million in the nine months ended July 31, 2017 and $2.3 million in fiscal year 2016. The Joint Venture partners may be required to provide loans guarantees for project loans.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and in Note 7 – Real Estate Development and Note 8 – Equity Investments in the Notes to Consolidated Financial Statements included in our fiscal year 2016 Annual Report on Form 10-K, we have investments in joint ventures and partnerships that are accounted for using the equity method of accounting.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general policy, revenue and related costs are recognized when (i) persuasive evidence of an arrangement exists, (ii) delivery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Agribusiness Revenue - </w:t>
      </w:r>
      <w:r>
        <w:rPr>
          <w:rFonts w:ascii="Times New Roman" w:cs="Times New Roman" w:eastAsia="Times New Roman" w:hAnsi="Times New Roman"/>
          <w:sz w:val="18"/>
          <w:szCs w:val="18"/>
          <w:color w:val="auto"/>
        </w:rPr>
        <w:t>Revenue from lemon sales is generally recognized FOB shipping point when the customer takes possession of the fruit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$263,000, $114,000 and $115,000 in fiscal years 2016, 2015 and 2014, respectively.</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avocados, oranges, specialty citrus and other specialty crops are packed and sold by Calavo and other third-party packinghouses. Specifically, we deliver all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 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crop insurance proceeds is recorded when the amount of and the right to receive the payment can be reasonably determined. We recorded agribusiness revenues from crop insurance proceeds of $83,000, $9,000 and $184,000 in fiscal years 2016, 2015 and 2014, respectively.</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Rental Revenue - </w:t>
      </w:r>
      <w:r>
        <w:rPr>
          <w:rFonts w:ascii="Times New Roman" w:cs="Times New Roman" w:eastAsia="Times New Roman" w:hAnsi="Times New Roman"/>
          <w:sz w:val="18"/>
          <w:szCs w:val="18"/>
          <w:color w:val="auto"/>
        </w:rPr>
        <w:t>Minimum rental revenues are generally recognized on a straight-line basis over the respective initial lease term. Contingent rental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Real Estate Development Revenue – </w:t>
      </w:r>
      <w:r>
        <w:rPr>
          <w:rFonts w:ascii="Times New Roman" w:cs="Times New Roman" w:eastAsia="Times New Roman" w:hAnsi="Times New Roman"/>
          <w:sz w:val="18"/>
          <w:szCs w:val="18"/>
          <w:color w:val="auto"/>
        </w:rPr>
        <w:t>We recognize revenue on real estate development projects in accordance with FASB ASC 360-20,</w:t>
      </w:r>
      <w:r>
        <w:rPr>
          <w:rFonts w:ascii="Times New Roman" w:cs="Times New Roman" w:eastAsia="Times New Roman" w:hAnsi="Times New Roman"/>
          <w:sz w:val="18"/>
          <w:szCs w:val="18"/>
          <w:i w:val="1"/>
          <w:iCs w:val="1"/>
          <w:color w:val="auto"/>
        </w:rPr>
        <w:t xml:space="preserve"> Real Estate Sales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Real Estate Development Costs </w:t>
      </w:r>
      <w:r>
        <w:rPr>
          <w:rFonts w:ascii="Times New Roman" w:cs="Times New Roman" w:eastAsia="Times New Roman" w:hAnsi="Times New Roman"/>
          <w:sz w:val="18"/>
          <w:szCs w:val="18"/>
          <w:color w:val="auto"/>
        </w:rPr>
        <w:t>- We capitalize the planning, entitlement, construction, development costs and interest associated with our various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or the commencement of sales. Once a project is considered substantially complete, future costs are expensed as incurred. For the nine months ended July 31, 2017, we capitalized approximately $5.0 million of costs related to our real estate projects and expensed approximately $0.3 million of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Deferred income tax assets and liabilities are computed annually for differences between the financial statement and income tax bases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and Asset Acquisitions </w:t>
      </w:r>
      <w:r>
        <w:rPr>
          <w:rFonts w:ascii="Times New Roman" w:cs="Times New Roman" w:eastAsia="Times New Roman" w:hAnsi="Times New Roman"/>
          <w:sz w:val="18"/>
          <w:szCs w:val="18"/>
          <w:color w:val="auto"/>
        </w:rPr>
        <w:t>– Business Combinations are accounted for under the acquisition method in accordance with ASC 805,</w:t>
      </w:r>
      <w:r>
        <w:rPr>
          <w:rFonts w:ascii="Times New Roman" w:cs="Times New Roman" w:eastAsia="Times New Roman" w:hAnsi="Times New Roman"/>
          <w:sz w:val="18"/>
          <w:szCs w:val="18"/>
          <w:i w:val="1"/>
          <w:iCs w:val="1"/>
          <w:color w:val="auto"/>
        </w:rPr>
        <w:t xml:space="preserve"> Business Combinations</w:t>
      </w:r>
      <w:r>
        <w:rPr>
          <w:rFonts w:ascii="Times New Roman" w:cs="Times New Roman" w:eastAsia="Times New Roman" w:hAnsi="Times New Roman"/>
          <w:sz w:val="18"/>
          <w:szCs w:val="18"/>
          <w:color w:val="auto"/>
        </w:rPr>
        <w:t>. The acquisition method requires identifiable assets acquired and liabilities assumed and any noncontrolling interest in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 We use derivative financial instruments for purposes other than trading to manage our exposure to interest rates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evaluate our long-lived assets including our real estate development projects for impairment when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the carrying value of these assets may not be recoverable. For the nine months ended July 31, 2017, we recorded $0.1 million impairment charge on our Pacific Crest real estate development project.</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Defined Benefit Retirement Plan </w:t>
      </w:r>
      <w:r>
        <w:rPr>
          <w:rFonts w:ascii="Times New Roman" w:cs="Times New Roman" w:eastAsia="Times New Roman" w:hAnsi="Times New Roman"/>
          <w:sz w:val="18"/>
          <w:szCs w:val="18"/>
          <w:color w:val="auto"/>
        </w:rPr>
        <w:t>– As discussed in the notes to our consolidated financial statements, we sponsor a defined benefit retirement plan that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rates of return and mortality tables. During 2016, the Society of Actuaries (“SOA”) released a new mortality improvement scale table, referred to as MP-2016, which is believed to better reflect mortality improvements and is to be used in calculating defined benefit pension obligations. In addition, during fiscal year 2016, the assumed discount rate used to measure the pension obligation decreased from 4.1% to 3.6% as a result of changes in market interest rates. We used the latest mortality tables released by the SOA through October 2016 to measure our pension obligation as of October 31, 2016 and combined with the decrease in the assumed discount rate and other demographic assumptions, our pension obligation increased by approximately $1.3 million as of October 31, 2016 with a corresponding decrease in other comprehensive income recognized net of tax. Further changes in any of these estimates could materially affect the amounts recorded that are related to our defined benefit retirement plan.</w:t>
      </w:r>
    </w:p>
    <w:p>
      <w:pPr>
        <w:spacing w:after="0" w:line="1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2016 as filed with the Securities and Exchange Commission (the “SEC”) on January 10, 2017.</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Disclosure Controls and Procedures. </w:t>
      </w:r>
      <w:r>
        <w:rPr>
          <w:rFonts w:ascii="Times New Roman" w:cs="Times New Roman" w:eastAsia="Times New Roman" w:hAnsi="Times New Roman"/>
          <w:sz w:val="18"/>
          <w:szCs w:val="18"/>
          <w:color w:val="auto"/>
        </w:rPr>
        <w:t>As of July 31, 2017, we carried out an evaluation, under the supervision and with the participation of our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Chief Executive Officer and Chief Financial Officer, of the effectiveness of the design and operation of our disclosure controls and procedures, as such term is defined in Rule 13a-15(e) promulgated under the Securities Exchange Act of 1934, as amended. Based upon that evaluation, our Chief Executive Officer and Chief Financial Officer concluded that our disclosure controls and procedures were effective as of the end of the period covered by this Quarterly Report on Form 10-Q. There have been no significant changes in our internal controls over financial reporting during the period covered by this Quarterly Report on Form 10-Q or, to our knowledge, in other factors that have materially affected, or are reasonably likely to materially affect, our internal controls over financial reporting.</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Limitations on the Effectiveness of Controls. </w:t>
      </w:r>
      <w:r>
        <w:rPr>
          <w:rFonts w:ascii="Times New Roman" w:cs="Times New Roman" w:eastAsia="Times New Roman" w:hAnsi="Times New Roman"/>
          <w:sz w:val="18"/>
          <w:szCs w:val="18"/>
          <w:color w:val="auto"/>
        </w:rPr>
        <w:t>Control systems, no matter how well conceived and operated, are designed to provide a reasonable, but not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of PDA. </w:t>
      </w:r>
      <w:r>
        <w:rPr>
          <w:rFonts w:ascii="Times New Roman" w:cs="Times New Roman" w:eastAsia="Times New Roman" w:hAnsi="Times New Roman"/>
          <w:sz w:val="18"/>
          <w:szCs w:val="18"/>
          <w:color w:val="auto"/>
        </w:rPr>
        <w:t>We will exclude PDA’s operations from our management’s report on internal control over financial reporting as we continue to evaluate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internal controls. This exclusion is in accordance with the general guidance issued by the Staff of the Securities and Exchange Commission that an assessment of a recent business combination may be omitted from management’s report on internal control over financial reporting in the first year of consolidation.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threatened against us.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factors and uncertainties associated with our business have not changed materially from those disclosed in Part I, Item 1A of our Annual Report on Form 10-K for the fiscal year ended October 31, 2016, as filed with the SEC on January 10, 2017.</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10260" w:type="dxa"/>
            <w:vAlign w:val="bottom"/>
            <w:gridSpan w:val="14"/>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410"/>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1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9"/>
        </w:trPr>
        <w:tc>
          <w:tcPr>
            <w:tcW w:w="20" w:type="dxa"/>
            <w:vAlign w:val="bottom"/>
          </w:tcPr>
          <w:p>
            <w:pPr>
              <w:spacing w:after="0"/>
              <w:rPr>
                <w:sz w:val="14"/>
                <w:szCs w:val="14"/>
                <w:color w:val="auto"/>
              </w:rPr>
            </w:pPr>
          </w:p>
        </w:tc>
        <w:tc>
          <w:tcPr>
            <w:tcW w:w="520" w:type="dxa"/>
            <w:vAlign w:val="bottom"/>
            <w:tcBorders>
              <w:top w:val="single" w:sz="8" w:color="auto"/>
            </w:tcBorders>
            <w:gridSpan w:val="3"/>
          </w:tcPr>
          <w:p>
            <w:pPr>
              <w:ind w:left="160"/>
              <w:spacing w:after="0" w:line="170"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13"/>
          </w:tcPr>
          <w:p>
            <w:pPr>
              <w:spacing w:after="0" w:line="170"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Restated Certificate of Incorporation of Limoneira Company, dated July 5, 1990 (Incorporated by reference to exhibit 3.1 to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Company’s Registration Statement on Form 10, and amendments thereto, declared effective April 13, 2010 (File No. 000-53885))</w:t>
              </w:r>
            </w:hyperlink>
          </w:p>
        </w:tc>
        <w:tc>
          <w:tcPr>
            <w:tcW w:w="20" w:type="dxa"/>
            <w:vAlign w:val="bottom"/>
          </w:tcPr>
          <w:p>
            <w:pPr>
              <w:spacing w:after="0"/>
              <w:rPr>
                <w:sz w:val="17"/>
                <w:szCs w:val="17"/>
                <w:color w:val="auto"/>
              </w:rPr>
            </w:pPr>
          </w:p>
        </w:tc>
      </w:tr>
      <w:tr>
        <w:trPr>
          <w:trHeight w:val="20"/>
        </w:trPr>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Certificate of Merger of Limoneira Company and The Samuel Edwards Associates into Limoneira Company, dated October 31,</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1990 (Incorporated by reference to exhibit 3.2 to the Company’s Registration Statement on Form 10, and amendments thereto, declared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effective April 13, 2010 (File No. 000-53885))</w:t>
              </w:r>
            </w:hyperlink>
          </w:p>
        </w:tc>
        <w:tc>
          <w:tcPr>
            <w:tcW w:w="6660" w:type="dxa"/>
            <w:vAlign w:val="bottom"/>
            <w:gridSpan w:val="9"/>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Merger of McKevett Corporation into Limoneira Company dated December 31, 1994 (Incorporated by reference to exhibit</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Registration Statement on Form 10, and amendments thereto, declared effective April 13, 2010 (File No. 000-</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53885)</w:t>
              </w:r>
              <w:r>
                <w:rPr>
                  <w:rFonts w:ascii="Times New Roman" w:cs="Times New Roman" w:eastAsia="Times New Roman" w:hAnsi="Times New Roman"/>
                  <w:sz w:val="18"/>
                  <w:szCs w:val="18"/>
                  <w:u w:val="single" w:color="auto"/>
                  <w:color w:val="0000EE"/>
                  <w:w w:val="98"/>
                </w:rPr>
                <w:t>)</w:t>
              </w:r>
            </w:hyperlink>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Agreement of Merger Between Ronald Michaelis Ranches, Inc. and Limoneira Company, dated June 24, 1997 (Incorporated by reference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to exhibit 3.6 to the Company’s Registration Statement on Form 10, and amendments thereto, declared effective April 13, 2010 (File No.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000-53885))</w:t>
              </w:r>
            </w:hyperlink>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Amendment of Certificate of Incorporation of Limoneira Company, dated April 22, 2003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exhibit 3.7 to the Company’s Registration Statement on Form 10, and amendments thereto, declared effective April 13, 2010 (File No.</w:t>
              </w:r>
            </w:hyperlink>
          </w:p>
        </w:tc>
        <w:tc>
          <w:tcPr>
            <w:tcW w:w="20" w:type="dxa"/>
            <w:vAlign w:val="bottom"/>
            <w:tcBorders>
              <w:top w:val="single" w:sz="8" w:color="0000E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4">
              <w:r>
                <w:rPr>
                  <w:rFonts w:ascii="Times New Roman" w:cs="Times New Roman" w:eastAsia="Times New Roman" w:hAnsi="Times New Roman"/>
                  <w:sz w:val="18"/>
                  <w:szCs w:val="18"/>
                  <w:color w:val="0000EE"/>
                  <w:w w:val="97"/>
                </w:rPr>
                <w:t>000-53885))</w:t>
              </w:r>
            </w:hyperlink>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Amendment of Certificate of Incorporation of Limoneira Company, dated March 24, 2010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exhibit 3.9 to the Company’s Registration Statement on Form 10, and amendments thereto, declared effective April 13, 2010 (File No.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000-53885))</w:t>
              </w:r>
            </w:hyperlink>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Amendment of Certification of Incorporation of Limoneira Company, dated March 29, 2017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exhibit 3.1 to the Company’s Current Report on Form 8-K, filed March 31, 2017 (File No. 001-34755))</w:t>
              </w:r>
            </w:hyperlink>
          </w:p>
        </w:tc>
        <w:tc>
          <w:tcPr>
            <w:tcW w:w="25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Amended and Restated Bylaws of Limoneira Company (Incorporated by reference to exhibit 3.10 to the Company’s Annual Report on</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Form 10-K, filed January 14, 2013 (File No. 001-34755))</w:t>
              </w:r>
            </w:hyperlink>
          </w:p>
        </w:tc>
        <w:tc>
          <w:tcPr>
            <w:tcW w:w="5880" w:type="dxa"/>
            <w:vAlign w:val="bottom"/>
            <w:tcBorders>
              <w:top w:val="single" w:sz="8" w:color="0000EE"/>
            </w:tcBorders>
            <w:gridSpan w:val="8"/>
          </w:tcPr>
          <w:p>
            <w:pPr>
              <w:spacing w:after="0"/>
              <w:rPr>
                <w:sz w:val="17"/>
                <w:szCs w:val="17"/>
                <w:color w:val="auto"/>
              </w:rPr>
            </w:pPr>
          </w:p>
        </w:tc>
      </w:tr>
      <w:tr>
        <w:trPr>
          <w:trHeight w:val="412"/>
        </w:trPr>
        <w:tc>
          <w:tcPr>
            <w:tcW w:w="1160" w:type="dxa"/>
            <w:vAlign w:val="bottom"/>
            <w:gridSpan w:val="5"/>
          </w:tcPr>
          <w:p>
            <w:pPr>
              <w:ind w:left="180"/>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8.1</w:t>
              </w:r>
            </w:hyperlink>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8-K, filed September 25, 2013 (File No. 001-34755))</w:t>
              </w:r>
            </w:hyperlink>
          </w:p>
        </w:tc>
        <w:tc>
          <w:tcPr>
            <w:tcW w:w="20" w:type="dxa"/>
            <w:vAlign w:val="bottom"/>
          </w:tcPr>
          <w:p>
            <w:pPr>
              <w:spacing w:after="0"/>
              <w:rPr>
                <w:sz w:val="17"/>
                <w:szCs w:val="17"/>
                <w:color w:val="auto"/>
              </w:rPr>
            </w:pPr>
          </w:p>
        </w:tc>
      </w:tr>
      <w:tr>
        <w:trPr>
          <w:trHeight w:val="20"/>
        </w:trPr>
        <w:tc>
          <w:tcPr>
            <w:tcW w:w="1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ind w:left="180"/>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8.2</w:t>
              </w:r>
            </w:hyperlink>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Report on Form 8-K, filed December 18, 2014 (File No. 001-34755))</w:t>
              </w:r>
            </w:hyperlink>
          </w:p>
        </w:tc>
        <w:tc>
          <w:tcPr>
            <w:tcW w:w="50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gridSpan w:val="5"/>
          </w:tcPr>
          <w:p>
            <w:pPr>
              <w:ind w:left="180"/>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8.3</w:t>
              </w:r>
            </w:hyperlink>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filed January 25, 2017 (File No. 001-34755))</w:t>
              </w:r>
            </w:hyperlink>
          </w:p>
        </w:tc>
        <w:tc>
          <w:tcPr>
            <w:tcW w:w="20" w:type="dxa"/>
            <w:vAlign w:val="bottom"/>
          </w:tcPr>
          <w:p>
            <w:pPr>
              <w:spacing w:after="0"/>
              <w:rPr>
                <w:sz w:val="17"/>
                <w:szCs w:val="17"/>
                <w:color w:val="auto"/>
              </w:rPr>
            </w:pPr>
          </w:p>
        </w:tc>
      </w:tr>
      <w:tr>
        <w:trPr>
          <w:trHeight w:val="20"/>
        </w:trPr>
        <w:tc>
          <w:tcPr>
            <w:tcW w:w="11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gridSpan w:val="5"/>
          </w:tcPr>
          <w:p>
            <w:pPr>
              <w:ind w:left="180"/>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8.4</w:t>
              </w:r>
            </w:hyperlink>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Report on Form 8-K, filed July 26, 2017 (File No. 001-34755))</w:t>
              </w:r>
            </w:hyperlink>
          </w:p>
        </w:tc>
        <w:tc>
          <w:tcPr>
            <w:tcW w:w="20" w:type="dxa"/>
            <w:vAlign w:val="bottom"/>
          </w:tcPr>
          <w:p>
            <w:pPr>
              <w:spacing w:after="0"/>
              <w:rPr>
                <w:sz w:val="17"/>
                <w:szCs w:val="17"/>
                <w:color w:val="auto"/>
              </w:rPr>
            </w:pPr>
          </w:p>
        </w:tc>
      </w:tr>
      <w:tr>
        <w:trPr>
          <w:trHeight w:val="20"/>
        </w:trPr>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 xml:space="preserve">Specimen Certificate representing shares of Common Stock, par value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0.01 per share (Incorporated by reference to exhibit 4.1 to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Company’s Registration Statement on Form 10, and amendments thereto, declared effective April 13, 2010 (File No. 000-53885))</w:t>
              </w:r>
            </w:hyperlink>
          </w:p>
        </w:tc>
      </w:tr>
      <w:tr>
        <w:trPr>
          <w:trHeight w:val="20"/>
        </w:trPr>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474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Rights Agreement dated December 20, 2006 between Limoneira Company and The Bank of New York, as Rights Agent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reference to exhibit 4.2 to the Company’s Registration Statement on Form 10, and amendments thereto, declared effective April 13, 2010</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(File No. 000-53885))</w:t>
              </w:r>
            </w:hyperlink>
          </w:p>
        </w:tc>
      </w:tr>
      <w:tr>
        <w:trPr>
          <w:trHeight w:val="20"/>
        </w:trPr>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13"/>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Certificate of Designation, Preferences and Rights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8.75 Voting Preferred Stock,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 Par Value, Series B of Limoneira Company,</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gridSpan w:val="7"/>
            <w:shd w:val="clear" w:color="auto" w:fill="0000EE"/>
          </w:tcPr>
          <w:p>
            <w:pPr>
              <w:spacing w:after="0" w:line="20" w:lineRule="exact"/>
              <w:rPr>
                <w:sz w:val="1"/>
                <w:szCs w:val="1"/>
                <w:color w:val="auto"/>
              </w:rPr>
            </w:pPr>
          </w:p>
        </w:tc>
        <w:tc>
          <w:tcPr>
            <w:tcW w:w="54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1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dated May 21, 1997 (Incorporated by reference to exhibit 3.4 to the Company’s Registration Statement on Form 10, and amendments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thereto, declared effective April 13, 2010 (File No. 000-53885))</w:t>
              </w:r>
            </w:hyperlink>
          </w:p>
        </w:tc>
        <w:tc>
          <w:tcPr>
            <w:tcW w:w="54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20" w:type="dxa"/>
            <w:vAlign w:val="bottom"/>
            <w:gridSpan w:val="7"/>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9"/>
        </w:trPr>
        <w:tc>
          <w:tcPr>
            <w:tcW w:w="20" w:type="dxa"/>
            <w:vAlign w:val="bottom"/>
          </w:tcPr>
          <w:p>
            <w:pPr>
              <w:spacing w:after="0"/>
              <w:rPr>
                <w:sz w:val="14"/>
                <w:szCs w:val="14"/>
                <w:color w:val="auto"/>
              </w:rPr>
            </w:pPr>
          </w:p>
        </w:tc>
        <w:tc>
          <w:tcPr>
            <w:tcW w:w="460" w:type="dxa"/>
            <w:vAlign w:val="bottom"/>
            <w:tcBorders>
              <w:top w:val="single" w:sz="8" w:color="auto"/>
            </w:tcBorders>
            <w:gridSpan w:val="3"/>
          </w:tcPr>
          <w:p>
            <w:pPr>
              <w:ind w:left="160"/>
              <w:spacing w:after="0" w:line="170"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9"/>
          </w:tcPr>
          <w:p>
            <w:pPr>
              <w:spacing w:after="0" w:line="170"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 xml:space="preserve">Amended Certificate of Designation, Preferences and Rights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8.75 Voting Preferred Stock,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 Par Value, Series B of Limoneira</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Company, dated May 21, 1997 (Incorporated by reference to exhibit 3.4 to the Company’s Registration Statement on Form 10, and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amendments thereto, declared effective April 13, 2010 (File No. 000-53885))</w:t>
              </w:r>
            </w:hyperlink>
          </w:p>
        </w:tc>
        <w:tc>
          <w:tcPr>
            <w:tcW w:w="4460" w:type="dxa"/>
            <w:vAlign w:val="bottom"/>
            <w:gridSpan w:val="6"/>
          </w:tcPr>
          <w:p>
            <w:pPr>
              <w:spacing w:after="0"/>
              <w:rPr>
                <w:sz w:val="17"/>
                <w:szCs w:val="17"/>
                <w:color w:val="auto"/>
              </w:rPr>
            </w:pPr>
          </w:p>
        </w:tc>
      </w:tr>
      <w:tr>
        <w:trPr>
          <w:trHeight w:val="412"/>
        </w:trPr>
        <w:tc>
          <w:tcPr>
            <w:tcW w:w="480" w:type="dxa"/>
            <w:vAlign w:val="bottom"/>
            <w:gridSpan w:val="4"/>
          </w:tcPr>
          <w:p>
            <w:pPr>
              <w:ind w:left="180"/>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Certificate of Designation, Preferences and Rights of Series A Junior Participating Preferred Stock, $.01 Par Value, of Limoneira</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Company, dated November 21, 2006 (Incorporated by reference to exhibit 3.8 to the Company’s Registration Statement on Form 10, and</w:t>
              </w:r>
            </w:hyperlink>
          </w:p>
        </w:tc>
        <w:tc>
          <w:tcPr>
            <w:tcW w:w="20" w:type="dxa"/>
            <w:vAlign w:val="bottom"/>
            <w:tcBorders>
              <w:bottom w:val="single" w:sz="8" w:color="0000E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amendments thereto, declared effective April 13, 2010 (File No. 000-53885))</w:t>
              </w:r>
            </w:hyperlink>
          </w:p>
        </w:tc>
        <w:tc>
          <w:tcPr>
            <w:tcW w:w="4460" w:type="dxa"/>
            <w:vAlign w:val="bottom"/>
            <w:gridSpan w:val="6"/>
          </w:tcPr>
          <w:p>
            <w:pPr>
              <w:spacing w:after="0"/>
              <w:rPr>
                <w:sz w:val="17"/>
                <w:szCs w:val="17"/>
                <w:color w:val="auto"/>
              </w:rPr>
            </w:pPr>
          </w:p>
        </w:tc>
      </w:tr>
      <w:tr>
        <w:trPr>
          <w:trHeight w:val="412"/>
        </w:trPr>
        <w:tc>
          <w:tcPr>
            <w:tcW w:w="480" w:type="dxa"/>
            <w:vAlign w:val="bottom"/>
            <w:gridSpan w:val="4"/>
          </w:tcPr>
          <w:p>
            <w:pPr>
              <w:ind w:left="180"/>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 xml:space="preserve">Certificate of Designation, Preferences and Rights of 4% Voting Preferred Stock,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100.00 Par Value, Series B-2 of Limoneira Company,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dated March 20, 2014 (Incorporated by reference to exhibit 3.1 to the Company’s Current Report on Form 8-K filed March 24, 2014 (File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No. 001-34755))</w:t>
              </w:r>
            </w:hyperlink>
          </w:p>
        </w:tc>
        <w:tc>
          <w:tcPr>
            <w:tcW w:w="8820" w:type="dxa"/>
            <w:vAlign w:val="bottom"/>
            <w:gridSpan w:val="7"/>
          </w:tcPr>
          <w:p>
            <w:pPr>
              <w:spacing w:after="0"/>
              <w:rPr>
                <w:sz w:val="17"/>
                <w:szCs w:val="17"/>
                <w:color w:val="auto"/>
              </w:rPr>
            </w:pPr>
          </w:p>
        </w:tc>
      </w:tr>
      <w:tr>
        <w:trPr>
          <w:trHeight w:val="412"/>
        </w:trPr>
        <w:tc>
          <w:tcPr>
            <w:tcW w:w="580" w:type="dxa"/>
            <w:vAlign w:val="bottom"/>
            <w:gridSpan w:val="5"/>
          </w:tcPr>
          <w:p>
            <w:pPr>
              <w:ind w:left="180"/>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Master Loan Agreement, dated June 19, 2017, between Limoneira Company and Farm Credit West, FLCA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exhibit 10.1 to the Company’s Current Report on Form 8-K, filed June 21, 2017 (File No. 001-34755))</w:t>
              </w:r>
            </w:hyperlink>
          </w:p>
        </w:tc>
      </w:tr>
      <w:tr>
        <w:trPr>
          <w:trHeight w:val="20"/>
        </w:trPr>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5"/>
          </w:tcPr>
          <w:p>
            <w:pPr>
              <w:ind w:left="180"/>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Revolving Credit Facility Supplement, dated June 19, 2017, between Limoneira Company and Farm Credit West, FLCA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reference to exhibit 10.2 to the Company’s Current Report on Form 8-K, filed June 21, 2017 (File No. 001-34755))</w:t>
              </w:r>
            </w:hyperlink>
          </w:p>
        </w:tc>
        <w:tc>
          <w:tcPr>
            <w:tcW w:w="20" w:type="dxa"/>
            <w:vAlign w:val="bottom"/>
          </w:tcPr>
          <w:p>
            <w:pPr>
              <w:spacing w:after="0"/>
              <w:rPr>
                <w:sz w:val="17"/>
                <w:szCs w:val="17"/>
                <w:color w:val="auto"/>
              </w:rPr>
            </w:pPr>
          </w:p>
        </w:tc>
      </w:tr>
      <w:tr>
        <w:trPr>
          <w:trHeight w:val="20"/>
        </w:trPr>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5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5"/>
          </w:tcPr>
          <w:p>
            <w:pPr>
              <w:ind w:left="180"/>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Non-revolving Credit Facility Supplement, dated June 19, 2017, between Limoneira Company and Farm Credit West, FLCA (Incorporated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by reference to exhibit 10.3 to the Company’s Current Report on Form 8-K, filed June 21, 2017 (File No. 001-34755))</w:t>
              </w:r>
            </w:hyperlink>
          </w:p>
        </w:tc>
      </w:tr>
      <w:tr>
        <w:trPr>
          <w:trHeight w:val="412"/>
        </w:trPr>
        <w:tc>
          <w:tcPr>
            <w:tcW w:w="580" w:type="dxa"/>
            <w:vAlign w:val="bottom"/>
            <w:gridSpan w:val="5"/>
          </w:tcPr>
          <w:p>
            <w:pPr>
              <w:ind w:left="180"/>
              <w:spacing w:after="0"/>
              <w:rPr>
                <w:rFonts w:ascii="Times New Roman" w:cs="Times New Roman" w:eastAsia="Times New Roman" w:hAnsi="Times New Roman"/>
                <w:sz w:val="18"/>
                <w:szCs w:val="18"/>
                <w:color w:val="0000EE"/>
                <w:w w:val="93"/>
              </w:rPr>
            </w:pPr>
            <w:hyperlink w:anchor="page59">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1*</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Certificate of the Principal Executive Officer Pursuant to Exchange Act Rule 13a-14(a) and 15d-14(a)</w:t>
              </w:r>
            </w:hyperlink>
          </w:p>
        </w:tc>
        <w:tc>
          <w:tcPr>
            <w:tcW w:w="1520" w:type="dxa"/>
            <w:vAlign w:val="bottom"/>
            <w:gridSpan w:val="2"/>
          </w:tcPr>
          <w:p>
            <w:pPr>
              <w:spacing w:after="0"/>
              <w:rPr>
                <w:sz w:val="24"/>
                <w:szCs w:val="24"/>
                <w:color w:val="auto"/>
              </w:rPr>
            </w:pPr>
          </w:p>
        </w:tc>
      </w:tr>
      <w:tr>
        <w:trPr>
          <w:trHeight w:val="20"/>
        </w:trPr>
        <w:tc>
          <w:tcPr>
            <w:tcW w:w="1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50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5"/>
          </w:tcPr>
          <w:p>
            <w:pPr>
              <w:ind w:left="180"/>
              <w:spacing w:after="0"/>
              <w:rPr>
                <w:rFonts w:ascii="Times New Roman" w:cs="Times New Roman" w:eastAsia="Times New Roman" w:hAnsi="Times New Roman"/>
                <w:sz w:val="18"/>
                <w:szCs w:val="18"/>
                <w:color w:val="0000EE"/>
                <w:w w:val="93"/>
              </w:rPr>
            </w:pPr>
            <w:hyperlink w:anchor="page60">
              <w:r>
                <w:rPr>
                  <w:rFonts w:ascii="Times New Roman" w:cs="Times New Roman" w:eastAsia="Times New Roman" w:hAnsi="Times New Roman"/>
                  <w:sz w:val="18"/>
                  <w:szCs w:val="18"/>
                  <w:color w:val="0000EE"/>
                  <w:w w:val="93"/>
                </w:rPr>
                <w:t>31.</w:t>
              </w:r>
              <w:r>
                <w:rPr>
                  <w:rFonts w:ascii="Times New Roman" w:cs="Times New Roman" w:eastAsia="Times New Roman" w:hAnsi="Times New Roman"/>
                  <w:sz w:val="18"/>
                  <w:szCs w:val="18"/>
                  <w:u w:val="single" w:color="auto"/>
                  <w:color w:val="0000EE"/>
                  <w:w w:val="93"/>
                </w:rPr>
                <w:t>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9"/>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Certificate of the Principal Financial and Accounting Officer Pursuant to Exchange Act Rule 13a-14(a) and 15d-14(a)</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640" w:type="dxa"/>
            <w:vAlign w:val="bottom"/>
            <w:gridSpan w:val="5"/>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040" w:type="dxa"/>
            <w:vAlign w:val="bottom"/>
            <w:gridSpan w:val="9"/>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of the Chief Executive Officer pursuant to 18 U.S.C. Section 1350, as adopted pursuant to Section 906 of the Sarbanes-Oxley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040" w:type="dxa"/>
            <w:vAlign w:val="bottom"/>
            <w:gridSpan w:val="9"/>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Certification of the Chief Financial Officer pursuant to 18 U.S.C. Section 1350, as adopted pursuant to Section 906 of the Sarbanes-Oxley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80" w:type="dxa"/>
            <w:vAlign w:val="bottom"/>
            <w:gridSpan w:val="8"/>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98" w:lineRule="exact"/>
        <w:rPr>
          <w:sz w:val="20"/>
          <w:szCs w:val="20"/>
          <w:color w:val="auto"/>
        </w:rPr>
      </w:pPr>
    </w:p>
    <w:p>
      <w:pPr>
        <w:ind w:left="820" w:hanging="353"/>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820" w:right="20" w:hanging="353"/>
        <w:spacing w:after="0" w:line="258"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LIMONEIRA COMPANY</w:t>
            </w:r>
          </w:p>
        </w:tc>
      </w:tr>
      <w:tr>
        <w:trPr>
          <w:trHeight w:val="44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26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S. EDWARDS</w:t>
            </w:r>
          </w:p>
        </w:tc>
      </w:tr>
      <w:tr>
        <w:trPr>
          <w:trHeight w:val="191"/>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Harold S. Edwards</w:t>
            </w: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4"/>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26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RUMLEY</w:t>
            </w:r>
          </w:p>
        </w:tc>
      </w:tr>
      <w:tr>
        <w:trPr>
          <w:trHeight w:val="191"/>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Rumley</w:t>
            </w:r>
          </w:p>
        </w:tc>
      </w:tr>
      <w:tr>
        <w:trPr>
          <w:trHeight w:val="234"/>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6180"/>
        <w:spacing w:after="0"/>
        <w:rPr>
          <w:sz w:val="20"/>
          <w:szCs w:val="20"/>
          <w:color w:val="auto"/>
        </w:rPr>
      </w:pPr>
      <w:r>
        <w:rPr>
          <w:rFonts w:ascii="Times New Roman" w:cs="Times New Roman" w:eastAsia="Times New Roman" w:hAnsi="Times New Roman"/>
          <w:sz w:val="18"/>
          <w:szCs w:val="18"/>
          <w:color w:val="auto"/>
        </w:rPr>
        <w:t>Treasurer and Corporate Secretary</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Harold S. Edwards, Chief Executive Officer of the registrant, certify that:</w:t>
      </w:r>
    </w:p>
    <w:p>
      <w:pPr>
        <w:spacing w:after="0" w:line="225" w:lineRule="exact"/>
        <w:rPr>
          <w:sz w:val="20"/>
          <w:szCs w:val="20"/>
          <w:color w:val="auto"/>
        </w:rPr>
      </w:pPr>
    </w:p>
    <w:p>
      <w:pPr>
        <w:ind w:left="440" w:hanging="432"/>
        <w:spacing w:after="0"/>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40" w:hanging="432"/>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0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S. Edwards</w:t>
            </w:r>
          </w:p>
        </w:tc>
      </w:tr>
      <w:tr>
        <w:trPr>
          <w:trHeight w:val="191"/>
        </w:trPr>
        <w:tc>
          <w:tcPr>
            <w:tcW w:w="57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Harold S. Edwards,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Joseph D. Rumley, Chief Financial Officer of the registrant, certify that:</w:t>
      </w:r>
    </w:p>
    <w:p>
      <w:pPr>
        <w:spacing w:after="0" w:line="225" w:lineRule="exact"/>
        <w:rPr>
          <w:sz w:val="20"/>
          <w:szCs w:val="20"/>
          <w:color w:val="auto"/>
        </w:rPr>
      </w:pPr>
    </w:p>
    <w:p>
      <w:pPr>
        <w:ind w:left="440" w:hanging="43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Limoneira Company (the “Registrant”);</w:t>
      </w:r>
    </w:p>
    <w:p>
      <w:pPr>
        <w:spacing w:after="0" w:line="252" w:lineRule="exact"/>
        <w:rPr>
          <w:rFonts w:ascii="Times New Roman" w:cs="Times New Roman" w:eastAsia="Times New Roman" w:hAnsi="Times New Roman"/>
          <w:sz w:val="18"/>
          <w:szCs w:val="18"/>
          <w:color w:val="auto"/>
        </w:rPr>
      </w:pPr>
    </w:p>
    <w:p>
      <w:pPr>
        <w:jc w:val="both"/>
        <w:ind w:left="440" w:hanging="432"/>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20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Rumley</w:t>
            </w:r>
          </w:p>
        </w:tc>
      </w:tr>
      <w:tr>
        <w:trPr>
          <w:trHeight w:val="191"/>
        </w:trPr>
        <w:tc>
          <w:tcPr>
            <w:tcW w:w="57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Rumley,</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0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2017 (the “Report”) of Limoneira Company (the “Registrant”), as filed with the Securities and Exchange Commission on the date hereof, I, Harold S. Edwards, Chief Executive Officer of the Registrant, hereby certify that:</w:t>
      </w:r>
    </w:p>
    <w:p>
      <w:pPr>
        <w:spacing w:after="0" w:line="162" w:lineRule="exact"/>
        <w:rPr>
          <w:sz w:val="20"/>
          <w:szCs w:val="20"/>
          <w:color w:val="auto"/>
        </w:rPr>
      </w:pPr>
    </w:p>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S. Edwards</w:t>
            </w:r>
          </w:p>
        </w:tc>
      </w:tr>
      <w:tr>
        <w:trPr>
          <w:trHeight w:val="191"/>
        </w:trPr>
        <w:tc>
          <w:tcPr>
            <w:tcW w:w="57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Harold S. Edwards,</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 (18 U.S.C. 1350)</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July 31, 2017 (the “Report”) of Limoneira Company (the “Registrant”), as filed with the Securities and Exchange Commission on the date hereof, I, Joseph D. Rumley, Chief Financial Officer of the Registrant, hereby certify that:</w:t>
      </w:r>
    </w:p>
    <w:p>
      <w:pPr>
        <w:spacing w:after="0" w:line="162" w:lineRule="exact"/>
        <w:rPr>
          <w:sz w:val="20"/>
          <w:szCs w:val="20"/>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September 11, 2017</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D. Rumley</w:t>
            </w:r>
          </w:p>
        </w:tc>
      </w:tr>
      <w:tr>
        <w:trPr>
          <w:trHeight w:val="191"/>
        </w:trPr>
        <w:tc>
          <w:tcPr>
            <w:tcW w:w="5720" w:type="dxa"/>
            <w:vAlign w:val="bottom"/>
          </w:tcPr>
          <w:p>
            <w:pPr>
              <w:spacing w:after="0"/>
              <w:rPr>
                <w:sz w:val="16"/>
                <w:szCs w:val="16"/>
                <w:color w:val="auto"/>
              </w:rPr>
            </w:pPr>
          </w:p>
        </w:tc>
        <w:tc>
          <w:tcPr>
            <w:tcW w:w="5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D. Rumley,</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2"/>
    </w:lvl>
    <w:lvl w:ilvl="1">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8"/>
    </w:lvl>
  </w:abstractNum>
  <w:abstractNum w:abstractNumId="11">
    <w:nsid w:val="79838CB2"/>
    <w:multiLevelType w:val="hybridMultilevel"/>
    <w:lvl w:ilvl="0">
      <w:lvlJc w:val="left"/>
      <w:lvlText w:val="%1."/>
      <w:numFmt w:val="decimal"/>
      <w:start w:val="8"/>
    </w:lvl>
  </w:abstractNum>
  <w:abstractNum w:abstractNumId="12">
    <w:nsid w:val="4353D0CD"/>
    <w:multiLevelType w:val="hybridMultilevel"/>
    <w:lvl w:ilvl="0">
      <w:lvlJc w:val="left"/>
      <w:lvlText w:val="%1."/>
      <w:numFmt w:val="decimal"/>
      <w:start w:val="21"/>
    </w:lvl>
  </w:abstractNum>
  <w:abstractNum w:abstractNumId="13">
    <w:nsid w:val="B03E0C6"/>
    <w:multiLevelType w:val="hybridMultilevel"/>
    <w:lvl w:ilvl="0">
      <w:lvlJc w:val="left"/>
      <w:lvlText w:val="%1."/>
      <w:numFmt w:val="decimal"/>
      <w:start w:val="21"/>
    </w:lvl>
  </w:abstractNum>
  <w:abstractNum w:abstractNumId="14">
    <w:nsid w:val="189A769B"/>
    <w:multiLevelType w:val="hybridMultilevel"/>
    <w:lvl w:ilvl="0">
      <w:lvlJc w:val="left"/>
      <w:lvlText w:val="%1."/>
      <w:numFmt w:val="decimal"/>
      <w:start w:val="2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lvl w:ilvl="1">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lvl w:ilvl="1">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80" Type="http://schemas.openxmlformats.org/officeDocument/2006/relationships/hyperlink" Target="http://www.sec.gov/Archives/edgar/data/1342423/000114420410007241/v173157_ex3-1.htm" TargetMode="External"/><Relationship Id="rId81" Type="http://schemas.openxmlformats.org/officeDocument/2006/relationships/hyperlink" Target="http://www.sec.gov/Archives/edgar/data/1342423/000114420410007241/v173157_ex3-2.htm" TargetMode="External"/><Relationship Id="rId82" Type="http://schemas.openxmlformats.org/officeDocument/2006/relationships/hyperlink" Target="http://www.sec.gov/Archives/edgar/data/1342423/000114420410007241/v173157_ex3-3.htm" TargetMode="External"/><Relationship Id="rId83" Type="http://schemas.openxmlformats.org/officeDocument/2006/relationships/hyperlink" Target="http://www.sec.gov/Archives/edgar/data/1342423/000114420410007241/v173157_ex3-6.htm" TargetMode="External"/><Relationship Id="rId84" Type="http://schemas.openxmlformats.org/officeDocument/2006/relationships/hyperlink" Target="http://www.sec.gov/Archives/edgar/data/1342423/000114420410007241/v173157_ex3-7.htm" TargetMode="External"/><Relationship Id="rId85" Type="http://schemas.openxmlformats.org/officeDocument/2006/relationships/hyperlink" Target="http://www.sec.gov/Archives/edgar/data/1342423/000114420410017415/v178900_ex3-9.htm" TargetMode="External"/><Relationship Id="rId86" Type="http://schemas.openxmlformats.org/officeDocument/2006/relationships/hyperlink" Target="http://www.sec.gov/Archives/edgar/data/1342423/000114420417018212/v463210_ex3-1.htm" TargetMode="External"/><Relationship Id="rId87" Type="http://schemas.openxmlformats.org/officeDocument/2006/relationships/hyperlink" Target="http://www.sec.gov/Archives/edgar/data/1342423/000114420413002202/v330368_ex3-10.htm" TargetMode="External"/><Relationship Id="rId88" Type="http://schemas.openxmlformats.org/officeDocument/2006/relationships/hyperlink" Target="http://www.sec.gov/Archives/edgar/data/1342423/000114420413052234/v354983_ex3-1.htm" TargetMode="External"/><Relationship Id="rId89" Type="http://schemas.openxmlformats.org/officeDocument/2006/relationships/hyperlink" Target="http://www.sec.gov/Archives/edgar/data/1342423/000114420414074732/v396904_ex3-1.htm" TargetMode="External"/><Relationship Id="rId90" Type="http://schemas.openxmlformats.org/officeDocument/2006/relationships/hyperlink" Target="http://www.sec.gov/Archives/edgar/data/1342423/000114420417003812/v457525_ex3-1.htm" TargetMode="External"/><Relationship Id="rId91" Type="http://schemas.openxmlformats.org/officeDocument/2006/relationships/hyperlink" Target="http://www.sec.gov/Archives/edgar/data/1342423/000114420417038316/v471546_ex3-1.htm" TargetMode="External"/><Relationship Id="rId92" Type="http://schemas.openxmlformats.org/officeDocument/2006/relationships/hyperlink" Target="http://www.sec.gov/Archives/edgar/data/1342423/000114420410007241/v173157_ex4-1.htm" TargetMode="External"/><Relationship Id="rId93" Type="http://schemas.openxmlformats.org/officeDocument/2006/relationships/hyperlink" Target="http://www.sec.gov/Archives/edgar/data/1342423/000114420410007241/v173157_ex4-2.htm" TargetMode="External"/><Relationship Id="rId94" Type="http://schemas.openxmlformats.org/officeDocument/2006/relationships/hyperlink" Target="http://www.sec.gov/Archives/edgar/data/1342423/000114420410007241/v173157_ex3-4.htm" TargetMode="External"/><Relationship Id="rId95" Type="http://schemas.openxmlformats.org/officeDocument/2006/relationships/hyperlink" Target="http://www.sec.gov/Archives/edgar/data/1342423/000114420410007241/v173157_ex3-8.htm" TargetMode="External"/><Relationship Id="rId96" Type="http://schemas.openxmlformats.org/officeDocument/2006/relationships/hyperlink" Target="http://www.sec.gov/Archives/edgar/data/1342423/000114420414017379/v372494_ex3-1.htm" TargetMode="External"/><Relationship Id="rId97" Type="http://schemas.openxmlformats.org/officeDocument/2006/relationships/hyperlink" Target="http://www.sec.gov/Archives/edgar/data/1342423/000114420417033455/v469385_ex10-1.htm" TargetMode="External"/><Relationship Id="rId98" Type="http://schemas.openxmlformats.org/officeDocument/2006/relationships/hyperlink" Target="http://www.sec.gov/Archives/edgar/data/1342423/000114420417033455/v469385_ex10-2.htm" TargetMode="External"/><Relationship Id="rId99" Type="http://schemas.openxmlformats.org/officeDocument/2006/relationships/hyperlink" Target="http://www.sec.gov/Archives/edgar/data/1342423/000114420417033455/v469385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2019-12-29T04:26:20Z</dcterms:created>
  <dcterms:modified xsi:type="dcterms:W3CDTF">2019-12-29T04:26:20Z</dcterms:modified>
</cp:coreProperties>
</file>