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520" w:type="dxa"/>
            <w:vAlign w:val="bottom"/>
            <w:gridSpan w:val="2"/>
            <w:vMerge w:val="restart"/>
          </w:tcPr>
          <w:p>
            <w:pPr>
              <w:spacing w:after="0"/>
              <w:rPr>
                <w:rFonts w:ascii="Times New Roman" w:cs="Times New Roman" w:eastAsia="Times New Roman" w:hAnsi="Times New Roman"/>
                <w:sz w:val="24"/>
                <w:szCs w:val="24"/>
                <w:color w:val="0000EE"/>
                <w:w w:val="96"/>
              </w:rPr>
            </w:pPr>
            <w:hyperlink r:id="rId10">
              <w:r>
                <w:rPr>
                  <w:rFonts w:ascii="Times New Roman" w:cs="Times New Roman" w:eastAsia="Times New Roman" w:hAnsi="Times New Roman"/>
                  <w:sz w:val="24"/>
                  <w:szCs w:val="24"/>
                  <w:color w:val="0000EE"/>
                  <w:w w:val="96"/>
                </w:rPr>
                <w:t>Young Ryan M.</w:t>
              </w:r>
            </w:hyperlink>
          </w:p>
        </w:tc>
        <w:tc>
          <w:tcPr>
            <w:tcW w:w="1540" w:type="dxa"/>
            <w:vAlign w:val="bottom"/>
          </w:tcPr>
          <w:p>
            <w:pPr>
              <w:spacing w:after="0"/>
              <w:rPr>
                <w:sz w:val="11"/>
                <w:szCs w:val="11"/>
                <w:color w:val="auto"/>
              </w:rPr>
            </w:pPr>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520" w:type="dxa"/>
            <w:vAlign w:val="bottom"/>
            <w:tcBorders>
              <w:bottom w:val="single" w:sz="8" w:color="0000EE"/>
            </w:tcBorders>
            <w:gridSpan w:val="2"/>
            <w:vMerge w:val="continue"/>
          </w:tcPr>
          <w:p>
            <w:pPr>
              <w:spacing w:after="0"/>
              <w:rPr>
                <w:sz w:val="14"/>
                <w:szCs w:val="14"/>
                <w:color w:val="auto"/>
              </w:rPr>
            </w:pPr>
          </w:p>
        </w:tc>
        <w:tc>
          <w:tcPr>
            <w:tcW w:w="1540" w:type="dxa"/>
            <w:vAlign w:val="bottom"/>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820" w:type="dxa"/>
            <w:vAlign w:val="bottom"/>
            <w:tcBorders>
              <w:bottom w:val="single" w:sz="8" w:color="9A9A9A"/>
            </w:tcBorders>
          </w:tcPr>
          <w:p>
            <w:pPr>
              <w:spacing w:after="0"/>
              <w:rPr>
                <w:sz w:val="17"/>
                <w:szCs w:val="17"/>
                <w:color w:val="auto"/>
              </w:rPr>
            </w:pPr>
          </w:p>
        </w:tc>
        <w:tc>
          <w:tcPr>
            <w:tcW w:w="15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10/21/2026</w:t>
            </w:r>
          </w:p>
        </w:tc>
        <w:tc>
          <w:tcPr>
            <w:tcW w:w="0" w:type="dxa"/>
            <w:vAlign w:val="bottom"/>
          </w:tcPr>
          <w:p>
            <w:pPr>
              <w:spacing w:after="0"/>
              <w:rPr>
                <w:sz w:val="1"/>
                <w:szCs w:val="1"/>
                <w:color w:val="auto"/>
              </w:rPr>
            </w:pP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820" w:type="dxa"/>
            <w:vAlign w:val="bottom"/>
          </w:tcPr>
          <w:p>
            <w:pPr>
              <w:ind w:left="320"/>
              <w:spacing w:after="0"/>
              <w:rPr>
                <w:sz w:val="20"/>
                <w:szCs w:val="20"/>
                <w:color w:val="auto"/>
              </w:rPr>
            </w:pPr>
            <w:r>
              <w:rPr>
                <w:rFonts w:ascii="Arial" w:cs="Arial" w:eastAsia="Arial" w:hAnsi="Arial"/>
                <w:sz w:val="15"/>
                <w:szCs w:val="15"/>
                <w:color w:val="auto"/>
              </w:rPr>
              <w:t>(First)</w:t>
            </w:r>
          </w:p>
        </w:tc>
        <w:tc>
          <w:tcPr>
            <w:tcW w:w="1540" w:type="dxa"/>
            <w:vAlign w:val="bottom"/>
          </w:tcPr>
          <w:p>
            <w:pPr>
              <w:ind w:left="540"/>
              <w:spacing w:after="0"/>
              <w:rPr>
                <w:sz w:val="20"/>
                <w:szCs w:val="20"/>
                <w:color w:val="auto"/>
              </w:rPr>
            </w:pPr>
            <w:r>
              <w:rPr>
                <w:rFonts w:ascii="Arial" w:cs="Arial" w:eastAsia="Arial" w:hAnsi="Arial"/>
                <w:sz w:val="15"/>
                <w:szCs w:val="15"/>
                <w:color w:val="auto"/>
              </w:rPr>
              <w:t>(Middle)</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Limoneira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LMNR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39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19" w:lineRule="exact"/>
        <w:rPr>
          <w:sz w:val="24"/>
          <w:szCs w:val="24"/>
          <w:color w:val="auto"/>
        </w:rPr>
      </w:pPr>
    </w:p>
    <w:tbl>
      <w:tblPr>
        <w:tblLayout w:type="fixed"/>
        <w:tblInd w:w="100" w:type="dxa"/>
        <w:tblCellMar>
          <w:top w:w="0" w:type="dxa"/>
          <w:left w:w="0" w:type="dxa"/>
          <w:bottom w:w="0" w:type="dxa"/>
          <w:right w:w="0" w:type="dxa"/>
        </w:tblCellMar>
      </w:tblPr>
      <w:tr>
        <w:trPr>
          <w:trHeight w:val="254"/>
        </w:trPr>
        <w:tc>
          <w:tcPr>
            <w:tcW w:w="2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w w:val="98"/>
              </w:rPr>
              <w:t>C/O LIMONEIRA COMPANY</w:t>
            </w:r>
          </w:p>
        </w:tc>
        <w:tc>
          <w:tcPr>
            <w:tcW w:w="0" w:type="dxa"/>
            <w:vAlign w:val="bottom"/>
          </w:tcPr>
          <w:p>
            <w:pPr>
              <w:spacing w:after="0"/>
              <w:rPr>
                <w:sz w:val="1"/>
                <w:szCs w:val="1"/>
                <w:color w:val="auto"/>
              </w:rPr>
            </w:pPr>
          </w:p>
        </w:tc>
      </w:tr>
      <w:tr>
        <w:trPr>
          <w:trHeight w:val="300"/>
        </w:trPr>
        <w:tc>
          <w:tcPr>
            <w:tcW w:w="2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1141 CUMMINGS ROAD</w:t>
            </w:r>
          </w:p>
        </w:tc>
        <w:tc>
          <w:tcPr>
            <w:tcW w:w="0" w:type="dxa"/>
            <w:vAlign w:val="bottom"/>
          </w:tcPr>
          <w:p>
            <w:pPr>
              <w:spacing w:after="0"/>
              <w:rPr>
                <w:sz w:val="1"/>
                <w:szCs w:val="1"/>
                <w:color w:val="auto"/>
              </w:rPr>
            </w:pPr>
          </w:p>
        </w:tc>
      </w:tr>
      <w:tr>
        <w:trPr>
          <w:trHeight w:val="50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840" w:type="dxa"/>
            <w:vAlign w:val="bottom"/>
            <w:vMerge w:val="restart"/>
          </w:tcPr>
          <w:p>
            <w:pPr>
              <w:ind w:left="200"/>
              <w:spacing w:after="0"/>
              <w:rPr>
                <w:sz w:val="20"/>
                <w:szCs w:val="20"/>
                <w:color w:val="auto"/>
              </w:rPr>
            </w:pPr>
            <w:r>
              <w:rPr>
                <w:rFonts w:ascii="Times New Roman" w:cs="Times New Roman" w:eastAsia="Times New Roman" w:hAnsi="Times New Roman"/>
                <w:sz w:val="20"/>
                <w:szCs w:val="20"/>
                <w:color w:val="0000FF"/>
              </w:rPr>
              <w:t>CA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0000FF"/>
              </w:rPr>
              <w:t>93060</w:t>
            </w:r>
          </w:p>
        </w:tc>
        <w:tc>
          <w:tcPr>
            <w:tcW w:w="0" w:type="dxa"/>
            <w:vAlign w:val="bottom"/>
          </w:tcPr>
          <w:p>
            <w:pPr>
              <w:spacing w:after="0"/>
              <w:rPr>
                <w:sz w:val="1"/>
                <w:szCs w:val="1"/>
                <w:color w:val="auto"/>
              </w:rPr>
            </w:pPr>
          </w:p>
        </w:tc>
      </w:tr>
      <w:tr>
        <w:trPr>
          <w:trHeight w:val="134"/>
        </w:trPr>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PAULA</w:t>
            </w:r>
          </w:p>
        </w:tc>
        <w:tc>
          <w:tcPr>
            <w:tcW w:w="84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6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20"/>
          <w:szCs w:val="20"/>
          <w:color w:val="0000FF"/>
        </w:rPr>
        <w:t>EVP, COO</w:t>
      </w:r>
    </w:p>
    <w:p>
      <w:pPr>
        <w:spacing w:after="0" w:line="20" w:lineRule="exact"/>
        <w:rPr>
          <w:sz w:val="24"/>
          <w:szCs w:val="24"/>
          <w:color w:val="auto"/>
        </w:rPr>
      </w:pPr>
      <w:r>
        <w:rPr>
          <w:sz w:val="24"/>
          <w:szCs w:val="24"/>
          <w:color w:val="auto"/>
        </w:rPr>
        <w:br w:type="column"/>
      </w:r>
    </w:p>
    <w:p>
      <w:pPr>
        <w:ind w:left="-9" w:right="440" w:firstLine="9"/>
        <w:spacing w:after="0" w:line="245"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79"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2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5"/>
                <w:szCs w:val="15"/>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9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3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80" w:type="dxa"/>
            <w:vAlign w:val="bottom"/>
            <w:gridSpan w:val="2"/>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1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Number</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40" w:type="dxa"/>
            <w:vAlign w:val="bottom"/>
          </w:tcPr>
          <w:p>
            <w:pPr>
              <w:ind w:left="40"/>
              <w:spacing w:after="0"/>
              <w:rPr>
                <w:sz w:val="20"/>
                <w:szCs w:val="20"/>
                <w:color w:val="auto"/>
              </w:rPr>
            </w:pPr>
            <w:r>
              <w:rPr>
                <w:rFonts w:ascii="Times New Roman" w:cs="Times New Roman" w:eastAsia="Times New Roman" w:hAnsi="Times New Roman"/>
                <w:sz w:val="15"/>
                <w:szCs w:val="15"/>
                <w:color w:val="008000"/>
              </w:rPr>
              <w:t>Exhibit 24.1 - Power of Attorney</w:t>
            </w: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Ryan M. Young</w:t>
            </w:r>
          </w:p>
        </w:tc>
        <w:tc>
          <w:tcPr>
            <w:tcW w:w="2440" w:type="dxa"/>
            <w:vAlign w:val="bottom"/>
            <w:gridSpan w:val="4"/>
          </w:tcPr>
          <w:p>
            <w:pPr>
              <w:jc w:val="right"/>
              <w:ind w:right="1280"/>
              <w:spacing w:after="0"/>
              <w:rPr>
                <w:sz w:val="20"/>
                <w:szCs w:val="20"/>
                <w:color w:val="auto"/>
              </w:rPr>
            </w:pPr>
            <w:r>
              <w:rPr>
                <w:rFonts w:ascii="Times New Roman" w:cs="Times New Roman" w:eastAsia="Times New Roman" w:hAnsi="Times New Roman"/>
                <w:sz w:val="20"/>
                <w:szCs w:val="20"/>
                <w:color w:val="0000FF"/>
              </w:rPr>
              <w:t>10/29/2026</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Ryan M. Young, an officer of Limoneira Company (the "Corporation"), hereby authorize and designate each of Amy Fukutomi and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Greg Hamm as my agent and attorney-in-fact, with full power of substitution to:</w:t>
      </w:r>
    </w:p>
    <w:p>
      <w:pPr>
        <w:spacing w:after="0" w:line="230" w:lineRule="exact"/>
        <w:rPr>
          <w:sz w:val="20"/>
          <w:szCs w:val="20"/>
          <w:color w:val="auto"/>
        </w:rPr>
      </w:pPr>
    </w:p>
    <w:p>
      <w:pPr>
        <w:jc w:val="both"/>
        <w:ind w:right="60"/>
        <w:spacing w:after="0" w:line="266"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sign on my behalf any Form 3, Form 4 or Form 5 under Section l6 of the Securities Exchange Act of 1934, as amended, and file the same with the Securities and Exchange Commission and each stock exchange on which the securities of the Corporation are listed;</w:t>
      </w:r>
    </w:p>
    <w:p>
      <w:pPr>
        <w:spacing w:after="0" w:line="195" w:lineRule="exact"/>
        <w:rPr>
          <w:rFonts w:ascii="Times New Roman" w:cs="Times New Roman" w:eastAsia="Times New Roman" w:hAnsi="Times New Roman"/>
          <w:sz w:val="20"/>
          <w:szCs w:val="20"/>
          <w:color w:val="auto"/>
        </w:rPr>
      </w:pPr>
    </w:p>
    <w:p>
      <w:pPr>
        <w:ind w:right="640"/>
        <w:spacing w:after="0" w:line="282"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prepare and sign on my behalf any Form 144 Notice under the Securities Act of 1933, as amended, and file the same with the Securities and Exchange Commission; and</w:t>
      </w:r>
    </w:p>
    <w:p>
      <w:pPr>
        <w:spacing w:after="0" w:line="179" w:lineRule="exact"/>
        <w:rPr>
          <w:rFonts w:ascii="Times New Roman" w:cs="Times New Roman" w:eastAsia="Times New Roman" w:hAnsi="Times New Roman"/>
          <w:sz w:val="20"/>
          <w:szCs w:val="20"/>
          <w:color w:val="auto"/>
        </w:rPr>
      </w:pPr>
    </w:p>
    <w:p>
      <w:pPr>
        <w:ind w:right="60"/>
        <w:spacing w:after="0" w:line="261" w:lineRule="auto"/>
        <w:tabs>
          <w:tab w:leader="none" w:pos="28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undersigned acknowledges that the foregoing attorneys-in-fact, in serving in such capacity at the request of the undersigned, are not assuming, nor is the Corporation assuming, any of the undersigned's responsibilities to comply with Section 16 of the Securities Exchange Act of 1934, as amended, or Section 5 of the Securities Act of 1933, as amended, or Rule 144 promulgated under such Act. This Power of Attorney shall remain in effect until the undersigned is no longer required to file Forms 3, 4, 5 and 144 with respect to the undersigned's holdings of and transactions in securities issued by the Corporation, unless earlier revoked by the undersigned in a signed writing delivered to the foregoing attorneys-in-fact.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27, 2026</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Ryan M. Young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Ryan M.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-145415</wp:posOffset>
            </wp:positionV>
            <wp:extent cx="3477895"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77895" cy="952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320675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35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2162823" TargetMode="External"/><Relationship Id="rId11" Type="http://schemas.openxmlformats.org/officeDocument/2006/relationships/hyperlink" Target="http://www.sec.gov/cgi-bin/browse-edgar?action=getcompany&amp;CIK=0001342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2026-10-29T16:19:04Z</dcterms:created>
  <dcterms:modified xsi:type="dcterms:W3CDTF">2026-10-29T16:19:04Z</dcterms:modified>
</cp:coreProperties>
</file>