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776605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801370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WASHINGTON, D.C. 20549</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19"/>
          <w:szCs w:val="19"/>
          <w:b w:val="1"/>
          <w:bCs w:val="1"/>
          <w:color w:val="auto"/>
        </w:rPr>
        <w:t>FORM 10-K</w:t>
      </w:r>
    </w:p>
    <w:p>
      <w:pPr>
        <w:spacing w:after="0" w:line="164" w:lineRule="exact"/>
        <w:rPr>
          <w:sz w:val="24"/>
          <w:szCs w:val="24"/>
          <w:color w:val="auto"/>
        </w:rPr>
      </w:pPr>
    </w:p>
    <w:p>
      <w:pPr>
        <w:ind w:left="320" w:hanging="233"/>
        <w:spacing w:after="0"/>
        <w:tabs>
          <w:tab w:leader="none" w:pos="3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11"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color w:val="auto"/>
        </w:rPr>
        <w:t>FOR THE FISCAL YEAR ENDED OCTOBER 31, 2021</w:t>
      </w:r>
    </w:p>
    <w:p>
      <w:pPr>
        <w:spacing w:after="0" w:line="60"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OR</w:t>
      </w:r>
    </w:p>
    <w:p>
      <w:pPr>
        <w:spacing w:after="0" w:line="176" w:lineRule="exact"/>
        <w:rPr>
          <w:sz w:val="24"/>
          <w:szCs w:val="24"/>
          <w:color w:val="auto"/>
        </w:rPr>
      </w:pPr>
    </w:p>
    <w:p>
      <w:pPr>
        <w:ind w:left="320" w:hanging="233"/>
        <w:spacing w:after="0"/>
        <w:tabs>
          <w:tab w:leader="none" w:pos="3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356"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Commission file number: 001-34755</w:t>
      </w:r>
    </w:p>
    <w:p>
      <w:pPr>
        <w:spacing w:after="0" w:line="46"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LIMONEIRA COMPANY</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40" w:type="dxa"/>
            <w:vAlign w:val="bottom"/>
          </w:tcPr>
          <w:p>
            <w:pPr>
              <w:jc w:val="center"/>
              <w:ind w:left="621"/>
              <w:spacing w:after="0"/>
              <w:rPr>
                <w:sz w:val="20"/>
                <w:szCs w:val="20"/>
                <w:color w:val="auto"/>
              </w:rPr>
            </w:pPr>
            <w:r>
              <w:rPr>
                <w:rFonts w:ascii="Arial" w:cs="Arial" w:eastAsia="Arial" w:hAnsi="Arial"/>
                <w:sz w:val="17"/>
                <w:szCs w:val="17"/>
                <w:b w:val="1"/>
                <w:bCs w:val="1"/>
                <w:color w:val="auto"/>
                <w:w w:val="93"/>
              </w:rPr>
              <w:t>Delaware</w:t>
            </w:r>
          </w:p>
        </w:tc>
        <w:tc>
          <w:tcPr>
            <w:tcW w:w="1400" w:type="dxa"/>
            <w:vAlign w:val="bottom"/>
          </w:tcPr>
          <w:p>
            <w:pPr>
              <w:spacing w:after="0"/>
              <w:rPr>
                <w:sz w:val="19"/>
                <w:szCs w:val="19"/>
                <w:color w:val="auto"/>
              </w:rPr>
            </w:pPr>
          </w:p>
        </w:tc>
        <w:tc>
          <w:tcPr>
            <w:tcW w:w="3260" w:type="dxa"/>
            <w:vAlign w:val="bottom"/>
            <w:gridSpan w:val="3"/>
          </w:tcPr>
          <w:p>
            <w:pPr>
              <w:jc w:val="center"/>
              <w:ind w:left="1038"/>
              <w:spacing w:after="0"/>
              <w:rPr>
                <w:sz w:val="20"/>
                <w:szCs w:val="20"/>
                <w:color w:val="auto"/>
              </w:rPr>
            </w:pPr>
            <w:r>
              <w:rPr>
                <w:rFonts w:ascii="Arial" w:cs="Arial" w:eastAsia="Arial" w:hAnsi="Arial"/>
                <w:sz w:val="17"/>
                <w:szCs w:val="17"/>
                <w:b w:val="1"/>
                <w:bCs w:val="1"/>
                <w:color w:val="auto"/>
                <w:w w:val="90"/>
              </w:rPr>
              <w:t>77-0260692</w:t>
            </w:r>
          </w:p>
        </w:tc>
        <w:tc>
          <w:tcPr>
            <w:tcW w:w="17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840" w:type="dxa"/>
            <w:vAlign w:val="bottom"/>
          </w:tcPr>
          <w:p>
            <w:pPr>
              <w:jc w:val="center"/>
              <w:ind w:left="621"/>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1400" w:type="dxa"/>
            <w:vAlign w:val="bottom"/>
          </w:tcPr>
          <w:p>
            <w:pPr>
              <w:spacing w:after="0"/>
              <w:rPr>
                <w:sz w:val="19"/>
                <w:szCs w:val="19"/>
                <w:color w:val="auto"/>
              </w:rPr>
            </w:pPr>
          </w:p>
        </w:tc>
        <w:tc>
          <w:tcPr>
            <w:tcW w:w="4980" w:type="dxa"/>
            <w:vAlign w:val="bottom"/>
            <w:gridSpan w:val="4"/>
          </w:tcPr>
          <w:p>
            <w:pPr>
              <w:jc w:val="center"/>
              <w:ind w:right="523"/>
              <w:spacing w:after="0"/>
              <w:rPr>
                <w:sz w:val="20"/>
                <w:szCs w:val="20"/>
                <w:color w:val="auto"/>
              </w:rPr>
            </w:pPr>
            <w:r>
              <w:rPr>
                <w:rFonts w:ascii="Arial" w:cs="Arial" w:eastAsia="Arial" w:hAnsi="Arial"/>
                <w:sz w:val="17"/>
                <w:szCs w:val="17"/>
                <w:color w:val="auto"/>
                <w:w w:val="95"/>
              </w:rPr>
              <w:t>(I.R.S. Employer Identification No.)</w:t>
            </w:r>
          </w:p>
        </w:tc>
      </w:tr>
      <w:tr>
        <w:trPr>
          <w:trHeight w:val="335"/>
        </w:trPr>
        <w:tc>
          <w:tcPr>
            <w:tcW w:w="20" w:type="dxa"/>
            <w:vAlign w:val="bottom"/>
          </w:tcPr>
          <w:p>
            <w:pPr>
              <w:spacing w:after="0"/>
              <w:rPr>
                <w:sz w:val="24"/>
                <w:szCs w:val="24"/>
                <w:color w:val="auto"/>
              </w:rPr>
            </w:pPr>
          </w:p>
        </w:tc>
        <w:tc>
          <w:tcPr>
            <w:tcW w:w="4840" w:type="dxa"/>
            <w:vAlign w:val="bottom"/>
          </w:tcPr>
          <w:p>
            <w:pPr>
              <w:jc w:val="center"/>
              <w:ind w:left="601"/>
              <w:spacing w:after="0"/>
              <w:rPr>
                <w:sz w:val="20"/>
                <w:szCs w:val="20"/>
                <w:color w:val="auto"/>
              </w:rPr>
            </w:pPr>
            <w:r>
              <w:rPr>
                <w:rFonts w:ascii="Arial" w:cs="Arial" w:eastAsia="Arial" w:hAnsi="Arial"/>
                <w:sz w:val="15"/>
                <w:szCs w:val="15"/>
                <w:b w:val="1"/>
                <w:bCs w:val="1"/>
                <w:color w:val="auto"/>
                <w:w w:val="93"/>
              </w:rPr>
              <w:t>1141 Cummings Road</w:t>
            </w:r>
            <w:r>
              <w:rPr>
                <w:rFonts w:ascii="Arial" w:cs="Arial" w:eastAsia="Arial" w:hAnsi="Arial"/>
                <w:sz w:val="17"/>
                <w:szCs w:val="17"/>
                <w:b w:val="1"/>
                <w:bCs w:val="1"/>
                <w:color w:val="auto"/>
                <w:w w:val="93"/>
              </w:rPr>
              <w:t>,</w:t>
            </w:r>
            <w:r>
              <w:rPr>
                <w:rFonts w:ascii="Arial" w:cs="Arial" w:eastAsia="Arial" w:hAnsi="Arial"/>
                <w:sz w:val="15"/>
                <w:szCs w:val="15"/>
                <w:b w:val="1"/>
                <w:bCs w:val="1"/>
                <w:color w:val="auto"/>
                <w:w w:val="93"/>
              </w:rPr>
              <w:t xml:space="preserve"> Santa Paula</w:t>
            </w:r>
            <w:r>
              <w:rPr>
                <w:rFonts w:ascii="Arial" w:cs="Arial" w:eastAsia="Arial" w:hAnsi="Arial"/>
                <w:sz w:val="17"/>
                <w:szCs w:val="17"/>
                <w:b w:val="1"/>
                <w:bCs w:val="1"/>
                <w:color w:val="auto"/>
                <w:w w:val="93"/>
              </w:rPr>
              <w:t>,</w:t>
            </w:r>
            <w:r>
              <w:rPr>
                <w:rFonts w:ascii="Arial" w:cs="Arial" w:eastAsia="Arial" w:hAnsi="Arial"/>
                <w:sz w:val="15"/>
                <w:szCs w:val="15"/>
                <w:b w:val="1"/>
                <w:bCs w:val="1"/>
                <w:color w:val="auto"/>
                <w:w w:val="93"/>
              </w:rPr>
              <w:t xml:space="preserve"> CA</w:t>
            </w:r>
          </w:p>
        </w:tc>
        <w:tc>
          <w:tcPr>
            <w:tcW w:w="1400" w:type="dxa"/>
            <w:vAlign w:val="bottom"/>
          </w:tcPr>
          <w:p>
            <w:pPr>
              <w:spacing w:after="0"/>
              <w:rPr>
                <w:sz w:val="24"/>
                <w:szCs w:val="24"/>
                <w:color w:val="auto"/>
              </w:rPr>
            </w:pPr>
          </w:p>
        </w:tc>
        <w:tc>
          <w:tcPr>
            <w:tcW w:w="2580" w:type="dxa"/>
            <w:vAlign w:val="bottom"/>
            <w:gridSpan w:val="2"/>
          </w:tcPr>
          <w:p>
            <w:pPr>
              <w:jc w:val="center"/>
              <w:ind w:left="1698"/>
              <w:spacing w:after="0"/>
              <w:rPr>
                <w:sz w:val="20"/>
                <w:szCs w:val="20"/>
                <w:color w:val="auto"/>
              </w:rPr>
            </w:pPr>
            <w:r>
              <w:rPr>
                <w:rFonts w:ascii="Arial" w:cs="Arial" w:eastAsia="Arial" w:hAnsi="Arial"/>
                <w:sz w:val="17"/>
                <w:szCs w:val="17"/>
                <w:b w:val="1"/>
                <w:bCs w:val="1"/>
                <w:color w:val="auto"/>
                <w:w w:val="92"/>
              </w:rPr>
              <w:t>93060</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840" w:type="dxa"/>
            <w:vAlign w:val="bottom"/>
          </w:tcPr>
          <w:p>
            <w:pPr>
              <w:jc w:val="center"/>
              <w:ind w:left="601"/>
              <w:spacing w:after="0"/>
              <w:rPr>
                <w:sz w:val="20"/>
                <w:szCs w:val="20"/>
                <w:color w:val="auto"/>
              </w:rPr>
            </w:pPr>
            <w:r>
              <w:rPr>
                <w:rFonts w:ascii="Arial" w:cs="Arial" w:eastAsia="Arial" w:hAnsi="Arial"/>
                <w:sz w:val="17"/>
                <w:szCs w:val="17"/>
                <w:color w:val="auto"/>
                <w:w w:val="93"/>
              </w:rPr>
              <w:t>(Address of principal executive offices)</w:t>
            </w:r>
          </w:p>
        </w:tc>
        <w:tc>
          <w:tcPr>
            <w:tcW w:w="1400" w:type="dxa"/>
            <w:vAlign w:val="bottom"/>
          </w:tcPr>
          <w:p>
            <w:pPr>
              <w:spacing w:after="0"/>
              <w:rPr>
                <w:sz w:val="19"/>
                <w:szCs w:val="19"/>
                <w:color w:val="auto"/>
              </w:rPr>
            </w:pPr>
          </w:p>
        </w:tc>
        <w:tc>
          <w:tcPr>
            <w:tcW w:w="2580" w:type="dxa"/>
            <w:vAlign w:val="bottom"/>
            <w:gridSpan w:val="2"/>
          </w:tcPr>
          <w:p>
            <w:pPr>
              <w:jc w:val="center"/>
              <w:ind w:left="1698"/>
              <w:spacing w:after="0"/>
              <w:rPr>
                <w:sz w:val="20"/>
                <w:szCs w:val="20"/>
                <w:color w:val="auto"/>
              </w:rPr>
            </w:pPr>
            <w:r>
              <w:rPr>
                <w:rFonts w:ascii="Arial" w:cs="Arial" w:eastAsia="Arial" w:hAnsi="Arial"/>
                <w:sz w:val="17"/>
                <w:szCs w:val="17"/>
                <w:color w:val="auto"/>
                <w:w w:val="94"/>
              </w:rPr>
              <w:t>(Zip code)</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12"/>
        </w:trPr>
        <w:tc>
          <w:tcPr>
            <w:tcW w:w="20" w:type="dxa"/>
            <w:vAlign w:val="bottom"/>
          </w:tcPr>
          <w:p>
            <w:pPr>
              <w:spacing w:after="0"/>
              <w:rPr>
                <w:sz w:val="24"/>
                <w:szCs w:val="24"/>
                <w:color w:val="auto"/>
              </w:rPr>
            </w:pPr>
          </w:p>
        </w:tc>
        <w:tc>
          <w:tcPr>
            <w:tcW w:w="8280" w:type="dxa"/>
            <w:vAlign w:val="bottom"/>
            <w:gridSpan w:val="3"/>
          </w:tcPr>
          <w:p>
            <w:pPr>
              <w:jc w:val="center"/>
              <w:ind w:left="2841"/>
              <w:spacing w:after="0"/>
              <w:rPr>
                <w:sz w:val="20"/>
                <w:szCs w:val="20"/>
                <w:color w:val="auto"/>
              </w:rPr>
            </w:pPr>
            <w:r>
              <w:rPr>
                <w:rFonts w:ascii="Arial" w:cs="Arial" w:eastAsia="Arial" w:hAnsi="Arial"/>
                <w:sz w:val="15"/>
                <w:szCs w:val="15"/>
                <w:b w:val="1"/>
                <w:bCs w:val="1"/>
                <w:color w:val="auto"/>
                <w:w w:val="92"/>
              </w:rPr>
              <w:t>Registrant’s telephone number, including area code: (805) 525-5541</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8280" w:type="dxa"/>
            <w:vAlign w:val="bottom"/>
            <w:gridSpan w:val="3"/>
          </w:tcPr>
          <w:p>
            <w:pPr>
              <w:jc w:val="center"/>
              <w:ind w:left="2861"/>
              <w:spacing w:after="0"/>
              <w:rPr>
                <w:sz w:val="20"/>
                <w:szCs w:val="20"/>
                <w:color w:val="auto"/>
              </w:rPr>
            </w:pPr>
            <w:r>
              <w:rPr>
                <w:rFonts w:ascii="Arial" w:cs="Arial" w:eastAsia="Arial" w:hAnsi="Arial"/>
                <w:sz w:val="15"/>
                <w:szCs w:val="15"/>
                <w:b w:val="1"/>
                <w:bCs w:val="1"/>
                <w:color w:val="auto"/>
                <w:w w:val="91"/>
              </w:rPr>
              <w:t>Securities registered pursuant to Section 12(b) of the Act:</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40" w:type="dxa"/>
            <w:vAlign w:val="bottom"/>
            <w:gridSpan w:val="3"/>
          </w:tcPr>
          <w:p>
            <w:pPr>
              <w:jc w:val="center"/>
              <w:ind w:right="1143"/>
              <w:spacing w:after="0"/>
              <w:rPr>
                <w:sz w:val="20"/>
                <w:szCs w:val="20"/>
                <w:color w:val="auto"/>
              </w:rPr>
            </w:pPr>
            <w:r>
              <w:rPr>
                <w:rFonts w:ascii="Arial" w:cs="Arial" w:eastAsia="Arial" w:hAnsi="Arial"/>
                <w:sz w:val="15"/>
                <w:szCs w:val="15"/>
                <w:b w:val="1"/>
                <w:bCs w:val="1"/>
                <w:color w:val="auto"/>
                <w:w w:val="91"/>
              </w:rPr>
              <w:t>Name of Each Exchange</w:t>
            </w:r>
          </w:p>
        </w:tc>
      </w:tr>
      <w:tr>
        <w:trPr>
          <w:trHeight w:val="209"/>
        </w:trPr>
        <w:tc>
          <w:tcPr>
            <w:tcW w:w="20" w:type="dxa"/>
            <w:vAlign w:val="bottom"/>
          </w:tcPr>
          <w:p>
            <w:pPr>
              <w:spacing w:after="0"/>
              <w:rPr>
                <w:sz w:val="18"/>
                <w:szCs w:val="18"/>
                <w:color w:val="auto"/>
              </w:rPr>
            </w:pPr>
          </w:p>
        </w:tc>
        <w:tc>
          <w:tcPr>
            <w:tcW w:w="4840" w:type="dxa"/>
            <w:vAlign w:val="bottom"/>
            <w:tcBorders>
              <w:bottom w:val="single" w:sz="8" w:color="auto"/>
            </w:tcBorders>
          </w:tcPr>
          <w:p>
            <w:pPr>
              <w:ind w:left="1460"/>
              <w:spacing w:after="0"/>
              <w:rPr>
                <w:sz w:val="20"/>
                <w:szCs w:val="20"/>
                <w:color w:val="auto"/>
              </w:rPr>
            </w:pPr>
            <w:r>
              <w:rPr>
                <w:rFonts w:ascii="Arial" w:cs="Arial" w:eastAsia="Arial" w:hAnsi="Arial"/>
                <w:sz w:val="15"/>
                <w:szCs w:val="15"/>
                <w:b w:val="1"/>
                <w:bCs w:val="1"/>
                <w:color w:val="auto"/>
              </w:rPr>
              <w:t>Title of Each Class</w:t>
            </w:r>
          </w:p>
        </w:tc>
        <w:tc>
          <w:tcPr>
            <w:tcW w:w="140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b w:val="1"/>
                <w:bCs w:val="1"/>
                <w:color w:val="auto"/>
                <w:w w:val="93"/>
              </w:rPr>
              <w:t>Trading Symbol</w:t>
            </w:r>
          </w:p>
        </w:tc>
        <w:tc>
          <w:tcPr>
            <w:tcW w:w="20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center"/>
              <w:ind w:right="1163"/>
              <w:spacing w:after="0"/>
              <w:rPr>
                <w:sz w:val="20"/>
                <w:szCs w:val="20"/>
                <w:color w:val="auto"/>
              </w:rPr>
            </w:pPr>
            <w:r>
              <w:rPr>
                <w:rFonts w:ascii="Arial" w:cs="Arial" w:eastAsia="Arial" w:hAnsi="Arial"/>
                <w:sz w:val="15"/>
                <w:szCs w:val="15"/>
                <w:b w:val="1"/>
                <w:bCs w:val="1"/>
                <w:color w:val="auto"/>
                <w:w w:val="93"/>
              </w:rPr>
              <w:t>On Which Registered</w:t>
            </w:r>
          </w:p>
        </w:tc>
      </w:tr>
      <w:tr>
        <w:trPr>
          <w:trHeight w:val="403"/>
        </w:trPr>
        <w:tc>
          <w:tcPr>
            <w:tcW w:w="20" w:type="dxa"/>
            <w:vAlign w:val="bottom"/>
          </w:tcPr>
          <w:p>
            <w:pPr>
              <w:spacing w:after="0"/>
              <w:rPr>
                <w:sz w:val="24"/>
                <w:szCs w:val="24"/>
                <w:color w:val="auto"/>
              </w:rPr>
            </w:pPr>
          </w:p>
        </w:tc>
        <w:tc>
          <w:tcPr>
            <w:tcW w:w="4840" w:type="dxa"/>
            <w:vAlign w:val="bottom"/>
          </w:tcPr>
          <w:p>
            <w:pPr>
              <w:ind w:left="700"/>
              <w:spacing w:after="0"/>
              <w:rPr>
                <w:sz w:val="20"/>
                <w:szCs w:val="20"/>
                <w:color w:val="auto"/>
              </w:rPr>
            </w:pPr>
            <w:r>
              <w:rPr>
                <w:rFonts w:ascii="Arial" w:cs="Arial" w:eastAsia="Arial" w:hAnsi="Arial"/>
                <w:sz w:val="15"/>
                <w:szCs w:val="15"/>
                <w:b w:val="1"/>
                <w:bCs w:val="1"/>
                <w:color w:val="auto"/>
              </w:rPr>
              <w:t>Common Stock, par value $0.01 per share</w:t>
            </w:r>
          </w:p>
        </w:tc>
        <w:tc>
          <w:tcPr>
            <w:tcW w:w="1400" w:type="dxa"/>
            <w:vAlign w:val="bottom"/>
          </w:tcPr>
          <w:p>
            <w:pPr>
              <w:jc w:val="center"/>
              <w:ind w:left="63"/>
              <w:spacing w:after="0"/>
              <w:rPr>
                <w:sz w:val="20"/>
                <w:szCs w:val="20"/>
                <w:color w:val="auto"/>
              </w:rPr>
            </w:pPr>
            <w:r>
              <w:rPr>
                <w:rFonts w:ascii="Arial" w:cs="Arial" w:eastAsia="Arial" w:hAnsi="Arial"/>
                <w:sz w:val="15"/>
                <w:szCs w:val="15"/>
                <w:b w:val="1"/>
                <w:bCs w:val="1"/>
                <w:color w:val="auto"/>
              </w:rPr>
              <w:t>LMNR</w:t>
            </w:r>
          </w:p>
        </w:tc>
        <w:tc>
          <w:tcPr>
            <w:tcW w:w="4980" w:type="dxa"/>
            <w:vAlign w:val="bottom"/>
            <w:gridSpan w:val="4"/>
          </w:tcPr>
          <w:p>
            <w:pPr>
              <w:jc w:val="center"/>
              <w:ind w:left="738"/>
              <w:spacing w:after="0"/>
              <w:rPr>
                <w:sz w:val="20"/>
                <w:szCs w:val="20"/>
                <w:color w:val="auto"/>
              </w:rPr>
            </w:pPr>
            <w:r>
              <w:rPr>
                <w:rFonts w:ascii="Arial" w:cs="Arial" w:eastAsia="Arial" w:hAnsi="Arial"/>
                <w:sz w:val="15"/>
                <w:szCs w:val="15"/>
                <w:b w:val="1"/>
                <w:bCs w:val="1"/>
                <w:color w:val="auto"/>
                <w:w w:val="98"/>
              </w:rPr>
              <w:t>The NASDAQ Stock Market LLC</w:t>
            </w:r>
          </w:p>
        </w:tc>
      </w:tr>
      <w:tr>
        <w:trPr>
          <w:trHeight w:val="20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980" w:type="dxa"/>
            <w:vAlign w:val="bottom"/>
            <w:gridSpan w:val="4"/>
          </w:tcPr>
          <w:p>
            <w:pPr>
              <w:jc w:val="center"/>
              <w:ind w:left="738"/>
              <w:spacing w:after="0"/>
              <w:rPr>
                <w:sz w:val="20"/>
                <w:szCs w:val="20"/>
                <w:color w:val="auto"/>
              </w:rPr>
            </w:pPr>
            <w:r>
              <w:rPr>
                <w:rFonts w:ascii="Arial" w:cs="Arial" w:eastAsia="Arial" w:hAnsi="Arial"/>
                <w:sz w:val="15"/>
                <w:szCs w:val="15"/>
                <w:b w:val="1"/>
                <w:bCs w:val="1"/>
                <w:color w:val="auto"/>
                <w:w w:val="97"/>
              </w:rPr>
              <w:t>(NASDAQ Global Select Market)</w:t>
            </w:r>
          </w:p>
        </w:tc>
      </w:tr>
      <w:tr>
        <w:trPr>
          <w:trHeight w:val="516"/>
        </w:trPr>
        <w:tc>
          <w:tcPr>
            <w:tcW w:w="20" w:type="dxa"/>
            <w:vAlign w:val="bottom"/>
          </w:tcPr>
          <w:p>
            <w:pPr>
              <w:spacing w:after="0"/>
              <w:rPr>
                <w:sz w:val="24"/>
                <w:szCs w:val="24"/>
                <w:color w:val="auto"/>
              </w:rPr>
            </w:pPr>
          </w:p>
        </w:tc>
        <w:tc>
          <w:tcPr>
            <w:tcW w:w="8280" w:type="dxa"/>
            <w:vAlign w:val="bottom"/>
            <w:gridSpan w:val="3"/>
          </w:tcPr>
          <w:p>
            <w:pPr>
              <w:jc w:val="center"/>
              <w:ind w:left="2841"/>
              <w:spacing w:after="0"/>
              <w:rPr>
                <w:sz w:val="20"/>
                <w:szCs w:val="20"/>
                <w:color w:val="auto"/>
              </w:rPr>
            </w:pPr>
            <w:r>
              <w:rPr>
                <w:rFonts w:ascii="Arial" w:cs="Arial" w:eastAsia="Arial" w:hAnsi="Arial"/>
                <w:sz w:val="15"/>
                <w:szCs w:val="15"/>
                <w:b w:val="1"/>
                <w:bCs w:val="1"/>
                <w:color w:val="auto"/>
                <w:w w:val="91"/>
              </w:rPr>
              <w:t>Securities registered pursuant to Section 12(g) of the Act: None</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8280" w:type="dxa"/>
            <w:vAlign w:val="bottom"/>
            <w:gridSpan w:val="3"/>
          </w:tcPr>
          <w:p>
            <w:pPr>
              <w:ind w:left="600"/>
              <w:spacing w:after="0"/>
              <w:rPr>
                <w:sz w:val="20"/>
                <w:szCs w:val="20"/>
                <w:color w:val="auto"/>
              </w:rPr>
            </w:pPr>
            <w:r>
              <w:rPr>
                <w:rFonts w:ascii="Arial" w:cs="Arial" w:eastAsia="Arial" w:hAnsi="Arial"/>
                <w:sz w:val="15"/>
                <w:szCs w:val="15"/>
                <w:color w:val="auto"/>
                <w:w w:val="95"/>
              </w:rPr>
              <w:t>Indicate by check mark if the registrant is a well-known seasoned issuer, as defined in Rule 405 of the Securities Act. Yes</w:t>
            </w:r>
          </w:p>
        </w:tc>
        <w:tc>
          <w:tcPr>
            <w:tcW w:w="540" w:type="dxa"/>
            <w:vAlign w:val="bottom"/>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68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8280" w:type="dxa"/>
            <w:vAlign w:val="bottom"/>
            <w:gridSpan w:val="3"/>
          </w:tcPr>
          <w:p>
            <w:pPr>
              <w:ind w:left="600"/>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Section 15(d) of the Act. Yes</w:t>
            </w:r>
          </w:p>
        </w:tc>
        <w:tc>
          <w:tcPr>
            <w:tcW w:w="540" w:type="dxa"/>
            <w:vAlign w:val="bottom"/>
          </w:tcPr>
          <w:p>
            <w:pPr>
              <w:ind w:left="140"/>
              <w:spacing w:after="0" w:line="173" w:lineRule="exact"/>
              <w:rPr>
                <w:sz w:val="20"/>
                <w:szCs w:val="20"/>
                <w:color w:val="auto"/>
              </w:rPr>
            </w:pPr>
            <w:r>
              <w:rPr>
                <w:rFonts w:ascii="MS PGothic" w:cs="MS PGothic" w:eastAsia="MS PGothic" w:hAnsi="MS PGothic"/>
                <w:sz w:val="15"/>
                <w:szCs w:val="15"/>
                <w:color w:val="auto"/>
                <w:w w:val="98"/>
              </w:rPr>
              <w:t>☐</w:t>
            </w:r>
            <w:r>
              <w:rPr>
                <w:rFonts w:ascii="Arial" w:cs="Arial" w:eastAsia="Arial" w:hAnsi="Arial"/>
                <w:sz w:val="15"/>
                <w:szCs w:val="15"/>
                <w:color w:val="auto"/>
                <w:w w:val="98"/>
              </w:rPr>
              <w:t xml:space="preserve"> No</w:t>
            </w:r>
          </w:p>
        </w:tc>
        <w:tc>
          <w:tcPr>
            <w:tcW w:w="68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1"/>
                <w:szCs w:val="21"/>
                <w:color w:val="auto"/>
              </w:rPr>
            </w:pPr>
          </w:p>
        </w:tc>
      </w:tr>
      <w:tr>
        <w:trPr>
          <w:trHeight w:val="199"/>
        </w:trPr>
        <w:tc>
          <w:tcPr>
            <w:tcW w:w="20" w:type="dxa"/>
            <w:vAlign w:val="bottom"/>
          </w:tcPr>
          <w:p>
            <w:pPr>
              <w:spacing w:after="0"/>
              <w:rPr>
                <w:sz w:val="17"/>
                <w:szCs w:val="17"/>
                <w:color w:val="auto"/>
              </w:rPr>
            </w:pPr>
          </w:p>
        </w:tc>
        <w:tc>
          <w:tcPr>
            <w:tcW w:w="11220" w:type="dxa"/>
            <w:vAlign w:val="bottom"/>
            <w:gridSpan w:val="6"/>
          </w:tcPr>
          <w:p>
            <w:pPr>
              <w:ind w:left="600"/>
              <w:spacing w:after="0"/>
              <w:rPr>
                <w:sz w:val="20"/>
                <w:szCs w:val="20"/>
                <w:color w:val="auto"/>
              </w:rPr>
            </w:pPr>
            <w:r>
              <w:rPr>
                <w:rFonts w:ascii="Arial" w:cs="Arial" w:eastAsia="Arial" w:hAnsi="Arial"/>
                <w:sz w:val="15"/>
                <w:szCs w:val="15"/>
                <w:color w:val="auto"/>
                <w:w w:val="98"/>
              </w:rPr>
              <w:t>Indicate by check mark whether the registrant: (1) has filed all reports required to be filed by Section 13 or 15(d) of the Securities Exchange Act of 1934 during the</w:t>
            </w:r>
          </w:p>
        </w:tc>
      </w:tr>
      <w:tr>
        <w:trPr>
          <w:trHeight w:val="151"/>
        </w:trPr>
        <w:tc>
          <w:tcPr>
            <w:tcW w:w="4860" w:type="dxa"/>
            <w:vAlign w:val="bottom"/>
            <w:gridSpan w:val="2"/>
          </w:tcPr>
          <w:p>
            <w:pPr>
              <w:spacing w:after="0" w:line="151" w:lineRule="exact"/>
              <w:rPr>
                <w:sz w:val="20"/>
                <w:szCs w:val="20"/>
                <w:color w:val="auto"/>
              </w:rPr>
            </w:pPr>
            <w:r>
              <w:rPr>
                <w:rFonts w:ascii="Arial" w:cs="Arial" w:eastAsia="Arial" w:hAnsi="Arial"/>
                <w:sz w:val="15"/>
                <w:szCs w:val="15"/>
                <w:color w:val="auto"/>
              </w:rPr>
              <w:t>preceding 12 months (or for such shorter period that the registrant was</w:t>
            </w:r>
          </w:p>
        </w:tc>
        <w:tc>
          <w:tcPr>
            <w:tcW w:w="1400" w:type="dxa"/>
            <w:vAlign w:val="bottom"/>
          </w:tcPr>
          <w:p>
            <w:pPr>
              <w:spacing w:after="0" w:line="151" w:lineRule="exact"/>
              <w:rPr>
                <w:sz w:val="20"/>
                <w:szCs w:val="20"/>
                <w:color w:val="auto"/>
              </w:rPr>
            </w:pPr>
            <w:r>
              <w:rPr>
                <w:rFonts w:ascii="Arial" w:cs="Arial" w:eastAsia="Arial" w:hAnsi="Arial"/>
                <w:sz w:val="15"/>
                <w:szCs w:val="15"/>
                <w:color w:val="auto"/>
              </w:rPr>
              <w:t>required to file such</w:t>
            </w:r>
          </w:p>
        </w:tc>
        <w:tc>
          <w:tcPr>
            <w:tcW w:w="3260" w:type="dxa"/>
            <w:vAlign w:val="bottom"/>
            <w:gridSpan w:val="3"/>
          </w:tcPr>
          <w:p>
            <w:pPr>
              <w:ind w:left="40"/>
              <w:spacing w:after="0" w:line="151" w:lineRule="exact"/>
              <w:rPr>
                <w:sz w:val="20"/>
                <w:szCs w:val="20"/>
                <w:color w:val="auto"/>
              </w:rPr>
            </w:pPr>
            <w:r>
              <w:rPr>
                <w:rFonts w:ascii="Arial" w:cs="Arial" w:eastAsia="Arial" w:hAnsi="Arial"/>
                <w:sz w:val="15"/>
                <w:szCs w:val="15"/>
                <w:color w:val="auto"/>
              </w:rPr>
              <w:t>reports), and (2) has been subject to such filing</w:t>
            </w:r>
          </w:p>
        </w:tc>
        <w:tc>
          <w:tcPr>
            <w:tcW w:w="1720" w:type="dxa"/>
            <w:vAlign w:val="bottom"/>
          </w:tcPr>
          <w:p>
            <w:pPr>
              <w:ind w:left="60"/>
              <w:spacing w:after="0" w:line="151" w:lineRule="exact"/>
              <w:rPr>
                <w:sz w:val="20"/>
                <w:szCs w:val="20"/>
                <w:color w:val="auto"/>
              </w:rPr>
            </w:pPr>
            <w:r>
              <w:rPr>
                <w:rFonts w:ascii="Arial" w:cs="Arial" w:eastAsia="Arial" w:hAnsi="Arial"/>
                <w:sz w:val="15"/>
                <w:szCs w:val="15"/>
                <w:color w:val="auto"/>
                <w:w w:val="98"/>
              </w:rPr>
              <w:t>requirements for the past</w:t>
            </w:r>
          </w:p>
        </w:tc>
      </w:tr>
      <w:tr>
        <w:trPr>
          <w:trHeight w:val="244"/>
        </w:trPr>
        <w:tc>
          <w:tcPr>
            <w:tcW w:w="4860" w:type="dxa"/>
            <w:vAlign w:val="bottom"/>
            <w:gridSpan w:val="2"/>
          </w:tcPr>
          <w:p>
            <w:pPr>
              <w:spacing w:after="0" w:line="173" w:lineRule="exact"/>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14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11220" w:type="dxa"/>
            <w:vAlign w:val="bottom"/>
            <w:gridSpan w:val="6"/>
          </w:tcPr>
          <w:p>
            <w:pPr>
              <w:ind w:left="600"/>
              <w:spacing w:after="0" w:line="169" w:lineRule="exact"/>
              <w:rPr>
                <w:sz w:val="20"/>
                <w:szCs w:val="20"/>
                <w:color w:val="auto"/>
              </w:rPr>
            </w:pPr>
            <w:r>
              <w:rPr>
                <w:rFonts w:ascii="Arial" w:cs="Arial" w:eastAsia="Arial" w:hAnsi="Arial"/>
                <w:sz w:val="15"/>
                <w:szCs w:val="15"/>
                <w:color w:val="auto"/>
                <w:w w:val="96"/>
              </w:rPr>
              <w:t>Indicate by check mark whether the registrant has submitted electronically every Interactive Data File required to be submitted pursuant to Rule 405 of Regulation S-T</w:t>
            </w:r>
          </w:p>
        </w:tc>
      </w:tr>
      <w:tr>
        <w:trPr>
          <w:trHeight w:val="244"/>
        </w:trPr>
        <w:tc>
          <w:tcPr>
            <w:tcW w:w="8840" w:type="dxa"/>
            <w:vAlign w:val="bottom"/>
            <w:gridSpan w:val="5"/>
          </w:tcPr>
          <w:p>
            <w:pPr>
              <w:spacing w:after="0"/>
              <w:rPr>
                <w:sz w:val="20"/>
                <w:szCs w:val="20"/>
                <w:color w:val="auto"/>
              </w:rPr>
            </w:pPr>
            <w:r>
              <w:rPr>
                <w:rFonts w:ascii="Arial" w:cs="Arial" w:eastAsia="Arial" w:hAnsi="Arial"/>
                <w:sz w:val="15"/>
                <w:szCs w:val="15"/>
                <w:color w:val="auto"/>
                <w:w w:val="93"/>
              </w:rPr>
              <w:t>(§232.405 of this chapter) during the preceding 12 months (or for such shorter period that the registrant was required to submit such files). Yes</w:t>
            </w:r>
          </w:p>
        </w:tc>
        <w:tc>
          <w:tcPr>
            <w:tcW w:w="680" w:type="dxa"/>
            <w:vAlign w:val="bottom"/>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172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r>
    </w:tbl>
    <w:p>
      <w:pPr>
        <w:spacing w:after="0" w:line="18" w:lineRule="exact"/>
        <w:rPr>
          <w:sz w:val="24"/>
          <w:szCs w:val="24"/>
          <w:color w:val="auto"/>
        </w:rPr>
      </w:pPr>
    </w:p>
    <w:p>
      <w:pPr>
        <w:jc w:val="both"/>
        <w:ind w:right="80" w:firstLine="619"/>
        <w:spacing w:after="0" w:line="29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260" w:type="dxa"/>
        <w:tblCellMar>
          <w:top w:w="0" w:type="dxa"/>
          <w:left w:w="0" w:type="dxa"/>
          <w:bottom w:w="0" w:type="dxa"/>
          <w:right w:w="0" w:type="dxa"/>
        </w:tblCellMar>
      </w:tblPr>
      <w:tr>
        <w:trPr>
          <w:trHeight w:val="135"/>
        </w:trPr>
        <w:tc>
          <w:tcPr>
            <w:tcW w:w="19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60" w:type="dxa"/>
            <w:vAlign w:val="bottom"/>
            <w:vMerge w:val="restart"/>
          </w:tcPr>
          <w:p>
            <w:pPr>
              <w:ind w:left="5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400" w:type="dxa"/>
            <w:vAlign w:val="bottom"/>
            <w:vMerge w:val="restart"/>
          </w:tcPr>
          <w:p>
            <w:pPr>
              <w:ind w:left="5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160" w:type="dxa"/>
            <w:vAlign w:val="bottom"/>
          </w:tcPr>
          <w:p>
            <w:pPr>
              <w:jc w:val="center"/>
              <w:ind w:right="31"/>
              <w:spacing w:after="0" w:line="135" w:lineRule="exact"/>
              <w:rPr>
                <w:sz w:val="20"/>
                <w:szCs w:val="20"/>
                <w:color w:val="auto"/>
              </w:rPr>
            </w:pPr>
            <w:r>
              <w:rPr>
                <w:rFonts w:ascii="Arial" w:cs="Arial" w:eastAsia="Arial" w:hAnsi="Arial"/>
                <w:sz w:val="14"/>
                <w:szCs w:val="14"/>
                <w:color w:val="auto"/>
                <w:w w:val="91"/>
              </w:rPr>
              <w:t>Smaller reporting</w:t>
            </w:r>
          </w:p>
        </w:tc>
        <w:tc>
          <w:tcPr>
            <w:tcW w:w="1380" w:type="dxa"/>
            <w:vAlign w:val="bottom"/>
          </w:tcPr>
          <w:p>
            <w:pPr>
              <w:ind w:left="640"/>
              <w:spacing w:after="0" w:line="135" w:lineRule="exact"/>
              <w:rPr>
                <w:sz w:val="20"/>
                <w:szCs w:val="20"/>
                <w:color w:val="auto"/>
              </w:rPr>
            </w:pPr>
            <w:r>
              <w:rPr>
                <w:rFonts w:ascii="Arial" w:cs="Arial" w:eastAsia="Arial" w:hAnsi="Arial"/>
                <w:sz w:val="14"/>
                <w:szCs w:val="14"/>
                <w:color w:val="auto"/>
                <w:w w:val="85"/>
              </w:rPr>
              <w:t>Emerging gro</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2160" w:type="dxa"/>
            <w:vAlign w:val="bottom"/>
          </w:tcPr>
          <w:p>
            <w:pPr>
              <w:jc w:val="center"/>
              <w:ind w:right="31"/>
              <w:spacing w:after="0" w:line="161" w:lineRule="exact"/>
              <w:rPr>
                <w:sz w:val="20"/>
                <w:szCs w:val="20"/>
                <w:color w:val="auto"/>
              </w:rPr>
            </w:pPr>
            <w:r>
              <w:rPr>
                <w:rFonts w:ascii="Arial" w:cs="Arial" w:eastAsia="Arial" w:hAnsi="Arial"/>
                <w:sz w:val="14"/>
                <w:szCs w:val="14"/>
                <w:color w:val="auto"/>
                <w:w w:val="94"/>
              </w:rPr>
              <w:t xml:space="preserve">company  </w:t>
            </w:r>
            <w:r>
              <w:rPr>
                <w:rFonts w:ascii="MS PGothic" w:cs="MS PGothic" w:eastAsia="MS PGothic" w:hAnsi="MS PGothic"/>
                <w:sz w:val="14"/>
                <w:szCs w:val="14"/>
                <w:color w:val="auto"/>
                <w:w w:val="94"/>
              </w:rPr>
              <w:t>☐</w:t>
            </w:r>
          </w:p>
        </w:tc>
        <w:tc>
          <w:tcPr>
            <w:tcW w:w="1380" w:type="dxa"/>
            <w:vAlign w:val="bottom"/>
          </w:tcPr>
          <w:p>
            <w:pPr>
              <w:ind w:left="70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bl>
    <w:p>
      <w:pPr>
        <w:spacing w:after="0" w:line="47" w:lineRule="exact"/>
        <w:rPr>
          <w:sz w:val="24"/>
          <w:szCs w:val="24"/>
          <w:color w:val="auto"/>
        </w:rPr>
      </w:pPr>
    </w:p>
    <w:p>
      <w:pPr>
        <w:jc w:val="both"/>
        <w:ind w:right="80" w:firstLine="61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0" w:lineRule="exact"/>
        <w:rPr>
          <w:sz w:val="24"/>
          <w:szCs w:val="24"/>
          <w:color w:val="auto"/>
        </w:rPr>
      </w:pPr>
    </w:p>
    <w:p>
      <w:pPr>
        <w:jc w:val="both"/>
        <w:ind w:right="80" w:firstLine="619"/>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7" w:lineRule="exact"/>
        <w:rPr>
          <w:sz w:val="24"/>
          <w:szCs w:val="24"/>
          <w:color w:val="auto"/>
        </w:rPr>
      </w:pPr>
    </w:p>
    <w:p>
      <w:pPr>
        <w:ind w:left="62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jc w:val="both"/>
        <w:ind w:right="80" w:firstLine="619"/>
        <w:spacing w:after="0" w:line="259" w:lineRule="auto"/>
        <w:rPr>
          <w:sz w:val="20"/>
          <w:szCs w:val="20"/>
          <w:color w:val="auto"/>
        </w:rPr>
      </w:pPr>
      <w:r>
        <w:rPr>
          <w:rFonts w:ascii="Arial" w:cs="Arial" w:eastAsia="Arial" w:hAnsi="Arial"/>
          <w:sz w:val="15"/>
          <w:szCs w:val="15"/>
          <w:color w:val="auto"/>
        </w:rPr>
        <w:t>Based on the closing price as reported on the NASDAQ Global Market, the aggregate market value of the Registrant’s Common Stock held by non-affiliates on April 30, 2021 (the last business day of the Registrant’s most recently completed second fiscal quarter) was approximately $268.1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2021 was 17,700,038.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351155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1350"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66"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Portions of the Registrant’s Proxy Statement for the 2022 Annual Meeting of Stockholders, which we intend to hold on March 22, 2022, are incorporated by reference into Part III of this Annual Report on Form 10-K. The definitive Proxy Statement will be filed within 120 days after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320" w:type="dxa"/>
            <w:vAlign w:val="bottom"/>
            <w:gridSpan w:val="8"/>
          </w:tcPr>
          <w:p>
            <w:pPr>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0"/>
        </w:trPr>
        <w:tc>
          <w:tcPr>
            <w:tcW w:w="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spacing w:after="0" w:line="180" w:lineRule="exact"/>
              <w:rPr>
                <w:rFonts w:ascii="Arial" w:cs="Arial" w:eastAsia="Arial" w:hAnsi="Arial"/>
                <w:sz w:val="17"/>
                <w:szCs w:val="17"/>
                <w:color w:val="0000FF"/>
                <w:w w:val="83"/>
              </w:rPr>
            </w:pPr>
            <w:hyperlink w:anchor="page4">
              <w:r>
                <w:rPr>
                  <w:rFonts w:ascii="Arial" w:cs="Arial" w:eastAsia="Arial" w:hAnsi="Arial"/>
                  <w:sz w:val="17"/>
                  <w:szCs w:val="17"/>
                  <w:color w:val="0000FF"/>
                  <w:w w:val="83"/>
                </w:rPr>
                <w:t>PART I</w:t>
              </w:r>
            </w:hyperlink>
          </w:p>
        </w:tc>
        <w:tc>
          <w:tcPr>
            <w:tcW w:w="10500" w:type="dxa"/>
            <w:vAlign w:val="bottom"/>
            <w:tcBorders>
              <w:left w:val="single" w:sz="8" w:color="CCEEFF"/>
            </w:tcBorders>
            <w:gridSpan w:val="2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5">
              <w:r>
                <w:rPr>
                  <w:rFonts w:ascii="Arial" w:cs="Arial" w:eastAsia="Arial" w:hAnsi="Arial"/>
                  <w:sz w:val="17"/>
                  <w:szCs w:val="17"/>
                  <w:color w:val="0000FF"/>
                </w:rPr>
                <w:t>Item 1. Business</w:t>
              </w:r>
            </w:hyperlink>
          </w:p>
        </w:tc>
        <w:tc>
          <w:tcPr>
            <w:tcW w:w="200" w:type="dxa"/>
            <w:vAlign w:val="bottom"/>
            <w:gridSpan w:val="3"/>
          </w:tcPr>
          <w:p>
            <w:pPr>
              <w:jc w:val="right"/>
              <w:ind w:right="40"/>
              <w:spacing w:after="0" w:line="180" w:lineRule="exact"/>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14">
              <w:r>
                <w:rPr>
                  <w:rFonts w:ascii="Arial" w:cs="Arial" w:eastAsia="Arial" w:hAnsi="Arial"/>
                  <w:sz w:val="17"/>
                  <w:szCs w:val="17"/>
                  <w:color w:val="0000FF"/>
                </w:rPr>
                <w:t>Item 1A. Risk Factors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14">
              <w:r>
                <w:rPr>
                  <w:rFonts w:ascii="Arial" w:cs="Arial" w:eastAsia="Arial" w:hAnsi="Arial"/>
                  <w:sz w:val="17"/>
                  <w:szCs w:val="17"/>
                  <w:color w:val="0000FF"/>
                  <w:w w:val="73"/>
                </w:rPr>
                <w:t>14</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26">
              <w:r>
                <w:rPr>
                  <w:rFonts w:ascii="Arial" w:cs="Arial" w:eastAsia="Arial" w:hAnsi="Arial"/>
                  <w:sz w:val="17"/>
                  <w:szCs w:val="17"/>
                  <w:color w:val="0000FF"/>
                </w:rPr>
                <w:t>Item 1B. Unresolved Staff Comments</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26">
              <w:r>
                <w:rPr>
                  <w:rFonts w:ascii="Arial" w:cs="Arial" w:eastAsia="Arial" w:hAnsi="Arial"/>
                  <w:sz w:val="17"/>
                  <w:szCs w:val="17"/>
                  <w:color w:val="0000FF"/>
                  <w:w w:val="73"/>
                </w:rPr>
                <w:t>26</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26">
              <w:r>
                <w:rPr>
                  <w:rFonts w:ascii="Arial" w:cs="Arial" w:eastAsia="Arial" w:hAnsi="Arial"/>
                  <w:sz w:val="17"/>
                  <w:szCs w:val="17"/>
                  <w:color w:val="0000FF"/>
                </w:rPr>
                <w:t>Item 2. Properties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26">
              <w:r>
                <w:rPr>
                  <w:rFonts w:ascii="Arial" w:cs="Arial" w:eastAsia="Arial" w:hAnsi="Arial"/>
                  <w:sz w:val="17"/>
                  <w:szCs w:val="17"/>
                  <w:color w:val="0000FF"/>
                  <w:w w:val="73"/>
                </w:rPr>
                <w:t>26</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28">
              <w:r>
                <w:rPr>
                  <w:rFonts w:ascii="Arial" w:cs="Arial" w:eastAsia="Arial" w:hAnsi="Arial"/>
                  <w:sz w:val="17"/>
                  <w:szCs w:val="17"/>
                  <w:color w:val="0000FF"/>
                </w:rPr>
                <w:t>Item 3. Legal Proceedings</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28</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28">
              <w:r>
                <w:rPr>
                  <w:rFonts w:ascii="Arial" w:cs="Arial" w:eastAsia="Arial" w:hAnsi="Arial"/>
                  <w:sz w:val="17"/>
                  <w:szCs w:val="17"/>
                  <w:color w:val="0000FF"/>
                </w:rPr>
                <w:t>Item 4. Mine Safety Disclosures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28</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620" w:type="dxa"/>
            <w:vAlign w:val="bottom"/>
            <w:tcBorders>
              <w:bottom w:val="single" w:sz="8" w:color="0000FF"/>
            </w:tcBorders>
            <w:gridSpan w:val="3"/>
          </w:tcPr>
          <w:p>
            <w:pPr>
              <w:spacing w:after="0" w:line="180" w:lineRule="exact"/>
              <w:rPr>
                <w:rFonts w:ascii="Arial" w:cs="Arial" w:eastAsia="Arial" w:hAnsi="Arial"/>
                <w:sz w:val="17"/>
                <w:szCs w:val="17"/>
                <w:color w:val="0000FF"/>
                <w:w w:val="97"/>
              </w:rPr>
            </w:pPr>
            <w:hyperlink w:anchor="page28">
              <w:r>
                <w:rPr>
                  <w:rFonts w:ascii="Arial" w:cs="Arial" w:eastAsia="Arial" w:hAnsi="Arial"/>
                  <w:sz w:val="17"/>
                  <w:szCs w:val="17"/>
                  <w:color w:val="0000FF"/>
                  <w:w w:val="97"/>
                </w:rPr>
                <w:t>PART II</w:t>
              </w:r>
            </w:hyperlink>
          </w:p>
        </w:tc>
        <w:tc>
          <w:tcPr>
            <w:tcW w:w="10380" w:type="dxa"/>
            <w:vAlign w:val="bottom"/>
            <w:gridSpan w:val="22"/>
          </w:tcPr>
          <w:p>
            <w:pPr>
              <w:spacing w:after="0"/>
              <w:rPr>
                <w:sz w:val="16"/>
                <w:szCs w:val="16"/>
                <w:color w:val="auto"/>
              </w:rPr>
            </w:pPr>
          </w:p>
        </w:tc>
        <w:tc>
          <w:tcPr>
            <w:tcW w:w="160" w:type="dxa"/>
            <w:vAlign w:val="bottom"/>
            <w:tcBorders>
              <w:bottom w:val="single" w:sz="8" w:color="0000FF"/>
            </w:tcBorders>
            <w:gridSpan w:val="2"/>
          </w:tcPr>
          <w:p>
            <w:pPr>
              <w:jc w:val="right"/>
              <w:spacing w:after="0" w:line="180"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29</w:t>
              </w:r>
            </w:hyperlink>
          </w:p>
        </w:tc>
        <w:tc>
          <w:tcPr>
            <w:tcW w:w="40" w:type="dxa"/>
            <w:vAlign w:val="bottom"/>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29">
              <w:r>
                <w:rPr>
                  <w:rFonts w:ascii="Arial" w:cs="Arial" w:eastAsia="Arial" w:hAnsi="Arial"/>
                  <w:sz w:val="17"/>
                  <w:szCs w:val="17"/>
                  <w:color w:val="0000FF"/>
                </w:rPr>
                <w:t>Item 5. Market for Registrant’s Common Equity, Related Stockholder Matters and Issuer Purchases of Equity Securities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29">
              <w:r>
                <w:rPr>
                  <w:rFonts w:ascii="Arial" w:cs="Arial" w:eastAsia="Arial" w:hAnsi="Arial"/>
                  <w:sz w:val="17"/>
                  <w:szCs w:val="17"/>
                  <w:color w:val="0000FF"/>
                  <w:w w:val="73"/>
                </w:rPr>
                <w:t>29</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30">
              <w:r>
                <w:rPr>
                  <w:rFonts w:ascii="Arial" w:cs="Arial" w:eastAsia="Arial" w:hAnsi="Arial"/>
                  <w:sz w:val="17"/>
                  <w:szCs w:val="17"/>
                  <w:color w:val="0000FF"/>
                </w:rPr>
                <w:t>Item 6. Reserved</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30">
              <w:r>
                <w:rPr>
                  <w:rFonts w:ascii="Arial" w:cs="Arial" w:eastAsia="Arial" w:hAnsi="Arial"/>
                  <w:sz w:val="17"/>
                  <w:szCs w:val="17"/>
                  <w:color w:val="0000FF"/>
                  <w:w w:val="73"/>
                </w:rPr>
                <w:t>30</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31">
              <w:r>
                <w:rPr>
                  <w:rFonts w:ascii="Arial" w:cs="Arial" w:eastAsia="Arial" w:hAnsi="Arial"/>
                  <w:sz w:val="17"/>
                  <w:szCs w:val="17"/>
                  <w:color w:val="0000FF"/>
                </w:rPr>
                <w:t>Item 7. Management’s Discussion and Analysis of Financial Condition and Results of Operations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31">
              <w:r>
                <w:rPr>
                  <w:rFonts w:ascii="Arial" w:cs="Arial" w:eastAsia="Arial" w:hAnsi="Arial"/>
                  <w:sz w:val="17"/>
                  <w:szCs w:val="17"/>
                  <w:color w:val="0000FF"/>
                  <w:w w:val="73"/>
                </w:rPr>
                <w:t>31</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41">
              <w:r>
                <w:rPr>
                  <w:rFonts w:ascii="Arial" w:cs="Arial" w:eastAsia="Arial" w:hAnsi="Arial"/>
                  <w:sz w:val="17"/>
                  <w:szCs w:val="17"/>
                  <w:color w:val="0000FF"/>
                </w:rPr>
                <w:t>Item 7A. Quantitative and Qualitative Disclosures about Market Risk</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41">
              <w:r>
                <w:rPr>
                  <w:rFonts w:ascii="Arial" w:cs="Arial" w:eastAsia="Arial" w:hAnsi="Arial"/>
                  <w:sz w:val="17"/>
                  <w:szCs w:val="17"/>
                  <w:color w:val="0000FF"/>
                  <w:w w:val="73"/>
                </w:rPr>
                <w:t>42</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42">
              <w:r>
                <w:rPr>
                  <w:rFonts w:ascii="Arial" w:cs="Arial" w:eastAsia="Arial" w:hAnsi="Arial"/>
                  <w:sz w:val="17"/>
                  <w:szCs w:val="17"/>
                  <w:color w:val="0000FF"/>
                </w:rPr>
                <w:t>Item 8. Financial Statements and Supplementary Data</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42">
              <w:r>
                <w:rPr>
                  <w:rFonts w:ascii="Arial" w:cs="Arial" w:eastAsia="Arial" w:hAnsi="Arial"/>
                  <w:sz w:val="17"/>
                  <w:szCs w:val="17"/>
                  <w:color w:val="0000FF"/>
                  <w:w w:val="73"/>
                </w:rPr>
                <w:t>43</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82">
              <w:r>
                <w:rPr>
                  <w:rFonts w:ascii="Arial" w:cs="Arial" w:eastAsia="Arial" w:hAnsi="Arial"/>
                  <w:sz w:val="17"/>
                  <w:szCs w:val="17"/>
                  <w:color w:val="0000FF"/>
                </w:rPr>
                <w:t>Item 9. Changes in and Disagreements with Accountants on Accounting and Financial Disclosure</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2">
              <w:r>
                <w:rPr>
                  <w:rFonts w:ascii="Arial" w:cs="Arial" w:eastAsia="Arial" w:hAnsi="Arial"/>
                  <w:sz w:val="17"/>
                  <w:szCs w:val="17"/>
                  <w:color w:val="0000FF"/>
                  <w:w w:val="73"/>
                </w:rPr>
                <w:t>83</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83">
              <w:r>
                <w:rPr>
                  <w:rFonts w:ascii="Arial" w:cs="Arial" w:eastAsia="Arial" w:hAnsi="Arial"/>
                  <w:sz w:val="17"/>
                  <w:szCs w:val="17"/>
                  <w:color w:val="0000FF"/>
                </w:rPr>
                <w:t>Item 9A. Controls and Procedures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3">
              <w:r>
                <w:rPr>
                  <w:rFonts w:ascii="Arial" w:cs="Arial" w:eastAsia="Arial" w:hAnsi="Arial"/>
                  <w:sz w:val="17"/>
                  <w:szCs w:val="17"/>
                  <w:color w:val="0000FF"/>
                  <w:w w:val="73"/>
                </w:rPr>
                <w:t>83</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85">
              <w:r>
                <w:rPr>
                  <w:rFonts w:ascii="Arial" w:cs="Arial" w:eastAsia="Arial" w:hAnsi="Arial"/>
                  <w:sz w:val="17"/>
                  <w:szCs w:val="17"/>
                  <w:color w:val="0000FF"/>
                </w:rPr>
                <w:t>Item 9B. Other Information</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85">
              <w:r>
                <w:rPr>
                  <w:rFonts w:ascii="Arial" w:cs="Arial" w:eastAsia="Arial" w:hAnsi="Arial"/>
                  <w:sz w:val="17"/>
                  <w:szCs w:val="17"/>
                  <w:color w:val="0000FF"/>
                </w:rPr>
                <w:t>Item 9C. Disclosure Regarding Foreign Jurisdictions that Prevent Inspections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spacing w:after="0" w:line="180" w:lineRule="exact"/>
              <w:rPr>
                <w:rFonts w:ascii="Arial" w:cs="Arial" w:eastAsia="Arial" w:hAnsi="Arial"/>
                <w:sz w:val="17"/>
                <w:szCs w:val="17"/>
                <w:color w:val="0000FF"/>
              </w:rPr>
            </w:pPr>
            <w:hyperlink w:anchor="page85">
              <w:r>
                <w:rPr>
                  <w:rFonts w:ascii="Arial" w:cs="Arial" w:eastAsia="Arial" w:hAnsi="Arial"/>
                  <w:sz w:val="17"/>
                  <w:szCs w:val="17"/>
                  <w:color w:val="0000FF"/>
                </w:rPr>
                <w:t>PART III</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85">
              <w:r>
                <w:rPr>
                  <w:rFonts w:ascii="Arial" w:cs="Arial" w:eastAsia="Arial" w:hAnsi="Arial"/>
                  <w:sz w:val="17"/>
                  <w:szCs w:val="17"/>
                  <w:color w:val="0000FF"/>
                </w:rPr>
                <w:t>Item 10. Directors, Executive Officers, and Corporate Governance</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85">
              <w:r>
                <w:rPr>
                  <w:rFonts w:ascii="Arial" w:cs="Arial" w:eastAsia="Arial" w:hAnsi="Arial"/>
                  <w:sz w:val="17"/>
                  <w:szCs w:val="17"/>
                  <w:color w:val="0000FF"/>
                </w:rPr>
                <w:t>Item 11. Executive Compensation</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85">
              <w:r>
                <w:rPr>
                  <w:rFonts w:ascii="Arial" w:cs="Arial" w:eastAsia="Arial" w:hAnsi="Arial"/>
                  <w:sz w:val="17"/>
                  <w:szCs w:val="17"/>
                  <w:color w:val="0000FF"/>
                </w:rPr>
                <w:t>Item 12. Security Ownership of Certain Beneficial Owners and Management and Related Stockholder Matters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85">
              <w:r>
                <w:rPr>
                  <w:rFonts w:ascii="Arial" w:cs="Arial" w:eastAsia="Arial" w:hAnsi="Arial"/>
                  <w:sz w:val="17"/>
                  <w:szCs w:val="17"/>
                  <w:color w:val="0000FF"/>
                </w:rPr>
                <w:t>Item 13. Certain Relationships and Related Transactions, and Director Independence</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85">
              <w:r>
                <w:rPr>
                  <w:rFonts w:ascii="Arial" w:cs="Arial" w:eastAsia="Arial" w:hAnsi="Arial"/>
                  <w:sz w:val="17"/>
                  <w:szCs w:val="17"/>
                  <w:color w:val="0000FF"/>
                </w:rPr>
                <w:t>Item 14. Principal Accounting Fees and Services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spacing w:after="0" w:line="180" w:lineRule="exact"/>
              <w:rPr>
                <w:rFonts w:ascii="Arial" w:cs="Arial" w:eastAsia="Arial" w:hAnsi="Arial"/>
                <w:sz w:val="17"/>
                <w:szCs w:val="17"/>
                <w:color w:val="0000FF"/>
              </w:rPr>
            </w:pPr>
            <w:hyperlink w:anchor="page85">
              <w:r>
                <w:rPr>
                  <w:rFonts w:ascii="Arial" w:cs="Arial" w:eastAsia="Arial" w:hAnsi="Arial"/>
                  <w:sz w:val="17"/>
                  <w:szCs w:val="17"/>
                  <w:color w:val="0000FF"/>
                </w:rPr>
                <w:t>Part IV</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5">
              <w:r>
                <w:rPr>
                  <w:rFonts w:ascii="Arial" w:cs="Arial" w:eastAsia="Arial" w:hAnsi="Arial"/>
                  <w:sz w:val="17"/>
                  <w:szCs w:val="17"/>
                  <w:color w:val="0000FF"/>
                  <w:w w:val="73"/>
                </w:rPr>
                <w:t>86</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ind w:left="120"/>
              <w:spacing w:after="0" w:line="190" w:lineRule="exact"/>
              <w:rPr>
                <w:rFonts w:ascii="Arial" w:cs="Arial" w:eastAsia="Arial" w:hAnsi="Arial"/>
                <w:sz w:val="17"/>
                <w:szCs w:val="17"/>
                <w:color w:val="0000FF"/>
              </w:rPr>
            </w:pPr>
            <w:hyperlink w:anchor="page86">
              <w:r>
                <w:rPr>
                  <w:rFonts w:ascii="Arial" w:cs="Arial" w:eastAsia="Arial" w:hAnsi="Arial"/>
                  <w:sz w:val="17"/>
                  <w:szCs w:val="17"/>
                  <w:color w:val="0000FF"/>
                </w:rPr>
                <w:t>Item 15. Exhibits and Financial Statement Schedules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6">
              <w:r>
                <w:rPr>
                  <w:rFonts w:ascii="Arial" w:cs="Arial" w:eastAsia="Arial" w:hAnsi="Arial"/>
                  <w:sz w:val="17"/>
                  <w:szCs w:val="17"/>
                  <w:color w:val="0000FF"/>
                  <w:w w:val="73"/>
                </w:rPr>
                <w:t>86</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1000" w:type="dxa"/>
            <w:vAlign w:val="bottom"/>
            <w:gridSpan w:val="25"/>
          </w:tcPr>
          <w:p>
            <w:pPr>
              <w:ind w:left="120"/>
              <w:spacing w:after="0" w:line="180" w:lineRule="exact"/>
              <w:rPr>
                <w:rFonts w:ascii="Arial" w:cs="Arial" w:eastAsia="Arial" w:hAnsi="Arial"/>
                <w:sz w:val="17"/>
                <w:szCs w:val="17"/>
                <w:color w:val="0000FF"/>
              </w:rPr>
            </w:pPr>
            <w:hyperlink w:anchor="page86">
              <w:r>
                <w:rPr>
                  <w:rFonts w:ascii="Arial" w:cs="Arial" w:eastAsia="Arial" w:hAnsi="Arial"/>
                  <w:sz w:val="17"/>
                  <w:szCs w:val="17"/>
                  <w:color w:val="0000FF"/>
                </w:rPr>
                <w:t>Item 16. Form 10-K Summary</w:t>
              </w:r>
            </w:hyperlink>
          </w:p>
        </w:tc>
        <w:tc>
          <w:tcPr>
            <w:tcW w:w="160" w:type="dxa"/>
            <w:vAlign w:val="bottom"/>
            <w:gridSpan w:val="2"/>
          </w:tcPr>
          <w:p>
            <w:pPr>
              <w:jc w:val="right"/>
              <w:spacing w:after="0" w:line="180" w:lineRule="exact"/>
              <w:rPr>
                <w:rFonts w:ascii="Arial" w:cs="Arial" w:eastAsia="Arial" w:hAnsi="Arial"/>
                <w:sz w:val="17"/>
                <w:szCs w:val="17"/>
                <w:color w:val="0000FF"/>
                <w:w w:val="73"/>
              </w:rPr>
            </w:pPr>
            <w:hyperlink w:anchor="page86">
              <w:r>
                <w:rPr>
                  <w:rFonts w:ascii="Arial" w:cs="Arial" w:eastAsia="Arial" w:hAnsi="Arial"/>
                  <w:sz w:val="17"/>
                  <w:szCs w:val="17"/>
                  <w:color w:val="0000FF"/>
                  <w:w w:val="73"/>
                </w:rPr>
                <w:t>86</w:t>
              </w:r>
            </w:hyperlink>
          </w:p>
        </w:tc>
        <w:tc>
          <w:tcPr>
            <w:tcW w:w="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25"/>
            <w:shd w:val="clear" w:color="auto" w:fill="CCEEFF"/>
          </w:tcPr>
          <w:p>
            <w:pPr>
              <w:spacing w:after="0" w:line="190" w:lineRule="exact"/>
              <w:rPr>
                <w:rFonts w:ascii="Arial" w:cs="Arial" w:eastAsia="Arial" w:hAnsi="Arial"/>
                <w:sz w:val="17"/>
                <w:szCs w:val="17"/>
                <w:color w:val="0000FF"/>
              </w:rPr>
            </w:pPr>
            <w:hyperlink w:anchor="page86">
              <w:r>
                <w:rPr>
                  <w:rFonts w:ascii="Arial" w:cs="Arial" w:eastAsia="Arial" w:hAnsi="Arial"/>
                  <w:sz w:val="17"/>
                  <w:szCs w:val="17"/>
                  <w:color w:val="0000FF"/>
                </w:rPr>
                <w:t>SIGNATURES</w:t>
              </w:r>
            </w:hyperlink>
          </w:p>
        </w:tc>
        <w:tc>
          <w:tcPr>
            <w:tcW w:w="160" w:type="dxa"/>
            <w:vAlign w:val="bottom"/>
            <w:gridSpan w:val="2"/>
            <w:shd w:val="clear" w:color="auto" w:fill="CCEEFF"/>
          </w:tcPr>
          <w:p>
            <w:pPr>
              <w:jc w:val="right"/>
              <w:spacing w:after="0" w:line="190" w:lineRule="exact"/>
              <w:rPr>
                <w:rFonts w:ascii="Arial" w:cs="Arial" w:eastAsia="Arial" w:hAnsi="Arial"/>
                <w:sz w:val="17"/>
                <w:szCs w:val="17"/>
                <w:color w:val="0000FF"/>
                <w:w w:val="73"/>
              </w:rPr>
            </w:pPr>
            <w:hyperlink w:anchor="page86">
              <w:r>
                <w:rPr>
                  <w:rFonts w:ascii="Arial" w:cs="Arial" w:eastAsia="Arial" w:hAnsi="Arial"/>
                  <w:sz w:val="17"/>
                  <w:szCs w:val="17"/>
                  <w:color w:val="0000FF"/>
                  <w:w w:val="73"/>
                </w:rPr>
                <w:t>87</w:t>
              </w:r>
            </w:hyperlink>
          </w:p>
        </w:tc>
        <w:tc>
          <w:tcPr>
            <w:tcW w:w="4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7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CAUTIONARY STATEMENT</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potential risks and uncertainties that could cause our actual financial condition, results of operations and future performance to differ materially from those expressed or implied in this Annual Report include:</w:t>
      </w:r>
    </w:p>
    <w:p>
      <w:pPr>
        <w:spacing w:after="0" w:line="242" w:lineRule="exact"/>
        <w:rPr>
          <w:sz w:val="20"/>
          <w:szCs w:val="20"/>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impacts related to the COVID-19 pandemic and the effectiveness of our Company's responses to the pandemic;</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laws, regulations, rules, quotas, tariffs and import laws;</w:t>
      </w:r>
    </w:p>
    <w:p>
      <w:pPr>
        <w:spacing w:after="0" w:line="62"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weather conditions, natural disasters and other adverse natural conditions, including freezes, rains, fires and droughts, that affect the production, transportation, storage, import and export of fresh produce;</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responses to industry volume pressures;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pressure from disease, insects and other pests;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 of water supplies or changes in water allocations;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and raw materials supplies and pricing;</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energy supply and pricing;</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of financing for development activities;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for residential and commercial real estate development;</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political changes and economic crises;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international conflict;</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acts of terrorism;</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labor disruptions, strikes, shortages or work stoppages;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foreign exchange rate movements;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maintain compliance with covenants under our loan agreements;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 of important intellectual property rights;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disclosed in our public filings with the Securities and Exchange Commission (the "SEC").</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or estimates, especially relating to the COVID-19 pandemic. We urge you to carefully review this Annual Report, particularly the section entitled “Risk Factors,” for a complete discussion of the risks of an investment in our common stock.</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All references to “we,” “us,” “our,” “our Company,” “the Company,” or “Limoneira” in this Annual Report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Limoneira Company, a Delaware corporation, is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at www.limoneira.com. All of our filings with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 The contents of our website referred to above are not incorporated into this report. Further, any references to our website are intended to be interactive textual references only.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6,100 acres of lemons, 800 acres of avocados, 1,000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of approximately 900 units in various stages of planning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2021 Highlights and Recent Developments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equal partners in a joint venture with The Lewis Group of Companies (“Lewis”) for the residential development of our East Area I real estate development project. To consummate the transaction, we formed Limoneira Lewis Community Builders, LLC ("LLCB") as the development entity. The first phase of the project broke ground to commence mass grading in November 2017. LLCB has closed on lot sales representing 586 units from inception through October 31, 2021, including 232 units in fiscal year 2021. For further information see Note 7 – Real Estate Development of the notes to consolidated financial statements included in this Annual Report.</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December 2020, we received $5.0 million of federal income tax refunds related to the Coronavirus Aid Relief and Economic Security Act ("CARES Act") and received an additional $0.9 million of California state refunds in the third quarter of fiscal year 2021.</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June 2021, we entered into an agreement, effective March 1, 2021, to sell and license certain assets of Trapani Fresh to our 49% partner in the joint venture, FGF Trapani ("FGF"). These assets consist of packing supplies and certain intangible assets related 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jc w:val="both"/>
        <w:spacing w:after="0" w:line="266" w:lineRule="auto"/>
        <w:rPr>
          <w:sz w:val="20"/>
          <w:szCs w:val="20"/>
          <w:color w:val="auto"/>
        </w:rPr>
      </w:pPr>
      <w:r>
        <w:rPr>
          <w:rFonts w:ascii="Arial" w:cs="Arial" w:eastAsia="Arial" w:hAnsi="Arial"/>
          <w:sz w:val="15"/>
          <w:szCs w:val="15"/>
          <w:color w:val="auto"/>
        </w:rPr>
        <w:t>the packing, marketing, and selling business of Trapani Fresh. The total consideration to be received is approximately $3.9 million over an 8-year term in 16 equal installments. There was no material gain or loss recognized on the transaction. In August 2021, we entered into several additional agreements whereby the additional 25% interest in Finca Santa Clara ("Santa Clara") was transferred into the trust resulting in the trust now holding a 100% interest in Santa Clara. Trapani Fresh owns and operates the 1,200-acre Santa Clara ranch and now sells the lemons it grows to FGF, who packs, markets, and sells the fruit to its customers. As a result of this transaction, Trapani Fresh now recognizes lemon revenues at the market price, less packinghouse charges to harvest, pack and market the fruit.</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June 2021, we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fixed interest rate ("Fixed Interest Rate Agreement"). The MLA governs the terms of the Supplements. The MLA amends and restates the previous Master Loan Agreement between our Company and the Lender, dated June 19, 2017 and extends the principal repayment to July 1, 2026.</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July 2021, we entered into a non-binding letter of intent to sell approximately 25 acres of our East Area II property in five staged purchases to an investment company for the purpose of constructing a medical campus consisting of medical office buildings and an acute care hospital. Completion of the transaction is subject to the execution of a purchase and sale agreement and resolution of certain contingencies.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August 2021, we entered into an equipment finance agreement (the "FCW term loan") with the Lender in the amount of $2.5 million and used the proceeds to pay off the Wells Fargo term loan. The FCW term loan has a fixed interest rate of 3.19% and is payable in monthly installments through September 2026.</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2021, the Board of Directors of our Company approved a share repurchase program authorizing us to repurchase up to $10.0 million of our outstanding shares of common stock through September 2022. No shares have been repurchased under this program.</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14, 2021, we declared a cash dividend of $0.075 per common share payable on January 14, 2022, in the aggregate amount of $1.3 million to stockholders of record as of December 27,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COVID-19 pandemic has had an adverse impact on the industries and markets in which we conduct business. In particular, the United States lemon market has seen a significant decline in volume, with lemon demand falling since widespread shelter in place orders were issued in mid-March 2020, resulting in a significant market oversupply. The export market for fresh product has also significantly declined due to the COVID-19 pandemic impacts. As of October 31, 2021, the demand within both markets is recovering but has not yet returned to pre-pandemic levels.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decline in demand for our products beginning the second quarter of fiscal year 2020, which we believe was due to the COVID-19 pandemic, negatively impacted our sales and profitability for the last three quarters of fiscal year 2020 and all of fiscal year 2021. We also expect material adverse impacts on our sales and profitability in future periods. The duration of these trends and the magnitude of such impacts cannot be estimated at this time, as they are influenced by a number of factors, many of which are outside management’s control, including, but not limited, to those presented in Item 1A Risk Factors of this Annual Report. Notwithstanding the adverse impacts and subject to unforeseen changes that may arise as the COVID-19 pandemic continues, we currently expect improvement in fiscal year 2022 compared to fiscal year 2021.</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the economic uncertainty as a result of the COVID-19 pandemic over the past two years, we have taken actions to improve our current liquidity position, including temporarily postponing capital expenditures, selling equity securities to increase cash, reducing operating costs, and substantially reducing discretionary spending.</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Although we are considered an essential business, there is significant uncertainty around the breadth and duration of our business disruptions related to the COVID-19 pandemic, as well as its impact on the U.S. economy, the ongoing business operations of our customers and our results of operations and financial condition. Our management team is actively monitoring the impacts of the COVID-19 pandemic and may take further actions altering our business operations that we determine are in the best interests of our employees and customers or as required by federal, state, or local authorities, the full impact of the COVID-19 pandemic on our results of operations, financial condition, or liquidity for fiscal year 2022 and beyond cannot be fully estimated at this point. The following discussions are subject to the future effects of the COVID-19 pandemic on our ongoing business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Division Summary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Agribusiness Summary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Farming</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Lemons. </w:t>
      </w:r>
      <w:r>
        <w:rPr>
          <w:rFonts w:ascii="Arial" w:cs="Arial" w:eastAsia="Arial" w:hAnsi="Arial"/>
          <w:sz w:val="17"/>
          <w:szCs w:val="17"/>
          <w:color w:val="auto"/>
        </w:rPr>
        <w:t>We market and sell lemons directly to our food service, wholesale and retail customers throughout the United States, Canada, Asia, Australia, Europe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other international markets. We are one of the largest lemon growers in the United States with approximately 6,100 acres of lemons planted primarily in Ventura, Tulare and San Bernardino Counties in California and in Yuma County, Arizona. In California, the lemon growing area stretches from the Coachella Valley to Fresno and Monterey Counties, with the majority of the growing areas located in the coastal areas from Ventura County to Monterey County. Ventura County is California’s top lemon producing county. Approximately 27% of our lemons are grown in Ventura County, 22% are grown in Tulare County, 16% are grown in Yuma County, Arizona and 10% are grown in San Bernardino County, California. We also grow approximately 8% of our lemons near La Serena, Chile and 17% of our lemons in Argentina.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are many varieties of lemons, with the Lisbon, Eureka and Genoa being the predominant varieties marketed on a worldwide basis. Approximately 88% of our lemon plantings are of the Lisbon, Eureka and Genoa varieties and approximately 12% are of other varieties such as sweet Meyer lemons, Proprietary Seedless lemons and Pink Variegated lemons. California-grown lemons are available throughout the year, with peak production periods occurring from January through August. The storage life of fresh lemons generally ranges from one to 18 weeks, depending upon the maturity of the fruit, the growing methods used and the handling conditions in the distribution chain.</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Avocados. </w:t>
      </w:r>
      <w:r>
        <w:rPr>
          <w:rFonts w:ascii="Arial" w:cs="Arial" w:eastAsia="Arial" w:hAnsi="Arial"/>
          <w:sz w:val="17"/>
          <w:szCs w:val="17"/>
          <w:color w:val="auto"/>
        </w:rPr>
        <w:t>We are one of the largest avocado growers in the United States with approximately 800 acres of avocados planted throughout Ventura County. In</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avocado growing area stretches from San Diego County to Monterey County, with the majority of the growing areas located approximately 100 miles north and south of Los Angeles County.</w:t>
      </w:r>
    </w:p>
    <w:p>
      <w:pPr>
        <w:spacing w:after="0" w:line="20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California-grown avocados have peak production periods occurring between February and July. Other avocado varieties have a more limited picking season and typically command a lower price. Because of superior eating quality, the Hass avocado has contributed greatly to the avocado’s growing popularity through its retail, restaurant and other food service uses. Approximately 95%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provide a majority of our avocado production to Calavo, a packing and marketing company listed on the NASDAQ Global Select Market under the symbol CVGW. Calavo’s customers include many of the largest retail and food service companies in the United States and Canada. Calavo receives fruit from our orchards at its packinghouse located in Santa Paula, California. Calavo’s 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Primarily due to differing soil conditions, the care of avocado trees is intensive.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Oranges, Specialty Citrus and Other Crops. </w:t>
      </w:r>
      <w:r>
        <w:rPr>
          <w:rFonts w:ascii="Arial" w:cs="Arial" w:eastAsia="Arial" w:hAnsi="Arial"/>
          <w:sz w:val="17"/>
          <w:szCs w:val="17"/>
          <w:color w:val="auto"/>
        </w:rPr>
        <w:t>We have approximately 1,000 acres of oranges planted primarily in Tulare County, California. In California, the</w:t>
      </w:r>
      <w:r>
        <w:rPr>
          <w:rFonts w:ascii="Arial" w:cs="Arial" w:eastAsia="Arial" w:hAnsi="Arial"/>
          <w:sz w:val="17"/>
          <w:szCs w:val="17"/>
          <w:i w:val="1"/>
          <w:iCs w:val="1"/>
          <w:color w:val="auto"/>
        </w:rPr>
        <w:t xml:space="preserve"> </w:t>
      </w:r>
      <w:r>
        <w:rPr>
          <w:rFonts w:ascii="Arial" w:cs="Arial" w:eastAsia="Arial" w:hAnsi="Arial"/>
          <w:sz w:val="17"/>
          <w:szCs w:val="17"/>
          <w:color w:val="auto"/>
        </w:rPr>
        <w:t>growing area for oranges stretches from Imperial County to Yolo County. California-grown Navel oranges are available from October to June, with peak production periods occurring between January and April. Approximately 96% of our orange plantings are of the Navel variety and approximately 4% are of the Valencia variety. We estimate approximately 70% of our oranges are sold to retail customers and approximately 30% are sold to wholesale customers. We currently have approximately 900 acres of specialty citrus and other crops planted such as Moro blood oranges, Cara Cara oranges, Minneola tangelos, Star Ruby grapefruit, pummelos, pistachios and wine grapes.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utilize third-party packinghouses to process and pack our oranges and specialty citrus. A portion of our oranges and specialty citrus is marketed and sold under the Sunkist brand by Sunkist and orders are processed by Sunkist-member packinghouses. As an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agricultural cooperative, Sunkist coordinates the sales and marketing of the oranges and specialty citrus and orders are processed by Sunkist-member packinghouses for direct shipment to customers.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market our other crops, such as pistachios and wine grapes, utilizing processors that are not members of agricultural cooperatives. Our pistachios are harvested and sold to a roaster, packager and marketer of nuts, and our wine grapes are sold to various wine producers.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Plantings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have agricultural plantings on properties located in the United States, Chile and Argentina. The following is a description of our agriculture properties: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Ranch Name</w:t>
            </w:r>
          </w:p>
        </w:tc>
        <w:tc>
          <w:tcPr>
            <w:tcW w:w="100" w:type="dxa"/>
            <w:vAlign w:val="bottom"/>
            <w:vMerge w:val="restart"/>
          </w:tcPr>
          <w:p>
            <w:pPr>
              <w:spacing w:after="0"/>
              <w:rPr>
                <w:sz w:val="16"/>
                <w:szCs w:val="16"/>
                <w:color w:val="auto"/>
              </w:rPr>
            </w:pPr>
          </w:p>
        </w:tc>
        <w:tc>
          <w:tcPr>
            <w:tcW w:w="18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County / State or</w:t>
            </w:r>
          </w:p>
        </w:tc>
        <w:tc>
          <w:tcPr>
            <w:tcW w:w="1140" w:type="dxa"/>
            <w:vAlign w:val="bottom"/>
            <w:gridSpan w:val="2"/>
          </w:tcPr>
          <w:p>
            <w:pPr>
              <w:ind w:left="340"/>
              <w:spacing w:after="0"/>
              <w:rPr>
                <w:sz w:val="20"/>
                <w:szCs w:val="20"/>
                <w:color w:val="auto"/>
              </w:rPr>
            </w:pPr>
            <w:r>
              <w:rPr>
                <w:rFonts w:ascii="Arial" w:cs="Arial" w:eastAsia="Arial" w:hAnsi="Arial"/>
                <w:sz w:val="17"/>
                <w:szCs w:val="17"/>
                <w:b w:val="1"/>
                <w:bCs w:val="1"/>
                <w:color w:val="auto"/>
              </w:rPr>
              <w:t>Total</w:t>
            </w:r>
          </w:p>
        </w:tc>
        <w:tc>
          <w:tcPr>
            <w:tcW w:w="108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Lemons</w:t>
            </w:r>
          </w:p>
        </w:tc>
        <w:tc>
          <w:tcPr>
            <w:tcW w:w="100" w:type="dxa"/>
            <w:vAlign w:val="bottom"/>
            <w:vMerge w:val="restart"/>
          </w:tcPr>
          <w:p>
            <w:pPr>
              <w:spacing w:after="0"/>
              <w:rPr>
                <w:sz w:val="16"/>
                <w:szCs w:val="16"/>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Avocados</w:t>
            </w:r>
          </w:p>
        </w:tc>
        <w:tc>
          <w:tcPr>
            <w:tcW w:w="100" w:type="dxa"/>
            <w:vAlign w:val="bottom"/>
            <w:vMerge w:val="restart"/>
          </w:tcPr>
          <w:p>
            <w:pPr>
              <w:spacing w:after="0"/>
              <w:rPr>
                <w:sz w:val="16"/>
                <w:szCs w:val="16"/>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Oranges</w:t>
            </w:r>
          </w:p>
        </w:tc>
        <w:tc>
          <w:tcPr>
            <w:tcW w:w="80" w:type="dxa"/>
            <w:vAlign w:val="bottom"/>
            <w:vMerge w:val="restart"/>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b w:val="1"/>
                <w:bCs w:val="1"/>
                <w:color w:val="auto"/>
              </w:rPr>
              <w:t>Specialty</w:t>
            </w:r>
          </w:p>
        </w:tc>
        <w:tc>
          <w:tcPr>
            <w:tcW w:w="104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Other</w:t>
            </w:r>
          </w:p>
        </w:tc>
        <w:tc>
          <w:tcPr>
            <w:tcW w:w="0" w:type="dxa"/>
            <w:vAlign w:val="bottom"/>
          </w:tcPr>
          <w:p>
            <w:pPr>
              <w:spacing w:after="0"/>
              <w:rPr>
                <w:sz w:val="1"/>
                <w:szCs w:val="1"/>
                <w:color w:val="auto"/>
              </w:rPr>
            </w:pPr>
          </w:p>
        </w:tc>
      </w:tr>
      <w:tr>
        <w:trPr>
          <w:trHeight w:val="219"/>
        </w:trPr>
        <w:tc>
          <w:tcPr>
            <w:tcW w:w="2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Country</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Acres</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Crops</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Limoneira/Olivelands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Ventura, CA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1,700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La Campana</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Ventura,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Teague McKevett</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Ventura, CA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Orchard Farm</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Ventura,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1,100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Rancho La Cuesta</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Ventura, CA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Limco Del Mar</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Ventura,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Porterville Ranches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Tulare, CA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Ducor Ranches</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Tulare,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Sheldon Ranches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Tulare, CA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Lemons 400</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Tulare,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800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Windfall Farms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San Luis Obispo, CA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Cadiz</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San Bernardino,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800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Associated Citrus Packers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Yuma, AZ</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Pan de Azucar &amp; San Pablo</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La Serena, Chile</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3,500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2,900</w:t>
            </w: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Santa Clara</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Jujuy, Argentina</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8"/>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Other agribusiness land</w:t>
            </w: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Various Counties, CA</w:t>
            </w: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15,400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6,100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900</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6,600</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Percentage of Total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6 %</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6 %</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Limoneira/Olivelands Ranch</w:t>
      </w:r>
      <w:r>
        <w:rPr>
          <w:rFonts w:ascii="Arial" w:cs="Arial" w:eastAsia="Arial" w:hAnsi="Arial"/>
          <w:sz w:val="17"/>
          <w:szCs w:val="17"/>
          <w:color w:val="auto"/>
        </w:rPr>
        <w:t xml:space="preserve"> is the original site of our Company. Our headquarters, lemon packing operations and storage facilities are located on this property.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Teague McKevett Ranch</w:t>
      </w:r>
      <w:r>
        <w:rPr>
          <w:rFonts w:ascii="Arial" w:cs="Arial" w:eastAsia="Arial" w:hAnsi="Arial"/>
          <w:sz w:val="17"/>
          <w:szCs w:val="17"/>
          <w:color w:val="auto"/>
        </w:rPr>
        <w:t xml:space="preserve"> is the site of our real estate development project known as East Area I and described below under the “Real Estate Development Summary” heading.</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other agribusiness land in the table above includes corporate and lemon packing facilities, land leased to other agricultural businesses, rental units, roads, creeks, hillsides and other open land.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Orchards may continue producing fruit longer than their depreciable lives. The following table presents the number of acres planted by fruit variety and approximate age of our orchards: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4"/>
        </w:trPr>
        <w:tc>
          <w:tcPr>
            <w:tcW w:w="59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700"/>
              <w:spacing w:after="0"/>
              <w:rPr>
                <w:sz w:val="20"/>
                <w:szCs w:val="20"/>
                <w:color w:val="auto"/>
              </w:rPr>
            </w:pPr>
            <w:r>
              <w:rPr>
                <w:rFonts w:ascii="Arial" w:cs="Arial" w:eastAsia="Arial" w:hAnsi="Arial"/>
                <w:sz w:val="17"/>
                <w:szCs w:val="17"/>
                <w:b w:val="1"/>
                <w:bCs w:val="1"/>
                <w:color w:val="auto"/>
              </w:rPr>
              <w:t>Age of Orchards</w:t>
            </w:r>
          </w:p>
        </w:tc>
        <w:tc>
          <w:tcPr>
            <w:tcW w:w="1260" w:type="dxa"/>
            <w:vAlign w:val="bottom"/>
            <w:tcBorders>
              <w:bottom w:val="single" w:sz="8" w:color="auto"/>
            </w:tcBorders>
          </w:tcPr>
          <w:p>
            <w:pPr>
              <w:spacing w:after="0"/>
              <w:rPr>
                <w:sz w:val="19"/>
                <w:szCs w:val="19"/>
                <w:color w:val="auto"/>
              </w:rPr>
            </w:pPr>
          </w:p>
        </w:tc>
      </w:tr>
      <w:tr>
        <w:trPr>
          <w:trHeight w:val="213"/>
        </w:trPr>
        <w:tc>
          <w:tcPr>
            <w:tcW w:w="59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7"/>
                <w:szCs w:val="17"/>
                <w:b w:val="1"/>
                <w:bCs w:val="1"/>
                <w:color w:val="auto"/>
              </w:rPr>
              <w:t>0-4 Years</w:t>
            </w:r>
          </w:p>
        </w:tc>
        <w:tc>
          <w:tcPr>
            <w:tcW w:w="1340" w:type="dxa"/>
            <w:vAlign w:val="bottom"/>
            <w:gridSpan w:val="2"/>
          </w:tcPr>
          <w:p>
            <w:pPr>
              <w:ind w:left="240"/>
              <w:spacing w:after="0"/>
              <w:rPr>
                <w:sz w:val="20"/>
                <w:szCs w:val="20"/>
                <w:color w:val="auto"/>
              </w:rPr>
            </w:pPr>
            <w:r>
              <w:rPr>
                <w:rFonts w:ascii="Arial" w:cs="Arial" w:eastAsia="Arial" w:hAnsi="Arial"/>
                <w:sz w:val="17"/>
                <w:szCs w:val="17"/>
                <w:b w:val="1"/>
                <w:bCs w:val="1"/>
                <w:color w:val="auto"/>
              </w:rPr>
              <w:t>5-25 Years</w:t>
            </w:r>
          </w:p>
        </w:tc>
        <w:tc>
          <w:tcPr>
            <w:tcW w:w="1360" w:type="dxa"/>
            <w:vAlign w:val="bottom"/>
            <w:gridSpan w:val="2"/>
          </w:tcPr>
          <w:p>
            <w:pPr>
              <w:ind w:left="120"/>
              <w:spacing w:after="0"/>
              <w:rPr>
                <w:sz w:val="20"/>
                <w:szCs w:val="20"/>
                <w:color w:val="auto"/>
              </w:rPr>
            </w:pPr>
            <w:r>
              <w:rPr>
                <w:rFonts w:ascii="Arial" w:cs="Arial" w:eastAsia="Arial" w:hAnsi="Arial"/>
                <w:sz w:val="17"/>
                <w:szCs w:val="17"/>
                <w:b w:val="1"/>
                <w:bCs w:val="1"/>
                <w:color w:val="auto"/>
              </w:rPr>
              <w:t>Over 25 Years</w:t>
            </w:r>
          </w:p>
        </w:tc>
        <w:tc>
          <w:tcPr>
            <w:tcW w:w="1260" w:type="dxa"/>
            <w:vAlign w:val="bottom"/>
          </w:tcPr>
          <w:p>
            <w:pPr>
              <w:jc w:val="right"/>
              <w:ind w:right="354"/>
              <w:spacing w:after="0"/>
              <w:rPr>
                <w:sz w:val="20"/>
                <w:szCs w:val="20"/>
                <w:color w:val="auto"/>
              </w:rPr>
            </w:pPr>
            <w:r>
              <w:rPr>
                <w:rFonts w:ascii="Arial" w:cs="Arial" w:eastAsia="Arial" w:hAnsi="Arial"/>
                <w:sz w:val="17"/>
                <w:szCs w:val="17"/>
                <w:b w:val="1"/>
                <w:bCs w:val="1"/>
                <w:color w:val="auto"/>
              </w:rPr>
              <w:t>Total</w:t>
            </w:r>
          </w:p>
        </w:tc>
      </w:tr>
      <w:tr>
        <w:trPr>
          <w:trHeight w:val="212"/>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Lemons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4,800</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6,100</w:t>
            </w:r>
          </w:p>
        </w:tc>
      </w:tr>
      <w:tr>
        <w:trPr>
          <w:trHeight w:val="218"/>
        </w:trPr>
        <w:tc>
          <w:tcPr>
            <w:tcW w:w="5920" w:type="dxa"/>
            <w:vAlign w:val="bottom"/>
          </w:tcPr>
          <w:p>
            <w:pPr>
              <w:ind w:left="20"/>
              <w:spacing w:after="0"/>
              <w:rPr>
                <w:sz w:val="20"/>
                <w:szCs w:val="20"/>
                <w:color w:val="auto"/>
              </w:rPr>
            </w:pPr>
            <w:r>
              <w:rPr>
                <w:rFonts w:ascii="Arial" w:cs="Arial" w:eastAsia="Arial" w:hAnsi="Arial"/>
                <w:sz w:val="17"/>
                <w:szCs w:val="17"/>
                <w:color w:val="auto"/>
              </w:rPr>
              <w:t>Avocados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800</w:t>
            </w:r>
          </w:p>
        </w:tc>
      </w:tr>
      <w:tr>
        <w:trPr>
          <w:trHeight w:val="22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Oranges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8"/>
        </w:trPr>
        <w:tc>
          <w:tcPr>
            <w:tcW w:w="5920" w:type="dxa"/>
            <w:vAlign w:val="bottom"/>
          </w:tcPr>
          <w:p>
            <w:pPr>
              <w:ind w:left="20"/>
              <w:spacing w:after="0"/>
              <w:rPr>
                <w:sz w:val="20"/>
                <w:szCs w:val="20"/>
                <w:color w:val="auto"/>
              </w:rPr>
            </w:pPr>
            <w:r>
              <w:rPr>
                <w:rFonts w:ascii="Arial" w:cs="Arial" w:eastAsia="Arial" w:hAnsi="Arial"/>
                <w:sz w:val="17"/>
                <w:szCs w:val="17"/>
                <w:color w:val="auto"/>
              </w:rPr>
              <w:t>Specialty citrus and other</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800</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900</w:t>
            </w:r>
          </w:p>
        </w:tc>
      </w:tr>
      <w:tr>
        <w:trPr>
          <w:trHeight w:val="23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Lemon Packing and Sales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the oldest continuous lemon packing operation in North America. We pack and sell lemons grown by us as well as lemons grown by others, the operations of which are included in our financial statements under the lemon packing segment. Lemons delivered to our packinghouses in Santa Paula and Oxnard,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invest considerable time and research into refining and improving our lemon packing through innovation and are continuously searching for new techniques to refine how premium lemons are delivered to our consumers. In fiscal year 2016, our updated lemon packing facility became operational, which doubled our lemon packing capacity and increased the efficiency and financial results of these operations. Additionally, we purchased a packing house and related land ("Oxnard Lemon") in fiscal year 2018.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Operations Summary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Our rental operations include our residential and commercial rentals, leased land operations and organic recycling.</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own and maintain 256 residential housing units located in Ventura and Tulare Counties in California that we lease to employees, former employees and non-employees. We also own several commercial office buildings and as with our residential housing units, these properties generate reliable cash flows that we use to partially fund the operating costs of our business. As of October 31, 2021, we lease approximately 500 acres of our land to third-party agricultural tenants who grow a variety of row crops. Our leased land business provides us with a profitable method to diversify the use of our land. We also partner with one of our tenants and have an organic recycling facility on our land in Ventura County.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Development Summary</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invest in real estate development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900 units in various stages of planning and development. The following is a summary of each of the strategic agricultural and development real estate investment properties in which we own an interest: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East Area I - Santa Paula, California. </w:t>
      </w:r>
      <w:r>
        <w:rPr>
          <w:rFonts w:ascii="Arial" w:cs="Arial" w:eastAsia="Arial" w:hAnsi="Arial"/>
          <w:sz w:val="17"/>
          <w:szCs w:val="17"/>
          <w:color w:val="auto"/>
        </w:rPr>
        <w:t>East Area I consists of 523 acres that we historically used as agricultural land and is located in Santa Paula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ten miles from the City of Ventura and the Pacific Ocean. This property is also known as our Teague McKevett Ranch. East Area I is the location for our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of East Area I into Santa Paula. This vote was a requirement of the Save Open-Space and Agricultural Resources (“SOAR”) ordinance that mandates a public vote of the City of Santa Paula for land use conversion.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We expect to receive approximately $100.0 million from LLCB over the estimated 10 to 12-year life of the project, including $20.0 million received on the consummation of LLCB. LLCB's partners will share in capital contributions to fund project costs until loan proceeds and/or revenues are sufficient to fund the project. Since inception, each partner has made funding contributions of $21.4 million, including $2.8 million in fiscal year 2020. The first phase of the project broke ground to commence mass grading in November 2017. Project plans include approximately 1,500 residential units and site improvements substantially completed. Lot sales representing 232 and 144 residential units closed in fiscal years 2021 and 2020, respectively, and 586 residential units have closed from the project's inception to October 31, 2021.</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East Area II - Santa Paula, California. </w:t>
      </w:r>
      <w:r>
        <w:rPr>
          <w:rFonts w:ascii="Arial" w:cs="Arial" w:eastAsia="Arial" w:hAnsi="Arial"/>
          <w:sz w:val="16"/>
          <w:szCs w:val="16"/>
          <w:color w:val="auto"/>
        </w:rPr>
        <w:t>Our design associates and we are in the process of formulating plans for East Area II, a parcel of approximately 30 acres</w:t>
      </w:r>
      <w:r>
        <w:rPr>
          <w:rFonts w:ascii="Arial" w:cs="Arial" w:eastAsia="Arial" w:hAnsi="Arial"/>
          <w:sz w:val="16"/>
          <w:szCs w:val="16"/>
          <w:i w:val="1"/>
          <w:iCs w:val="1"/>
          <w:color w:val="auto"/>
        </w:rPr>
        <w:t xml:space="preserve"> </w:t>
      </w:r>
      <w:r>
        <w:rPr>
          <w:rFonts w:ascii="Arial" w:cs="Arial" w:eastAsia="Arial" w:hAnsi="Arial"/>
          <w:sz w:val="16"/>
          <w:szCs w:val="16"/>
          <w:color w:val="auto"/>
        </w:rPr>
        <w:t>adjacent to East Area I. East Area II is also a part of our Teague McKevett Ranch, which we believe is suited to commercial and/or industrial development along the south side of California Highway 126, a heavily traveled corridor that connects Highway 101 at Ventura on the west with Interstate 5 at Santa Clarita on the east. In July 2021, we entered into a non-binding letter of intent to sell approximately 25 acres of our East Area II property in five staged purchases to an investment company for the purpose of constructing a medical campus consisting of medical office buildings and an acute care hospital. Completion of the transaction is subject to the execution of a purchase and sale agreement and resolution of certain contingencies.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Santa Maria - Santa Barbara County, California. </w:t>
      </w:r>
      <w:r>
        <w:rPr>
          <w:rFonts w:ascii="Arial" w:cs="Arial" w:eastAsia="Arial" w:hAnsi="Arial"/>
          <w:sz w:val="17"/>
          <w:szCs w:val="17"/>
          <w:color w:val="auto"/>
        </w:rPr>
        <w:t>As of October 31, 2021, we were invested in one entitled development parcel, Sevilla, located in Santa Maria in</w:t>
      </w:r>
      <w:r>
        <w:rPr>
          <w:rFonts w:ascii="Arial" w:cs="Arial" w:eastAsia="Arial" w:hAnsi="Arial"/>
          <w:sz w:val="17"/>
          <w:szCs w:val="17"/>
          <w:i w:val="1"/>
          <w:iCs w:val="1"/>
          <w:color w:val="auto"/>
        </w:rPr>
        <w:t xml:space="preserve"> </w:t>
      </w:r>
      <w:r>
        <w:rPr>
          <w:rFonts w:ascii="Arial" w:cs="Arial" w:eastAsia="Arial" w:hAnsi="Arial"/>
          <w:sz w:val="17"/>
          <w:szCs w:val="17"/>
          <w:color w:val="auto"/>
        </w:rPr>
        <w:t>Santa Barbara County, California. In fiscal year 2020, we entered into an agreement to sell our Sevilla property for $2.7 million, which is expected to close in the second quarter of fiscal year 2022.</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Markets and Competitive Strengths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Agribusiness Operations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avocados and oranges. The following is a brief list of what we believe are our significant competitive strengths with respect to our agribusiness operations:</w:t>
      </w:r>
    </w:p>
    <w:p>
      <w:pPr>
        <w:spacing w:after="0" w:line="252" w:lineRule="exact"/>
        <w:rPr>
          <w:sz w:val="20"/>
          <w:szCs w:val="20"/>
          <w:color w:val="auto"/>
        </w:rPr>
      </w:pPr>
    </w:p>
    <w:p>
      <w:pPr>
        <w:jc w:val="both"/>
        <w:ind w:left="780" w:hanging="467"/>
        <w:spacing w:after="0" w:line="266"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agricultural properties in Ventura County are located near the Pacific Ocean, which provides an ideal environment for growing lemons, avocados and row crops. Our agricultural properties in Tulare County, which is in the San Joaquin Valley in Central California, and in Yuma, Arizona, are also located in areas that are well-suited for growing citrus crops.</w:t>
      </w:r>
    </w:p>
    <w:p>
      <w:pPr>
        <w:spacing w:after="0" w:line="20"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Historically, a higher percentage of our crops goes to the fresh market, which is commonly referred to as fresh utilization, than that of other growers and packers with which we compete.</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contiguous and nearby land resources that permit us to efficiently use our agricultural land and resources.</w:t>
      </w:r>
    </w:p>
    <w:p>
      <w:pPr>
        <w:spacing w:after="0" w:line="62"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all but one of our properties, we are not dependent on State or Federal water projects to support our agribusiness or real estate development operations.</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own approximately 94% of our agricultural land and take a long view on our fruit production practices.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significant amount of our agribusiness property was acquired many years ago, which results in a low-cost basis and associated expenses.</w:t>
      </w:r>
    </w:p>
    <w:p>
      <w:pPr>
        <w:spacing w:after="0" w:line="73" w:lineRule="exact"/>
        <w:rPr>
          <w:rFonts w:ascii="Arial" w:cs="Arial" w:eastAsia="Arial" w:hAnsi="Arial"/>
          <w:sz w:val="16"/>
          <w:szCs w:val="16"/>
          <w:color w:val="auto"/>
        </w:rPr>
      </w:pPr>
    </w:p>
    <w:p>
      <w:pPr>
        <w:ind w:left="780" w:hanging="467"/>
        <w:spacing w:after="0" w:line="279"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our fresh lemons and lemon packing segments, our integrated business model with respect to growing, packing, marketing and selling lemons allows us to better serve our customers.</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lemon packing operations provide marketing opportunities with other citrus companies and their respective products.</w:t>
      </w:r>
    </w:p>
    <w:p>
      <w:pPr>
        <w:spacing w:after="0" w:line="62" w:lineRule="exact"/>
        <w:rPr>
          <w:rFonts w:ascii="Arial" w:cs="Arial" w:eastAsia="Arial" w:hAnsi="Arial"/>
          <w:sz w:val="17"/>
          <w:szCs w:val="17"/>
          <w:color w:val="auto"/>
        </w:rPr>
      </w:pPr>
    </w:p>
    <w:p>
      <w:pPr>
        <w:jc w:val="both"/>
        <w:ind w:left="780" w:hanging="467"/>
        <w:spacing w:after="0" w:line="307" w:lineRule="auto"/>
        <w:tabs>
          <w:tab w:leader="none" w:pos="776"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and provides a significant portion of the electricity required to operate four deep-water well pumps at one of our ranches in Tulare County, California. Additionally, these investments support our sustainable agricultural practices, reduce our dependence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 w:name="page11"/>
    <w:bookmarkEnd w:id="10"/>
    <w:p>
      <w:pPr>
        <w:jc w:val="both"/>
        <w:ind w:left="780"/>
        <w:spacing w:after="0" w:line="262" w:lineRule="auto"/>
        <w:rPr>
          <w:sz w:val="20"/>
          <w:szCs w:val="20"/>
          <w:color w:val="auto"/>
        </w:rPr>
      </w:pPr>
      <w:r>
        <w:rPr>
          <w:rFonts w:ascii="Arial" w:cs="Arial" w:eastAsia="Arial" w:hAnsi="Arial"/>
          <w:sz w:val="17"/>
          <w:szCs w:val="17"/>
          <w:color w:val="auto"/>
        </w:rPr>
        <w:t>on fossil-based electricity generation and lower our carbon footprint. Moreover, electricity that we generate and do not use is conveyed seamlessly back to the investor-owned utilities operating in these two markets. Finally, over time, we expect that our customers and the end consumers of our fruit will value the investments that we have made in renewable energy as a part of our farming and packing operations, which we believe may help us differentiate our products from similar commodities.</w:t>
      </w:r>
    </w:p>
    <w:p>
      <w:pPr>
        <w:spacing w:after="0" w:line="23" w:lineRule="exact"/>
        <w:rPr>
          <w:sz w:val="20"/>
          <w:szCs w:val="20"/>
          <w:color w:val="auto"/>
        </w:rPr>
      </w:pPr>
    </w:p>
    <w:p>
      <w:pPr>
        <w:jc w:val="both"/>
        <w:ind w:left="780" w:hanging="467"/>
        <w:spacing w:after="0" w:line="266" w:lineRule="auto"/>
        <w:tabs>
          <w:tab w:leader="none" w:pos="77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made various other investments in water rights and mutual water companies. We own shares in the following mutual water companies: Farmers Irrigation Co., Canyon Irrigation Co., San Cayetano Mutual Water Co., Middle Road Mutual Water Co. and Pioneer Water Company, Inc. Additionally, we acquired water rights in the adjudicated Santa Paula Basin (aquifer), the YMIDD and in Chile.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Estate Development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our real estate development operations, we believe our competitive advantages are as follows:</w:t>
      </w:r>
    </w:p>
    <w:p>
      <w:pPr>
        <w:spacing w:after="0" w:line="294" w:lineRule="exact"/>
        <w:rPr>
          <w:sz w:val="20"/>
          <w:szCs w:val="20"/>
          <w:color w:val="auto"/>
        </w:rPr>
      </w:pPr>
    </w:p>
    <w:p>
      <w:pPr>
        <w:ind w:left="780" w:hanging="467"/>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entitlements to build approximately 1,500 residential units in our East Area I development.</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partnered with an experienced and financially strong land developer for our East Area I residential master plan development.</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Several of our agricultural and real estate investment properties are unique and carry longer-term development potential.</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East Area II property has approximately 30 acres of land commercially zoned, which is adjacent to our East Area I property.</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agribusiness and real estate development company that generates annual cash flows to support investments in agricultural and real estate development activities. As our agricultural and real estate development investments are monetized, we intend to seek to expand our agribusiness into new regions and markets and invest in cash-producing residential, commercial and industrial rental assets.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describes the key elements of our business strategy.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Agribusiness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our agribusiness operations, key elements of our strategy are:</w:t>
      </w:r>
    </w:p>
    <w:p>
      <w:pPr>
        <w:spacing w:after="0" w:line="294" w:lineRule="exact"/>
        <w:rPr>
          <w:sz w:val="20"/>
          <w:szCs w:val="20"/>
          <w:color w:val="auto"/>
        </w:rPr>
      </w:pPr>
    </w:p>
    <w:p>
      <w:pPr>
        <w:jc w:val="both"/>
        <w:ind w:left="620" w:hanging="307"/>
        <w:spacing w:after="0" w:line="283"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Acquire Additional Lemon Producing Properties</w:t>
      </w:r>
      <w:r>
        <w:rPr>
          <w:rFonts w:ascii="Arial" w:cs="Arial" w:eastAsia="Arial" w:hAnsi="Arial"/>
          <w:sz w:val="16"/>
          <w:szCs w:val="16"/>
          <w:color w:val="auto"/>
        </w:rPr>
        <w:t>. To the extent attractive opportunities arise and our capital availability permits, we intend to consider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additional lemon producing properties. In order to be considered, such properties would need to have certain characteristics to provide acceptable returns, such as an adequate source of water, a warm micro-climate and well-drained soils. We anticipate that the most attractive opportunities to acquire lemon producing properties will be in the San Joaquin Valley near our existing operations in Tulare County, California.</w:t>
      </w:r>
    </w:p>
    <w:p>
      <w:pPr>
        <w:spacing w:after="0" w:line="189" w:lineRule="exact"/>
        <w:rPr>
          <w:rFonts w:ascii="Arial" w:cs="Arial" w:eastAsia="Arial" w:hAnsi="Arial"/>
          <w:sz w:val="16"/>
          <w:szCs w:val="16"/>
          <w:color w:val="auto"/>
        </w:rPr>
      </w:pPr>
    </w:p>
    <w:p>
      <w:pPr>
        <w:jc w:val="both"/>
        <w:ind w:left="620" w:hanging="307"/>
        <w:spacing w:after="0" w:line="262"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Expand our Sources of Lemon Supply. </w:t>
      </w:r>
      <w:r>
        <w:rPr>
          <w:rFonts w:ascii="Arial" w:cs="Arial" w:eastAsia="Arial" w:hAnsi="Arial"/>
          <w:sz w:val="17"/>
          <w:szCs w:val="17"/>
          <w:color w:val="auto"/>
        </w:rPr>
        <w:t>Peak lemon production occurs at different times of the year depending on geographic region. In addition to our</w:t>
      </w:r>
      <w:r>
        <w:rPr>
          <w:rFonts w:ascii="Arial" w:cs="Arial" w:eastAsia="Arial" w:hAnsi="Arial"/>
          <w:sz w:val="17"/>
          <w:szCs w:val="17"/>
          <w:i w:val="1"/>
          <w:iCs w:val="1"/>
          <w:color w:val="auto"/>
        </w:rPr>
        <w:t xml:space="preserve"> </w:t>
      </w:r>
      <w:r>
        <w:rPr>
          <w:rFonts w:ascii="Arial" w:cs="Arial" w:eastAsia="Arial" w:hAnsi="Arial"/>
          <w:sz w:val="17"/>
          <w:szCs w:val="17"/>
          <w:color w:val="auto"/>
        </w:rPr>
        <w:t>lemon production in California and Arizona and lemons we acquire from domestic third-party growers and suppliers, we have expanded our lemon supply sources to international markets such as Mexico, Chile and Argentina. Increases in lemons procured from third-party growers and suppliers and international sources improve our ability to provide our customers with fresh lemons throughout the year.</w:t>
      </w:r>
    </w:p>
    <w:p>
      <w:pPr>
        <w:spacing w:after="0" w:line="203" w:lineRule="exact"/>
        <w:rPr>
          <w:rFonts w:ascii="Arial" w:cs="Arial" w:eastAsia="Arial" w:hAnsi="Arial"/>
          <w:sz w:val="17"/>
          <w:szCs w:val="17"/>
          <w:color w:val="auto"/>
        </w:rPr>
      </w:pPr>
    </w:p>
    <w:p>
      <w:pPr>
        <w:jc w:val="both"/>
        <w:ind w:left="620" w:hanging="307"/>
        <w:spacing w:after="0" w:line="283"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Increase the Volume of our Lemon Packing Operations</w:t>
      </w:r>
      <w:r>
        <w:rPr>
          <w:rFonts w:ascii="Arial" w:cs="Arial" w:eastAsia="Arial" w:hAnsi="Arial"/>
          <w:sz w:val="16"/>
          <w:szCs w:val="16"/>
          <w:color w:val="auto"/>
        </w:rPr>
        <w:t>. We regularly monitor our costs for redundancies and opportunities for cost reductions.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regard, cost per carton is a function of throughput. We continually seek to acquire additional lemons from third-party growers and suppliers to pack through our plants. Third-party growers and suppliers are only added if we determine their fruit is of good quality and can be cost effective for both the grower and us. Of most importance is the overall fresh utilization rate for our fruit, which is directly related to quality.</w:t>
      </w:r>
    </w:p>
    <w:p>
      <w:pPr>
        <w:spacing w:after="0" w:line="189" w:lineRule="exact"/>
        <w:rPr>
          <w:rFonts w:ascii="Arial" w:cs="Arial" w:eastAsia="Arial" w:hAnsi="Arial"/>
          <w:sz w:val="16"/>
          <w:szCs w:val="16"/>
          <w:color w:val="auto"/>
        </w:rPr>
      </w:pPr>
    </w:p>
    <w:p>
      <w:pPr>
        <w:jc w:val="both"/>
        <w:ind w:left="620" w:hanging="307"/>
        <w:spacing w:after="0" w:line="262"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Expand International Production and Marketing of Lemons</w:t>
      </w:r>
      <w:r>
        <w:rPr>
          <w:rFonts w:ascii="Arial" w:cs="Arial" w:eastAsia="Arial" w:hAnsi="Arial"/>
          <w:sz w:val="17"/>
          <w:szCs w:val="17"/>
          <w:color w:val="auto"/>
        </w:rPr>
        <w:t>. We estimate that we currently have approximately 10% of the fresh lemon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a larger share of the United States lemon export market. We intend to explore opportunities to expand our international production and marketing of lemons. We have the ability to supply a wide range of customers and markets and, because we produce high quality lemons, we can export our lemons to international customers, which many of our competitors are unable to supply.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 w:name="page12"/>
    <w:bookmarkEnd w:id="11"/>
    <w:p>
      <w:pPr>
        <w:jc w:val="both"/>
        <w:ind w:left="620" w:hanging="307"/>
        <w:spacing w:after="0" w:line="262"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Construction of an Updated Lemon Packinghouse</w:t>
      </w:r>
      <w:r>
        <w:rPr>
          <w:rFonts w:ascii="Arial" w:cs="Arial" w:eastAsia="Arial" w:hAnsi="Arial"/>
          <w:sz w:val="17"/>
          <w:szCs w:val="17"/>
          <w:color w:val="auto"/>
        </w:rPr>
        <w:t>. Over the years, new machinery and equipment along with upgrades have been added to our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and cold storage facilities. This, along with an aggressive and proactive maintenance program, has allowed us to operate an efficient, competitive lemon packing facility. A project to double the capacity and increase the efficiency of our lemon packing facilities became operational in fiscal year 2016. This project has increased fresh lemon processing capacity.</w:t>
      </w:r>
    </w:p>
    <w:p>
      <w:pPr>
        <w:spacing w:after="0" w:line="203" w:lineRule="exact"/>
        <w:rPr>
          <w:rFonts w:ascii="Arial" w:cs="Arial" w:eastAsia="Arial" w:hAnsi="Arial"/>
          <w:sz w:val="17"/>
          <w:szCs w:val="17"/>
          <w:color w:val="auto"/>
        </w:rPr>
      </w:pPr>
    </w:p>
    <w:p>
      <w:pPr>
        <w:jc w:val="both"/>
        <w:ind w:left="620" w:hanging="307"/>
        <w:spacing w:after="0" w:line="283"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Opportunistically Expand our Plantings of Avocados, Oranges, Specialty Citrus and Other Crops</w:t>
      </w:r>
      <w:r>
        <w:rPr>
          <w:rFonts w:ascii="Arial" w:cs="Arial" w:eastAsia="Arial" w:hAnsi="Arial"/>
          <w:sz w:val="16"/>
          <w:szCs w:val="16"/>
          <w:color w:val="auto"/>
        </w:rPr>
        <w:t>. Our plantings of avocados, oranges, specialty citrus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crops have been profitable and have been pursued to diversify our product line. Agricultural land that we believe is not suitable for lemons is typically planted with oranges, specialty citrus or other crops. While we may expand our avocados, oranges, specialty citrus and other crops, we expect to do so on an opportunistic basis in locations that we believe offer a record of historical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our rental operations and real estate development activities, key elements of our strategy include the following:</w:t>
      </w:r>
    </w:p>
    <w:p>
      <w:pPr>
        <w:spacing w:after="0" w:line="230" w:lineRule="exact"/>
        <w:rPr>
          <w:sz w:val="20"/>
          <w:szCs w:val="20"/>
          <w:color w:val="auto"/>
        </w:rPr>
      </w:pPr>
    </w:p>
    <w:p>
      <w:pPr>
        <w:ind w:left="620" w:hanging="307"/>
        <w:spacing w:after="0" w:line="349" w:lineRule="auto"/>
        <w:tabs>
          <w:tab w:leader="none" w:pos="61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Secure Additional Rental and Housing Units</w:t>
      </w:r>
      <w:r>
        <w:rPr>
          <w:rFonts w:ascii="Arial" w:cs="Arial" w:eastAsia="Arial" w:hAnsi="Arial"/>
          <w:sz w:val="15"/>
          <w:szCs w:val="15"/>
          <w:color w:val="auto"/>
        </w:rPr>
        <w:t>. Our housing, commercial and land rental operations provide us with a consistent, dependable source of cash</w:t>
      </w:r>
      <w:r>
        <w:rPr>
          <w:rFonts w:ascii="Arial" w:cs="Arial" w:eastAsia="Arial" w:hAnsi="Arial"/>
          <w:sz w:val="15"/>
          <w:szCs w:val="15"/>
          <w:i w:val="1"/>
          <w:iCs w:val="1"/>
          <w:color w:val="auto"/>
        </w:rPr>
        <w:t xml:space="preserve"> </w:t>
      </w:r>
      <w:r>
        <w:rPr>
          <w:rFonts w:ascii="Arial" w:cs="Arial" w:eastAsia="Arial" w:hAnsi="Arial"/>
          <w:sz w:val="15"/>
          <w:szCs w:val="15"/>
          <w:color w:val="auto"/>
        </w:rPr>
        <w:t>flow that helps to fund our overall activities. Additionally, we believe our housing rental operation allows us to offer a unique benefit to our employees.</w:t>
      </w:r>
    </w:p>
    <w:p>
      <w:pPr>
        <w:spacing w:after="0" w:line="142" w:lineRule="exact"/>
        <w:rPr>
          <w:rFonts w:ascii="Arial" w:cs="Arial" w:eastAsia="Arial" w:hAnsi="Arial"/>
          <w:sz w:val="15"/>
          <w:szCs w:val="15"/>
          <w:color w:val="auto"/>
        </w:rPr>
      </w:pPr>
    </w:p>
    <w:p>
      <w:pPr>
        <w:jc w:val="both"/>
        <w:ind w:left="6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Opportunistically Lease Land to Third-Party Crop Farmers</w:t>
      </w:r>
      <w:r>
        <w:rPr>
          <w:rFonts w:ascii="Arial" w:cs="Arial" w:eastAsia="Arial" w:hAnsi="Arial"/>
          <w:sz w:val="17"/>
          <w:szCs w:val="17"/>
          <w:color w:val="auto"/>
        </w:rPr>
        <w:t>. We regularly monitor the profitability of our fruit-producing acreage to ensure acceptable</w:t>
      </w:r>
      <w:r>
        <w:rPr>
          <w:rFonts w:ascii="Arial" w:cs="Arial" w:eastAsia="Arial" w:hAnsi="Arial"/>
          <w:sz w:val="17"/>
          <w:szCs w:val="17"/>
          <w:i w:val="1"/>
          <w:iCs w:val="1"/>
          <w:color w:val="auto"/>
        </w:rPr>
        <w:t xml:space="preserve"> </w:t>
      </w:r>
      <w:r>
        <w:rPr>
          <w:rFonts w:ascii="Arial" w:cs="Arial" w:eastAsia="Arial" w:hAnsi="Arial"/>
          <w:sz w:val="17"/>
          <w:szCs w:val="17"/>
          <w:color w:val="auto"/>
        </w:rPr>
        <w:t>per acre returns. When we determine that leasing the land to third-party row crop farmers would be more profitable than farming the land, we intend to seek third-party row crop tenants.</w:t>
      </w:r>
    </w:p>
    <w:p>
      <w:pPr>
        <w:spacing w:after="0" w:line="20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Opportunistically Expand our Income-Producing Commercial and Industrial Rental Assets</w:t>
      </w:r>
      <w:r>
        <w:rPr>
          <w:rFonts w:ascii="Arial" w:cs="Arial" w:eastAsia="Arial" w:hAnsi="Arial"/>
          <w:sz w:val="17"/>
          <w:szCs w:val="17"/>
          <w:color w:val="auto"/>
        </w:rPr>
        <w:t>. We intend to redeploy our future financial gains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income-producing real estate investments and agricultural properties.</w:t>
      </w:r>
    </w:p>
    <w:p>
      <w:pPr>
        <w:spacing w:after="0" w:line="190"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Selectively and Responsibly Develop our Agricultural Land</w:t>
      </w:r>
      <w:r>
        <w:rPr>
          <w:rFonts w:ascii="Arial" w:cs="Arial" w:eastAsia="Arial" w:hAnsi="Arial"/>
          <w:sz w:val="17"/>
          <w:szCs w:val="17"/>
          <w:color w:val="auto"/>
        </w:rPr>
        <w:t>. We recognize that long-term strategies are required for successful real estate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4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market and sell our lemons directly to our food service, wholesale and retail customers in the United States, Canada, Asia, Australia, Europe and certain other international markets. We sold lemons to approximately 200 U.S. and international customers during fiscal year 2021. We sell a majority of our avocados to Calavo. Our oranges, specialty citrus and other crops are sold through Sunkist and other third-party packinghouses and our wine grapes are sold to wine producers.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Geographic Areas</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fiscal years 2021, 2020 and 2019, we had an aggregate of approximately $3.0 million, $3.5 million and $3.2 million, respectively, of total sales in Chile by PDA and San Pablo. During fiscal years 2021, 2020 and 2019, we had an aggregate of approximately $3.6 million, $14.2 million and $14.7 million, respectively, of total sales in Argentina by Trapani Fresh. The majority of our avocados, oranges and specialty citrus and other crops are sold to packinghouses and processors located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agribusiness crop markets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Calavo similar to that of Limoneira. Our lemons and oranges also compete with other fruits and vegetables for the share of consumer expenditures devoted to fresh fruit and vegetables: apples, pears, melons, pineapples and other tropical fruit. Avocado products compete in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2" w:name="page13"/>
    <w:bookmarkEnd w:id="12"/>
    <w:p>
      <w:pPr>
        <w:jc w:val="both"/>
        <w:spacing w:after="0" w:line="262" w:lineRule="auto"/>
        <w:rPr>
          <w:sz w:val="20"/>
          <w:szCs w:val="20"/>
          <w:color w:val="auto"/>
        </w:rPr>
      </w:pPr>
      <w:r>
        <w:rPr>
          <w:rFonts w:ascii="Arial" w:cs="Arial" w:eastAsia="Arial" w:hAnsi="Arial"/>
          <w:sz w:val="17"/>
          <w:szCs w:val="17"/>
          <w:color w:val="auto"/>
        </w:rPr>
        <w:t>supermarket with hummus products and other dips and salsas. For our specific crops, the size of the U.S. market is approximately $660 million for lemons, both fresh and juice, approximately $430 million for avocados, and approximately $1.7 billion for oranges, both fresh and juice. Competition in the various agribusiness markets is affected by reliability of supply, product quality, brand recognition and perception, price and the ability to satisfy changing customer preferences through innovative product offerings.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and Santa Barbara Counties comes from other residential and commercial developments in nearby areas.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Resources and Raw Materials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our fresh lemons and lemon packing segments, paper is considered a material raw product for our business because most of our products are packed in cardboard cartons for shipment. Paper is readily available and we have numerous suppliers for such material. In our agribusiness division, petroleum-based products such as herbicides and pesticides are considered raw materials and we have numerous suppliers for these products.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4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have numerous trademarks and brands under which we market and sell our fruits, particularly lemons, domestically and internationally, many of which have been owned for decades. The material brands of Limoneira lemons include, but are not limited to, One World of Citrus®, Santa®, Paula®, Bridal Veil®, Fountain®, Golden Bowl® and Level®. These trademarks are owned by us and registered with the United States Patent and Trademark Office. We also acquired certain lemon brands with acquisitions, including Kiva®, Kachina®, Oxnard Lemon, Uno, Sunny, Trapani, Argentinian Beauty, Natural and Trapani Fresh.</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 Nature of Business</w:t>
      </w:r>
    </w:p>
    <w:p>
      <w:pPr>
        <w:spacing w:after="0" w:line="22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As with any agribusiness enterprise, our agribusiness operations are predominantly seasonal in nature. The harvest and sale of our lemons, avocados, oranges and specialty citrus and other crops occurs in all quarters, but is generally more concentrated during our third quarter. Our lemons are generally grown and marketed throughout the year, our avocados are primarily sold from January through August, our oranges are primarily sold from January through June, our specialty citrus is primarily sold from November through April and our specialty crops, such as pistachios and wine grapes, are primarily sold in September and October.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Regulatory Matters</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that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the various risks we face from regulation and compliance matters, see Item 1A Risk Factors of this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October 31, 2021, we had 268 employees, of which 98 were salaried and 170 were hourly. None of our employees are subject to a collective bargaining agreement. We believe that our relations with our employees are good.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7"/>
          <w:szCs w:val="17"/>
          <w:color w:val="auto"/>
        </w:rPr>
        <w:t>We believe that an environment of diversity, inclusion, and belonging fosters innovation, strengthens our global workforce, and drives our ability to serve customers. Our global presence is strengthened by having a workforce that reflects the diversity of the customers we serve and by maintaining an environment in which such diversity contributes to our mission.</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Limoneira is committed to protecting the human rights, safety and dignity of the people who contribute to the success of our business. We are committed to improving the lives of all our stakeholders by helping to provide access to our products and increasing the diversity of our workforce. We also seek to support the welfare of the people who produce, process and harvest the products we sell. We have established several new diversity, inclusion and belonging efforts and programs to better ensure that we are supporting our employees.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Limoneira’s overall culture emphasizes the health and safety of our employees and the customers we serve. Limoneira has an Illness and Injury Prevention Plan (IIPP), a Safety Guide and conforms to and follows regulations and guidelines set forth by OSHA in all facilities and operations. Where a particular jurisdiction's guidelines, such as Cal OHSA, are different from the OSHA standard, Limoneira adheres to the most extensive guideline. We have excellent results from our safety programs compared to similar companies within our industry. In response to the COVID-19 pandemic, we implemented, and continue to improve, appropriate safety measures in all our facilities and locations.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strive to be a great place for our employees to work and live. We offer competitive pay and best-in-class benefits, including a 401k plan with matching contribution opportunities, comprehensive paid healthcare plans, wellness programs, and tuition reimbursement.</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own and maintain 256 residential housing units located in Ventura and Tulare Counties in California. We lease these housing units to employees, former employees and non-employees. Our residential units provide affordable housing to many of our employees, including our agribusiness employees. Employees live close to their work, which reduces traffic and commuting times. This unique employment benefit helps us maintain a dependable, long-term employee base. We partner with some local schools to provide transportation for residents.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Agribusiness Operations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our crops are subject to damage from frosts and freezes, and this has happened periodically in the recent past. In some cases, the fruit is damaged or ruined; in the case of extended periods of cold, the trees can also be damaged or killed.</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256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18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Fresh produce is also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One such pest is ACP, an aphid–like insect that is a serious pest to all citrus plants because it can transmit the disease, Huanglongbing (“HLB”), when it feeds on the plants’ leaves and trees. By itself, ACP causes only minor cosmetic damage to citrus trees. HLB, however, is considered one of the most devastating diseases of citrus in the world. Trees infected with HLB decline in health, produce inedible fruit and eventually die, usually in 3 to 5 years after becoming infected. Currently, there is no cure for the disease and infected trees must be removed and destroyed to prevent further spreading.</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ACP and HLB exist domestically in California, Florida, Louisiana, Georgia, South Carolina and Texas and internationally in countries such as Mexico. Due to the discovery of ACP in our orchards, we have experienced costs related to the quarantine and treatment of ACP and incurred approximately $0.5 million of costs in fiscal year 2021 related to pest control efforts targeted against ACP. To date, HLB has been detected in Los Angeles, Orange, Riverside, San Bernardino and San Diego Counties in California, however there has been no HLB detected in our orchards. There can be no assurance that HLB will not be further detected in the future.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There are a number of registered insecticides known to be effective against ACP, however, certain markets and customer responses to the discovery of ACP and the related quarantine could result in a significant decline in revenue due to restrictions on where our lemons can be sold and lower demand for our lemons. Additional government regulations and other quarantine requirements or customer handling and inspection requirements could increase agribusiness costs to us. Our citrus orchards could be at risk if ACP starts to transmit the HLB disease to our trees. Agribusiness costs could also increase significantly as a result of HLB. For example, a study in Florida indicated the presence of HLB has increased citrus production costs by as much as 40%.</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 of marketing and selling our lemons directly to our food service, wholesale and retail customers may not continue to be successful.</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relationship with Calavo and their ability to sell our avocados. Any disruption in this relationship could harm our sales.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sell a majority of the avocados we grow to Calavo and depend on their willingness and ability to market and sell our avocados to consumers. Calavo sources its avocados from many growers and we cannot control who they will purchase from and how large their orders may be. Should there be any change in our current relationship structure, whereby they buy a majority of our avocado crop, we would need to find replacement buyers to purchase our remaining crop, which could take time and expense and may result in less favorable terms of sale. Any loss of Calavo as a customer on a whole may cause a material loss in our profits, as it may take time to fill any such void.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earnings are sensitive to fluctuations in market supply and prices and demand for our products.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Excess supplies often cause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 The ongoing COVID-19 pandemic has also reduced the demand for our products resulting in excess supplies.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Fresh produce is highly perishable and generally must be brought to market and sold soon after harvest. Some items, such as avocados, oranges and specialty citrus, must be sold more quickly, while other items, such as lemons, can be held in cold storage for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t>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earnings may be subject to seasonal variability.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Our earnings may be affected by seasonal factors, including:</w:t>
      </w:r>
    </w:p>
    <w:p>
      <w:pPr>
        <w:spacing w:after="0" w:line="294" w:lineRule="exact"/>
        <w:rPr>
          <w:sz w:val="20"/>
          <w:szCs w:val="20"/>
          <w:color w:val="auto"/>
        </w:rPr>
      </w:pPr>
    </w:p>
    <w:p>
      <w:pPr>
        <w:ind w:left="780" w:hanging="467"/>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seasonality of our supplies and consumer demand;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to process products during critical harvest periods;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effects of ripening and perishability.</w:t>
      </w: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lemons are generally grown and marketed throughout the year. Our Navel oranges are primarily sold from January through April and our Valencia oranges are primarily sold from June through September. Our avocados are primarily sold from January through August. Our specialty citrus is primarily sold from November through June and our pistachios and wine grapes are primarily sold in September and October.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commodity or raw product costs, such as fuel and paper, could adversely affect our operating results.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16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labor, personnel and benefits costs could adversely affect our operating results.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labor contractors and we are subject to government mandated wage and benefit laws and regulations. For example, the State of California, where a substantial number of our labor contractors are located, passed regulations that increased minimum wage rates from $13.00 per hour to $14.00 per hour, effective January 1, 2021, and will increase to $15.00 per hour in 2022. The State of Arizona wage rates rise each year based on the annual cost of living and increased from $12.00 per hour to $12.15 per hour, effective January 1, 2021, and will increase to $12.80 per hour in 2022. In addition, current or future federal or state healthcare legislation and regulation, including the Affordable Care Act, may increase our medical costs or the medical costs of our labor contractors that could be passed on to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immigration laws could impact the ability of Limoneira to harvest its crops.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7"/>
          <w:szCs w:val="17"/>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lack of sufficient water would severely impact our ability to produce crops or develop real estate.</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average rainfall in Ventura, Tulare, San Luis Obispo and San Bernardino Counties in California is substantially below amounts required to grow crops and therefore we are dependent on our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we began using federal project water in Arizona from the Colorado River through the YMIDD. We also have acquired water rights in Chile related to our acquisitions of PDA and San Pablo.</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California has experienced below average precipitation in the 2019 - 2020 and 2020 - 2021 rainfall season and above average precipitation in the first three months of the current rainfall season as of December 31, 2021. According to the U.S. Drought Monitor, California is experiencing severe drought conditions as of December 31, 2021. In October 2021, the California Governor declared a drought state of emergency statewide. Federal officials who oversee the Central Valley Project, California’s largest water delivery system, allocated 5% of the contracted amount of water to San Joaquin Valley farmers in 2021 compared to 100% in 2017 through 2020. We are assessing the impact these reductions may have on our California orchards.</w:t>
      </w:r>
    </w:p>
    <w:p>
      <w:pPr>
        <w:spacing w:after="0" w:line="19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August 2021, the U.S. Bureau of Reclamation declared a Level 1 Shortage Condition at Lake Mead in the Lower Colorado River Basin for the first time ever, requiring shortage reductions and water savings contributions for states in the southwest. Beginning January 1, 2022, Arizona will see water releases from Lake Mead reduced by approximately 18% of the state’s annual apportionment. We are assessing the impact these reductions may have on our Arizona orchards.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fiscal year 2021, irrigation costs for our agricultural operations were $0.7 million higher than fiscal year 2020. Costs may increase as we pump more water than our historical averages and federal, state and local water delivery infrastructure costs may increase to access these limited water supplies. We have an ongoing plan for irrigation improvements continuing in fiscal year 2022 that includes drilling new wells and upgrading existing wells and irrigation systems.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we have access to adequate supplies of water for our agricultural operations as well as our real estate development and rental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use of herbicides, pesticides and other potentially hazardous substances in our operations may lead to environmental damage and result in increased costs to us.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fundamentally changed the pesticide approval process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global economic downturn may have an adverse impact on participants in our industry, which cannot be fully predicted.</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full impact of a global economic downturn on customers, vendors and other business partners, such as that seen with the COVID-19 pandemic,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wide-ranging impacts on the future of the industry.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risk of product contamination and product liability claims.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transportation risks.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 extended interruption in our ability to ship our products could have a material adverse effect on our business, financial condition and results of operations. Similarly, any extended disruption in the distribution of our products or supply chain issues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Events or rumors relating to LIMONEIRA or our other trademarks and related brands could significantly impact our business.</w:t>
      </w:r>
    </w:p>
    <w:p>
      <w:pPr>
        <w:spacing w:after="0" w:line="24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Consumer and institutional recognition of the LIMONEIRA, One World of Citrus®, Santa®, Paula®, Bridal Veil®, Fountain®, Golden Bowl®, Level®, Kiva®, Kachina®, Oxnard Lemon, Uno, Sunny, Trapani, Argentinian Beauty, Natural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could increase our costs of production and increase legal and regulatory expenses.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16"/>
          <w:szCs w:val="16"/>
          <w:color w:val="auto"/>
        </w:rPr>
        <w:t>Growing, packaging, storing and distributing food products are activities subject to extensive federal, state and local regulation, as well as foreign regulation. The U.S. Food and Drug Administration (the “FDA”), the USDA and various state and local public health and agricultural agencies regulate these aspects of our operations. Our business is subject to the FDA Food Safety Modernization Act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Import and export controls and similar laws and regulations, in both the United States and elsewhere affect our business.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strategy to expand international production and marketing may not be successful and may subject us to risks associated with doing business in corrupt environments.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While we intend to expand our lemon supply sources to international markets and explore opportunities to expand our international production and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infrastructure to have sufficient capacity to handle our annual lemon production needs.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an infrastructure that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generate sufficient cash flow to service our debt obligations.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service our debt, we require a significant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235" w:lineRule="exact"/>
        <w:rPr>
          <w:sz w:val="20"/>
          <w:szCs w:val="20"/>
          <w:color w:val="auto"/>
        </w:rPr>
      </w:pPr>
    </w:p>
    <w:p>
      <w:pPr>
        <w:ind w:left="780" w:hanging="467"/>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economic and competitive conditions;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laws and regulations;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operating difficulties, increased operating costs or pricing pressures we may experience;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in implementing any strategic projects.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242" w:lineRule="exact"/>
        <w:rPr>
          <w:sz w:val="20"/>
          <w:szCs w:val="20"/>
          <w:color w:val="auto"/>
        </w:rPr>
      </w:pPr>
    </w:p>
    <w:p>
      <w:pPr>
        <w:ind w:left="780" w:hanging="467"/>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 w:name="page20"/>
    <w:bookmarkEnd w:id="19"/>
    <w:p>
      <w:pPr>
        <w:ind w:left="780" w:hanging="467"/>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certain investments or acquisitions;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create certain liens on our assets;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engage in certain types of transactions with affiliates;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merge, consolidate or transfer substantially all our assets;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transfer and sell assets.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revolving and non-revolving credit facility with the Farm Credit West Credit Facility contain a financial covenant that requires us to maintain compliance with a specified debt service coverage ratio on an annual basis. In December 2021, the Lender modified the covenant to defer measurement at October 31, 2021 and revert to a debt service coverage ratio of 1.25:1.0 measured as of October 31, 2022. Our failure to comply with this covenant in the future may result in the declaration of an event of default under our Farm Credit West Credit Facility.</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Despite our relatively high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substantial indebtedness.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restrictions in our credit facilities, we may incur significant additional indebtedness. If new debt is added to our current debt levels, the related risks that we now face could increase.</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January 2018, LLCB entered into a $45.0 million unsecured Line of Credit Loan Agreement and Promissory Note (the “Loan”) with Bank of America, N.A. to fund early development activities. The Loan, as modified and extended, matures February 22, 2023 and has a one-year extension option through February 22, 2024 subject to terms and conditions as defined in the agreement, with the maximum borrowing amount reduced to $35.0 million during the extension period. The Loan contains certain customary default provisions and LLCB may prepay any amounts outstanding under the Loan without penalty. The obligations under the Loan are guaranteed by certain principals from Lewis and us. Defaults by LLCB could increase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our debt is based on variable rates of interest, which could result in higher interest expenses in the event of an increase in the interest rates.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Farm Credit West Credit Facility currently bears interest at a variable rate, which will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Farm Credit West Credit Facility, which could materially adversely affect our business, financial condition and results of operations. Several of our Company’s debt agreements use LIBOR as a reference rate. The expected discontinuation of LIBOR after 2021 could have a significant impact on us if we cannot replace LIBOR with alternative reference rates at or below the current LIBOR rate.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capital and credit market issues affect our liquidity, increase our borrowing costs and may affect the operations of our suppliers and customers.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Risks Related to Our Real Estate Development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a cyclical industry and are affected by changes in general and local economic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real estate development industry is cyclical and is significantly affected by changes in general and local economic conditions, including:</w:t>
      </w:r>
    </w:p>
    <w:p>
      <w:pPr>
        <w:spacing w:after="0" w:line="294" w:lineRule="exact"/>
        <w:rPr>
          <w:sz w:val="20"/>
          <w:szCs w:val="20"/>
          <w:color w:val="auto"/>
        </w:rPr>
      </w:pPr>
    </w:p>
    <w:p>
      <w:pPr>
        <w:ind w:left="780" w:hanging="467"/>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employment levels;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financing;</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rates;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consumer confidence;</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demand for the developed product, whether residential or industrial;</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supply of similar product, whether residential or industrial; and</w:t>
      </w:r>
    </w:p>
    <w:p>
      <w:pPr>
        <w:spacing w:after="0" w:line="62" w:lineRule="exact"/>
        <w:rPr>
          <w:rFonts w:ascii="Arial" w:cs="Arial" w:eastAsia="Arial" w:hAnsi="Arial"/>
          <w:sz w:val="17"/>
          <w:szCs w:val="17"/>
          <w:color w:val="auto"/>
        </w:rPr>
      </w:pPr>
    </w:p>
    <w:p>
      <w:pPr>
        <w:ind w:left="780" w:right="540" w:hanging="467"/>
        <w:spacing w:after="0" w:line="279" w:lineRule="auto"/>
        <w:tabs>
          <w:tab w:leader="none" w:pos="776"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local, state and federal government regulation, including eminent domain laws, which may result in taking for less compensation than the owner believes the property is worth.</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recession in the global economy, or a downturn in national or regional economic conditions, could adversely impact our real estate development business.</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Future economic instability or tightening in the credit markets could lead to another housing market collapse, which could adversely affect our real estate development operations. Our future real estate sales, revenues, financial condition and results of operations could suffer as a result. Our business is especially sensitive to economic conditions in California and Arizona, where our properties are located.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Higher interest rates and lack of available financing can have significant impacts on the real estate industry.</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Since the most recent recession, the Board of Governors of the Federal Reserve System has taken actions that have resulted in low interest rates prevailing in the marketplace for a historically long period of time. Market interest rates may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various land use regulations and require governmental approvals for our developments that could be denied.</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in the past, many states, cities and counties (including Ventura County) have approved various “slow growth” or “urban limit line” measures.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unforeseen regulatory challenges with East Areas I and II occur, we may not be able to develop these projects as planned and the approximately $83.0 million investment we have in the projects could be impaired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litigation could increase the time and cost of our real estate development efforts.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6"/>
          <w:szCs w:val="16"/>
          <w:color w:val="auto"/>
        </w:rPr>
        <w:t>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where a significant amount of our developable land is located,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developable land is concentrated entirely in California and Arizona.</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All of our developable land is located in California and Arizona, and our business is especially sensitive to the economic conditions within California. Any adverse change in the economic climate of California, Arizona, or our regions of those states, and any adverse change in the political or regulatory climate of California or Arizona, or the counties where our land is located in such states, could adversely affect our real estate development activities. Ultimately, our ability to sell or lease lots may decline as a result of weak economic conditions or restrictive regulations.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the real estate industry weakens or instability of the mortgage industry and commercial real estate financing exists, it could have an adverse effect on our real estate activities.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rely on contractual arrangements with third party advisors to assist us in carrying out our real estate development projects and are subject to risks associated with such arrangements.</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utilize third party contractor and consultant arrangements to assist us in operating our real estate development segment. These contractual arrangements may not be as effective in providing direct control over this business segment.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are unable to complete land development projects within forecasted time and budget expectations, if at all, our financial results may be negatively affected.</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242" w:lineRule="exact"/>
        <w:rPr>
          <w:sz w:val="20"/>
          <w:szCs w:val="20"/>
          <w:color w:val="auto"/>
        </w:rPr>
      </w:pPr>
    </w:p>
    <w:p>
      <w:pPr>
        <w:ind w:left="780" w:hanging="46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Construction delays or cost overruns that may increase project costs;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Receipt of zoning, occupancy and other required governmental permits and authorizations;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Development costs incurred for projects that are not pursued to completion;</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Earthquakes, hurricanes, floods, fires or other natural disasters that could adversely affect a project;</w:t>
      </w:r>
    </w:p>
    <w:p>
      <w:pPr>
        <w:spacing w:after="0" w:line="62"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Defects in design or construction that may result in additional costs to remedy or require all or a portion of a property to be closed during the period required to rectify the situation;</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raise capital;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ind w:left="780" w:hanging="467"/>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governmental assessments such as park fees or affordable housing requirements;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Governmental restrictions on the nature and size of a project or timing of completion;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potential lack of adequate building/construction capacity for large development projects.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If any development project is not completed on time or within budget, our financial results may be negatively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required land use entitlements at reasonable costs, or at all, our operating results would be adversely affected.</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financial performance of our real estate development activities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could experience a reduction in revenues or reduced cash flows if we are unable to obtain reasonably priced financing to support our real estate development projects and land development activities.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encounter risks associated with the real estate joint venture we entered into in November 2015 with the Lewis Group of Companies including:</w:t>
      </w:r>
    </w:p>
    <w:p>
      <w:pPr>
        <w:spacing w:after="0" w:line="317" w:lineRule="exact"/>
        <w:rPr>
          <w:sz w:val="20"/>
          <w:szCs w:val="20"/>
          <w:color w:val="auto"/>
        </w:rPr>
      </w:pPr>
    </w:p>
    <w:p>
      <w:pPr>
        <w:ind w:left="780" w:hanging="467"/>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joint venture may not perform financially or operationally as expected;</w:t>
      </w:r>
    </w:p>
    <w:p>
      <w:pPr>
        <w:spacing w:after="0" w:line="62"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land values, project costs, sales absorption or other assumptions included in the development plans may cause the joint venture’s operating results to be less than expected;</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joint venture may not be able to obtain project loans on acceptable terms;</w:t>
      </w:r>
    </w:p>
    <w:p>
      <w:pPr>
        <w:spacing w:after="0" w:line="62"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joint venture partners may not be able to provide capital to the joint venture in the event external financing or project cash flows are not sufficient to finance the joint venture’s operations;</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joint venture partners may not manage the project properly; and</w:t>
      </w:r>
    </w:p>
    <w:p>
      <w:pPr>
        <w:spacing w:after="0" w:line="62" w:lineRule="exact"/>
        <w:rPr>
          <w:rFonts w:ascii="Arial" w:cs="Arial" w:eastAsia="Arial" w:hAnsi="Arial"/>
          <w:sz w:val="17"/>
          <w:szCs w:val="17"/>
          <w:color w:val="auto"/>
        </w:rPr>
      </w:pPr>
    </w:p>
    <w:p>
      <w:pPr>
        <w:ind w:left="780" w:hanging="467"/>
        <w:spacing w:after="0" w:line="279"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disagreements could occur between the joint venture partners that could affect the operating results of the joint venture or could result in a sale of a partner’s interest or the joint venture at undesirable values.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encounter other risks that could impact our ability to develop our land.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may also encounter other difficulties in developing our land, including:</w:t>
      </w:r>
    </w:p>
    <w:p>
      <w:pPr>
        <w:spacing w:after="0" w:line="294" w:lineRule="exact"/>
        <w:rPr>
          <w:sz w:val="20"/>
          <w:szCs w:val="20"/>
          <w:color w:val="auto"/>
        </w:rPr>
      </w:pPr>
    </w:p>
    <w:p>
      <w:pPr>
        <w:ind w:left="780" w:hanging="467"/>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natural risks, such as geological and soil problems, earthquakes, fire, heavy rains and flooding and heavy winds;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shortages of qualified trades people;</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reliance on local contractors, who may be inadequately capitalized;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shortages of materials;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the cost of certain materials;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environmental remediation costs.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 and Risks Related to Our Common Stock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Our business is highly competitive and we cannot assure you that we will maintain our current market share.</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Important factors with respect to our competitors include the following:</w:t>
      </w:r>
    </w:p>
    <w:p>
      <w:pPr>
        <w:spacing w:after="0" w:line="294" w:lineRule="exact"/>
        <w:rPr>
          <w:sz w:val="20"/>
          <w:szCs w:val="20"/>
          <w:color w:val="auto"/>
        </w:rPr>
      </w:pPr>
    </w:p>
    <w:p>
      <w:pPr>
        <w:ind w:left="780" w:hanging="467"/>
        <w:spacing w:after="0" w:line="279"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9" w:lineRule="exact"/>
        <w:rPr>
          <w:rFonts w:ascii="Arial" w:cs="Arial" w:eastAsia="Arial" w:hAnsi="Arial"/>
          <w:sz w:val="17"/>
          <w:szCs w:val="17"/>
          <w:color w:val="auto"/>
        </w:rPr>
      </w:pPr>
    </w:p>
    <w:p>
      <w:pPr>
        <w:ind w:left="780" w:hanging="467"/>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cannot predict the pricing or promotional actions of our competitors or whether those actions will have a negative effect on us.</w:t>
      </w:r>
    </w:p>
    <w:p>
      <w:pPr>
        <w:spacing w:after="0" w:line="2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Currency exchange fluctuation may impact the results of our operations.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distribute our products both nationally and internationally. Our international sales are primarily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key personnel and the loss of one or more of those key personnel may materially and adversely affect our prospects</w:t>
      </w:r>
      <w:r>
        <w:rPr>
          <w:rFonts w:ascii="Arial" w:cs="Arial" w:eastAsia="Arial" w:hAnsi="Arial"/>
          <w:sz w:val="17"/>
          <w:szCs w:val="17"/>
          <w:i w:val="1"/>
          <w:iCs w:val="1"/>
          <w:color w:val="auto"/>
        </w:rPr>
        <w:t>.</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currently depend heavily on the services of our key management personnel. The loss of any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can have a significant adverse effect on our operations.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Inflation can have a major impact on our farming operations. The farming operations are most affected by escalating costs and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spacing w:after="0" w:line="189" w:lineRule="exact"/>
        <w:rPr>
          <w:sz w:val="20"/>
          <w:szCs w:val="20"/>
          <w:color w:val="auto"/>
        </w:rPr>
      </w:pPr>
    </w:p>
    <w:p>
      <w:pPr>
        <w:jc w:val="both"/>
        <w:spacing w:after="0" w:line="349" w:lineRule="auto"/>
        <w:rPr>
          <w:sz w:val="20"/>
          <w:szCs w:val="20"/>
          <w:color w:val="auto"/>
        </w:rPr>
      </w:pPr>
      <w:r>
        <w:rPr>
          <w:rFonts w:ascii="Arial" w:cs="Arial" w:eastAsia="Arial" w:hAnsi="Arial"/>
          <w:sz w:val="15"/>
          <w:szCs w:val="15"/>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lower margins or lost customers resulting from these disruptions could adversely affect our financial results, stock price and reputation.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acquisition of other businesses could pose risks to our operating income.</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intend to continue to consider acquisition prospects that we think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value of our common stock could be volatile.</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Investing in our common stock involves a high degree of risk. There are numerous and varied risks, known and unknown, that may prevent us from achieving our goals. The risks described here are not the only ones we will face. If any of these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242" w:lineRule="exact"/>
        <w:rPr>
          <w:sz w:val="20"/>
          <w:szCs w:val="20"/>
          <w:color w:val="auto"/>
        </w:rPr>
      </w:pPr>
    </w:p>
    <w:p>
      <w:pPr>
        <w:ind w:left="780" w:hanging="46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quarterly fluctuations in our operating results;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investors’ and analysts’ perception of the business risks and conditions of our business;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meet the earnings estimates and other performance expectations of financial analysts or investors;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unfavorable commentary or downgrades of our stock by equity research analysts;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fluctuations in the stock prices of our peer companies or in stock markets in general;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or political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Concentrated ownership of our common stock creates a risk of sudden change in our share price.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of October 31, 2021, directors and members of our executive management team beneficially owned or controlled approximately 6.6%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documents contain provisions that may delay, defer or prevent a change of control.</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242" w:lineRule="exact"/>
        <w:rPr>
          <w:sz w:val="20"/>
          <w:szCs w:val="20"/>
          <w:color w:val="auto"/>
        </w:rPr>
      </w:pPr>
    </w:p>
    <w:p>
      <w:pPr>
        <w:ind w:left="780" w:hanging="467"/>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division of our board of directors into three classes, with each class serving a staggered three-year term;</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removal of directors by stockholders by a supermajority of two-thirds of the outstanding shares;</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ability of the board of directors to authorize the issuance of preferred stock in series without stockholder approval; and</w:t>
      </w:r>
    </w:p>
    <w:p>
      <w:pPr>
        <w:spacing w:after="0" w:line="62" w:lineRule="exact"/>
        <w:rPr>
          <w:rFonts w:ascii="Arial" w:cs="Arial" w:eastAsia="Arial" w:hAnsi="Arial"/>
          <w:sz w:val="17"/>
          <w:szCs w:val="17"/>
          <w:color w:val="auto"/>
        </w:rPr>
      </w:pPr>
    </w:p>
    <w:p>
      <w:pPr>
        <w:ind w:left="780" w:hanging="467"/>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prohibitions on our stockholders that prevent them from acting by written consent and limitations on calling special meetings.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increased costs as a result of being a publicly traded company.</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a Company with publicly traded securities, we have incurred, and will continue to incur, significant legal, accounting and other expenses. In addition, the Sarbanes-Oxley Act of 2002, as well as rules promulgated by the SEC and NASDAQ, require us to adopt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corporate governance practices applicable to U.S. public companies. These rules and regulations may increase our legal and financial compliance costs, which could adversely affect the trading price of our common stock.</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auto"/>
        </w:rPr>
        <w:t>In our Annual Report for fiscal year ended October 31, 2020 we identified a material weakness in our internal control over financial reporting. If we fail to properly remediate any weaknesses or fail to maintain effective internal controls, there could be an adverse impact on our operations or the market price of our common stock.</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Pursuant to Section 404 of the Sarbanes-Oxley Act of 2002, we are required to include in our annual reports on Form 10-K our assessment of the effectiveness of our internal control over financial reporting. As previously disclosed in our Annual Report for fiscal year ended October 31, 2020, we identified a material weakness in our internal control over financial reporting related to an acquired foreign subsidiary in the first year the subsidiary was included in management’s evaluation of the effectiveness of our internal control over financial reporting. In fiscal year 2021, we remediated the material weakness and the remediation measures have strengthened the design and operating effectiveness of our internal control over financial reporting.</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may in the future identify further material weaknesses in our internal control over financial reporting that we have not discovered to date. If we cannot adequately maintain the effectiveness of our internal control over financial reporting, we might be subject to sanctions or investigation by regulatory authorities, such as the SEC. Any such action could adversely affect our financial results, cause investors to lose confidence in the reliability of our financial statements and result in a decrease in the value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own our corporate headquarters in Santa Paula, California. We own approximately 8,300 acres of farm land in California, with approximately 4,000 acres located in Ventura County, approximately 3,600 acres located in Tulare County in the San Joaquin Valley and approximately 700 acres in San Luis Obispo County. Additionally, we own approximately 1,200 acres located in Yuma, Arizona, 3,500 acres in La Serena, Chile and 1,200 acres in Jujuy, Argentina. In California, we lease approximately 30 acres of land located in Ventura County, approximately 80 acres in Tulare County and approximately 800 acres in San Bernardino County, and in Arizona we lease approximately 65 acres of land located in Yuma County. We also have an interest in a partnership that owns approximately 200 acres of land in Ventura County. The land used for agricultural plantings consists of approximately 6,100 acres of lemons, approximately 800 acres of avocados, approximately 1,000 acres of oranges and approximately 900 acres of specialty citrus and other crops. Our agribusiness land holdings are summarized below as of October 31, 2021 (in thousands, except per acre amounts):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5780" w:type="dxa"/>
            <w:vAlign w:val="bottom"/>
            <w:vMerge w:val="restart"/>
          </w:tcPr>
          <w:p>
            <w:pPr>
              <w:ind w:left="2420"/>
              <w:spacing w:after="0"/>
              <w:rPr>
                <w:sz w:val="20"/>
                <w:szCs w:val="20"/>
                <w:color w:val="auto"/>
              </w:rPr>
            </w:pPr>
            <w:r>
              <w:rPr>
                <w:rFonts w:ascii="Arial" w:cs="Arial" w:eastAsia="Arial" w:hAnsi="Arial"/>
                <w:sz w:val="17"/>
                <w:szCs w:val="17"/>
                <w:b w:val="1"/>
                <w:bCs w:val="1"/>
                <w:color w:val="auto"/>
              </w:rPr>
              <w:t>Ranch Name</w:t>
            </w:r>
          </w:p>
        </w:tc>
        <w:tc>
          <w:tcPr>
            <w:tcW w:w="100" w:type="dxa"/>
            <w:vAlign w:val="bottom"/>
            <w:vMerge w:val="restart"/>
          </w:tcPr>
          <w:p>
            <w:pPr>
              <w:spacing w:after="0"/>
              <w:rPr>
                <w:sz w:val="16"/>
                <w:szCs w:val="16"/>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Acres</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4"/>
              </w:rPr>
              <w:t>Book Value</w:t>
            </w:r>
          </w:p>
        </w:tc>
        <w:tc>
          <w:tcPr>
            <w:tcW w:w="1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Acquisition Date</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Book Value</w:t>
            </w:r>
          </w:p>
        </w:tc>
        <w:tc>
          <w:tcPr>
            <w:tcW w:w="0" w:type="dxa"/>
            <w:vAlign w:val="bottom"/>
          </w:tcPr>
          <w:p>
            <w:pPr>
              <w:spacing w:after="0"/>
              <w:rPr>
                <w:sz w:val="1"/>
                <w:szCs w:val="1"/>
                <w:color w:val="auto"/>
              </w:rPr>
            </w:pPr>
          </w:p>
        </w:tc>
      </w:tr>
      <w:tr>
        <w:trPr>
          <w:trHeight w:val="219"/>
        </w:trPr>
        <w:tc>
          <w:tcPr>
            <w:tcW w:w="5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per Acre</w:t>
            </w:r>
          </w:p>
        </w:tc>
        <w:tc>
          <w:tcPr>
            <w:tcW w:w="0" w:type="dxa"/>
            <w:vAlign w:val="bottom"/>
          </w:tcPr>
          <w:p>
            <w:pPr>
              <w:spacing w:after="0"/>
              <w:rPr>
                <w:sz w:val="1"/>
                <w:szCs w:val="1"/>
                <w:color w:val="auto"/>
              </w:rPr>
            </w:pPr>
          </w:p>
        </w:tc>
      </w:tr>
      <w:tr>
        <w:trPr>
          <w:trHeight w:val="21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Limoneira/Olivelands Ranch</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1907, 1913, 1920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La Campana Ranch</w:t>
            </w:r>
          </w:p>
        </w:tc>
        <w:tc>
          <w:tcPr>
            <w:tcW w:w="126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758</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1964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2,527</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Orchard Farm Ranch</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1990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Rancho La Cuesta Ranch</w:t>
            </w:r>
          </w:p>
        </w:tc>
        <w:tc>
          <w:tcPr>
            <w:tcW w:w="12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2,899</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1994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14,495</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Porterville Ranch</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6,427</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1997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9,181</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Ducor Ranch</w:t>
            </w:r>
          </w:p>
        </w:tc>
        <w:tc>
          <w:tcPr>
            <w:tcW w:w="1260" w:type="dxa"/>
            <w:vAlign w:val="bottom"/>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6,064</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1997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6,738</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Jencks Ranch</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8,460</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Windfall Farms</w:t>
            </w:r>
          </w:p>
        </w:tc>
        <w:tc>
          <w:tcPr>
            <w:tcW w:w="126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16,162</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2009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23,089</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Stage Coach Ranch</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Martinez Ranch</w:t>
            </w:r>
          </w:p>
        </w:tc>
        <w:tc>
          <w:tcPr>
            <w:tcW w:w="12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1,363</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6,815</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Associated Citrus Packers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15,035</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11,565</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Lemons 400</w:t>
            </w:r>
          </w:p>
        </w:tc>
        <w:tc>
          <w:tcPr>
            <w:tcW w:w="1260" w:type="dxa"/>
            <w:vAlign w:val="bottom"/>
          </w:tcPr>
          <w:p>
            <w:pPr>
              <w:jc w:val="right"/>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5,180</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2013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6,475</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Sheldon Ranches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9,618</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15,678</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Pan de Azucar</w:t>
            </w:r>
          </w:p>
        </w:tc>
        <w:tc>
          <w:tcPr>
            <w:tcW w:w="12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2,421</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2017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12,105</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San Pablo</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8,208</w:t>
            </w:r>
          </w:p>
        </w:tc>
        <w:tc>
          <w:tcPr>
            <w:tcW w:w="13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w:t>
            </w:r>
          </w:p>
        </w:tc>
        <w:tc>
          <w:tcPr>
            <w:tcW w:w="0" w:type="dxa"/>
            <w:vAlign w:val="bottom"/>
          </w:tcPr>
          <w:p>
            <w:pPr>
              <w:spacing w:after="0"/>
              <w:rPr>
                <w:sz w:val="1"/>
                <w:szCs w:val="1"/>
                <w:color w:val="auto"/>
              </w:rPr>
            </w:pPr>
          </w:p>
        </w:tc>
      </w:tr>
      <w:tr>
        <w:trPr>
          <w:trHeight w:val="218"/>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Santa Clara</w:t>
            </w:r>
          </w:p>
        </w:tc>
        <w:tc>
          <w:tcPr>
            <w:tcW w:w="1260" w:type="dxa"/>
            <w:vAlign w:val="bottom"/>
          </w:tcPr>
          <w:p>
            <w:pPr>
              <w:jc w:val="right"/>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8,600</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2019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agribusiness land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various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89,487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book value of our agribusiness land holdings of approximately $89.5 million differs from the land balance of $95.9 million included in property, plant and equipment in the notes to the consolidated financial statements in Item 8 of this Annual Report. The table above presents our current land holdings in farming agribusiness operations and, therefore, excludes Oxnard Lemon land, rental and real estate development land.</w:t>
      </w:r>
    </w:p>
    <w:p>
      <w:pPr>
        <w:spacing w:after="0" w:line="20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own our packing facilities located in Santa Paula and Oxnard, California and Yuma, Arizona, where we process and pack our lemons as well as lemons for other growers. We commissioned a new lemon packing facility in 2016 to increase capacity and efficiency of our lemon packing operations. We have a 5.5 acre, one-megawatt ground-based photovoltaic solar generator, which provides the majority of the power to operate our packing facility. We also have a one-megawatt solar array that provides us with a majority of the electricity required to operate four deep water well pumps at one of our ranches in the San Joaquin Valley.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own 256 residential units in Ventura and Tulare Counties that we lease to our employees, former employees and outside tenants and we own several commercial office buildings and properties that are leased to various tenants.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own real estate development property in the California counties of Santa Barbara and Ventura. These properties are in various stages of development for up to approximately 900 residential units and approximately 811,000 square feet of commercial space.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Water and Mineral Rights</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that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 acre feet of Class 3 Colorado River water rights. We use ground water provided by wells and surface water for our PDA and San Pablo farming operations in La Serena, Chile and our Trapani Fresh farming operations in Argentina.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7"/>
          <w:szCs w:val="17"/>
          <w:color w:val="auto"/>
        </w:rPr>
        <w:t>Our rights to extract groundwater from the Santa Paula Basin are governed by the Santa Paula Basin Judgment (the “Judgment”). The Judgment was entered into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Membership in the Association is governed by the Association's Bylaws.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Judgment adjudicated and allocated water rights in the Santa Paula Basin among the Association's members and the City of Ventura. The water rights are established and governed by a seven-year moving average (i.e., production can rise or fall in any particular year so long as the seven-year average is not exceeded). Under California law, the water rights are considered "property". A perpetual right to water, evidenced by the Judgment, can be exchanged for interests in real property under IRS Code Section 1031 and if condemned by a public agency, just compensation must be paid to the rightful owner. Our rights under the Judgment are perpetual and considered very firm and reliable which reflects favorably upon their fair market value.</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ease of administration, the Association is appointed by the Judgment as the trustee of its members’ water rights and is responsible for coordinating and promoting the interests of its members. The Judgment includes provisions for staged reductions in production rights should shortage conditions develop. It also allows the adjudicated water rights to be leased or sold among the parties. The Judgment established a Technical Advisory Committee composed of the United Water Conservation District, the City of Ventura and the Association to assist the Superior Court of the State of California, Ventura County (the “Court”), with the technical aspects of Santa Paula Basin management. Finally, the Judgment reserves continuing jurisdiction to the Court to hear motions for enforcement or modification of the Judgment as necessary.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California water resources include approximately 17,000 acre-feet of water affiliated with our owned properties, of which approximately 8,600 acre-feet are adjudicated. Our Yuma, Arizona water resources include approximately 11,700 acre-feet of water sourced from the Colorado River. We own shares in five not-for-profit mutual benefit water companies. Our investments in these water companies provide us with the right to receive a proportionate share of water from each of the water companies.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31, 2021, there were approximately 228 registered holders of our common stock. The number of registered holders includes banks and brokers who act as nominees, each of whom may represent more than one stockholder.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60" w:type="dxa"/>
            <w:vAlign w:val="bottom"/>
          </w:tcPr>
          <w:p>
            <w:pPr>
              <w:spacing w:after="0"/>
              <w:rPr>
                <w:sz w:val="20"/>
                <w:szCs w:val="20"/>
                <w:color w:val="auto"/>
              </w:rPr>
            </w:pPr>
            <w:r>
              <w:rPr>
                <w:rFonts w:ascii="Arial" w:cs="Arial" w:eastAsia="Arial" w:hAnsi="Arial"/>
                <w:sz w:val="17"/>
                <w:szCs w:val="17"/>
                <w:b w:val="1"/>
                <w:bCs w:val="1"/>
                <w:color w:val="auto"/>
              </w:rPr>
              <w:t>Dividends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3"/>
        </w:trPr>
        <w:tc>
          <w:tcPr>
            <w:tcW w:w="9960" w:type="dxa"/>
            <w:vAlign w:val="bottom"/>
          </w:tcPr>
          <w:p>
            <w:pPr>
              <w:spacing w:after="0"/>
              <w:rPr>
                <w:sz w:val="20"/>
                <w:szCs w:val="20"/>
                <w:color w:val="auto"/>
              </w:rPr>
            </w:pPr>
            <w:r>
              <w:rPr>
                <w:rFonts w:ascii="Arial" w:cs="Arial" w:eastAsia="Arial" w:hAnsi="Arial"/>
                <w:sz w:val="17"/>
                <w:szCs w:val="17"/>
                <w:color w:val="auto"/>
              </w:rPr>
              <w:t>The following table presents cash dividends per common share declared and paid in the periods shown.</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2"/>
        </w:trPr>
        <w:tc>
          <w:tcPr>
            <w:tcW w:w="99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Dividend</w:t>
            </w:r>
          </w:p>
        </w:tc>
      </w:tr>
      <w:tr>
        <w:trPr>
          <w:trHeight w:val="200"/>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2021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8"/>
        </w:trPr>
        <w:tc>
          <w:tcPr>
            <w:tcW w:w="9960" w:type="dxa"/>
            <w:vAlign w:val="bottom"/>
          </w:tcPr>
          <w:p>
            <w:pPr>
              <w:ind w:left="20"/>
              <w:spacing w:after="0"/>
              <w:rPr>
                <w:sz w:val="20"/>
                <w:szCs w:val="20"/>
                <w:color w:val="auto"/>
              </w:rPr>
            </w:pPr>
            <w:r>
              <w:rPr>
                <w:rFonts w:ascii="Arial" w:cs="Arial" w:eastAsia="Arial" w:hAnsi="Arial"/>
                <w:sz w:val="17"/>
                <w:szCs w:val="17"/>
                <w:color w:val="auto"/>
              </w:rPr>
              <w:t>Fourth Quarter Ended October 31, 2021</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0.075</w:t>
            </w:r>
          </w:p>
        </w:tc>
      </w:tr>
      <w:tr>
        <w:trPr>
          <w:trHeight w:val="220"/>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Quarter Ended July 31, 2021</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r>
      <w:tr>
        <w:trPr>
          <w:trHeight w:val="218"/>
        </w:trPr>
        <w:tc>
          <w:tcPr>
            <w:tcW w:w="9960" w:type="dxa"/>
            <w:vAlign w:val="bottom"/>
          </w:tcPr>
          <w:p>
            <w:pPr>
              <w:ind w:left="20"/>
              <w:spacing w:after="0"/>
              <w:rPr>
                <w:sz w:val="20"/>
                <w:szCs w:val="20"/>
                <w:color w:val="auto"/>
              </w:rPr>
            </w:pPr>
            <w:r>
              <w:rPr>
                <w:rFonts w:ascii="Arial" w:cs="Arial" w:eastAsia="Arial" w:hAnsi="Arial"/>
                <w:sz w:val="17"/>
                <w:szCs w:val="17"/>
                <w:color w:val="auto"/>
              </w:rPr>
              <w:t>Second Quarter Ended April 30, 2021</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0.075</w:t>
            </w:r>
          </w:p>
        </w:tc>
      </w:tr>
      <w:tr>
        <w:trPr>
          <w:trHeight w:val="220"/>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Quarter Ended January 31, 2021</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r>
      <w:tr>
        <w:trPr>
          <w:trHeight w:val="219"/>
        </w:trPr>
        <w:tc>
          <w:tcPr>
            <w:tcW w:w="9960" w:type="dxa"/>
            <w:vAlign w:val="bottom"/>
          </w:tcPr>
          <w:p>
            <w:pPr>
              <w:ind w:left="20"/>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Fourth Quarter Ended October 31, 2020</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r>
      <w:tr>
        <w:trPr>
          <w:trHeight w:val="218"/>
        </w:trPr>
        <w:tc>
          <w:tcPr>
            <w:tcW w:w="9960" w:type="dxa"/>
            <w:vAlign w:val="bottom"/>
          </w:tcPr>
          <w:p>
            <w:pPr>
              <w:ind w:left="20"/>
              <w:spacing w:after="0"/>
              <w:rPr>
                <w:sz w:val="20"/>
                <w:szCs w:val="20"/>
                <w:color w:val="auto"/>
              </w:rPr>
            </w:pPr>
            <w:r>
              <w:rPr>
                <w:rFonts w:ascii="Arial" w:cs="Arial" w:eastAsia="Arial" w:hAnsi="Arial"/>
                <w:sz w:val="17"/>
                <w:szCs w:val="17"/>
                <w:color w:val="auto"/>
              </w:rPr>
              <w:t>Third Quarter Ended July 31, 2020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0.075</w:t>
            </w:r>
          </w:p>
        </w:tc>
      </w:tr>
      <w:tr>
        <w:trPr>
          <w:trHeight w:val="220"/>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Second Quarter Ended April 30, 2020</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r>
      <w:tr>
        <w:trPr>
          <w:trHeight w:val="218"/>
        </w:trPr>
        <w:tc>
          <w:tcPr>
            <w:tcW w:w="9960" w:type="dxa"/>
            <w:vAlign w:val="bottom"/>
          </w:tcPr>
          <w:p>
            <w:pPr>
              <w:ind w:left="20"/>
              <w:spacing w:after="0"/>
              <w:rPr>
                <w:sz w:val="20"/>
                <w:szCs w:val="20"/>
                <w:color w:val="auto"/>
              </w:rPr>
            </w:pPr>
            <w:r>
              <w:rPr>
                <w:rFonts w:ascii="Arial" w:cs="Arial" w:eastAsia="Arial" w:hAnsi="Arial"/>
                <w:sz w:val="17"/>
                <w:szCs w:val="17"/>
                <w:color w:val="auto"/>
              </w:rPr>
              <w:t>First Quarter Ended January 31, 2020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0.075</w:t>
            </w:r>
          </w:p>
        </w:tc>
      </w:tr>
    </w:tbl>
    <w:p>
      <w:pPr>
        <w:spacing w:after="0" w:line="2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2021, we declared our quarterly dividend of $0.075 per common share and we expect to continue to pay quarterly dividends at a similar rate to the extent permitted by the financial results of our business and other factors beyond management’s control.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18415</wp:posOffset>
            </wp:positionV>
            <wp:extent cx="4093210" cy="409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93210" cy="409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Issuer and Affiliated Purchasers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our consolidated financial statements and the accompanying Notes to Consolidated Financial Statements (Part II, Item 8 of this Form 10-K).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 on Form 10-K. This section generally discusses the results of operations for fiscal year 2021 compared to fiscal year 2020. For discussion related to the results of operations and changes in financial condition for fiscal year 2020 compared to fiscal year 2019 refer to Part II, Item 7, Management's Discussion and Analysis of Financial Condition and Results of Operations in our fiscal year 2020 Form 10-K, which was filed with the United States Securities and Exchange Commission (SEC) on January 14, 2021.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comprised of 256 completed rental units,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As real estate developments are monetized, our agriculture business will then be able to expand more rapidly into new regions and markets.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 – Refer to Part I, Item 1 “Fiscal Year 2021 Highlights and Recent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13"/>
        </w:trPr>
        <w:tc>
          <w:tcPr>
            <w:tcW w:w="5380" w:type="dxa"/>
            <w:vAlign w:val="bottom"/>
          </w:tcPr>
          <w:p>
            <w:pPr>
              <w:spacing w:after="0"/>
              <w:rPr>
                <w:sz w:val="20"/>
                <w:szCs w:val="20"/>
                <w:color w:val="auto"/>
              </w:rPr>
            </w:pPr>
            <w:r>
              <w:rPr>
                <w:rFonts w:ascii="Arial" w:cs="Arial" w:eastAsia="Arial" w:hAnsi="Arial"/>
                <w:sz w:val="17"/>
                <w:szCs w:val="17"/>
                <w:color w:val="auto"/>
                <w:w w:val="99"/>
              </w:rPr>
              <w:t>The following table shows the results of operations for ($ in thousands):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2"/>
        </w:trPr>
        <w:tc>
          <w:tcPr>
            <w:tcW w:w="5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5"/>
              </w:rPr>
              <w:t>Years Ended October 31,</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3"/>
        </w:trPr>
        <w:tc>
          <w:tcPr>
            <w:tcW w:w="5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Agribusiness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161,381</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3"/>
              </w:rPr>
              <w:t>97%</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159,937</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3"/>
              </w:rPr>
              <w:t>97%</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166,549</w:t>
            </w:r>
          </w:p>
        </w:tc>
        <w:tc>
          <w:tcPr>
            <w:tcW w:w="840" w:type="dxa"/>
            <w:vAlign w:val="bottom"/>
            <w:gridSpan w:val="2"/>
          </w:tcPr>
          <w:p>
            <w:pPr>
              <w:jc w:val="center"/>
              <w:ind w:left="14"/>
              <w:spacing w:after="0"/>
              <w:rPr>
                <w:sz w:val="20"/>
                <w:szCs w:val="20"/>
                <w:color w:val="auto"/>
              </w:rPr>
            </w:pPr>
            <w:r>
              <w:rPr>
                <w:rFonts w:ascii="Arial" w:cs="Arial" w:eastAsia="Arial" w:hAnsi="Arial"/>
                <w:sz w:val="17"/>
                <w:szCs w:val="17"/>
                <w:color w:val="auto"/>
                <w:w w:val="88"/>
              </w:rPr>
              <w:t>97%</w:t>
            </w: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operations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3%</w:t>
            </w:r>
          </w:p>
        </w:tc>
      </w:tr>
      <w:tr>
        <w:trPr>
          <w:trHeight w:val="211"/>
        </w:trPr>
        <w:tc>
          <w:tcPr>
            <w:tcW w:w="538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166,027</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1"/>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164,559</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1"/>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171,398</w:t>
            </w:r>
          </w:p>
        </w:tc>
        <w:tc>
          <w:tcPr>
            <w:tcW w:w="840" w:type="dxa"/>
            <w:vAlign w:val="bottom"/>
            <w:gridSpan w:val="2"/>
          </w:tcPr>
          <w:p>
            <w:pPr>
              <w:jc w:val="center"/>
              <w:ind w:left="34"/>
              <w:spacing w:after="0"/>
              <w:rPr>
                <w:sz w:val="20"/>
                <w:szCs w:val="20"/>
                <w:color w:val="auto"/>
              </w:rPr>
            </w:pPr>
            <w:r>
              <w:rPr>
                <w:rFonts w:ascii="Arial" w:cs="Arial" w:eastAsia="Arial" w:hAnsi="Arial"/>
                <w:sz w:val="17"/>
                <w:szCs w:val="17"/>
                <w:color w:val="auto"/>
                <w:w w:val="91"/>
              </w:rPr>
              <w:t>100%</w:t>
            </w: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Agribusiness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148,492</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3"/>
              </w:rPr>
              <w:t>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157,281</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3"/>
              </w:rPr>
              <w:t>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152,372</w:t>
            </w:r>
          </w:p>
        </w:tc>
        <w:tc>
          <w:tcPr>
            <w:tcW w:w="840" w:type="dxa"/>
            <w:vAlign w:val="bottom"/>
            <w:gridSpan w:val="2"/>
          </w:tcPr>
          <w:p>
            <w:pPr>
              <w:jc w:val="center"/>
              <w:ind w:left="14"/>
              <w:spacing w:after="0"/>
              <w:rPr>
                <w:sz w:val="20"/>
                <w:szCs w:val="20"/>
                <w:color w:val="auto"/>
              </w:rPr>
            </w:pPr>
            <w:r>
              <w:rPr>
                <w:rFonts w:ascii="Arial" w:cs="Arial" w:eastAsia="Arial" w:hAnsi="Arial"/>
                <w:sz w:val="17"/>
                <w:szCs w:val="17"/>
                <w:color w:val="auto"/>
                <w:w w:val="88"/>
              </w:rPr>
              <w:t>86%</w:t>
            </w: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operations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7"/>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4,504</w:t>
            </w:r>
          </w:p>
        </w:tc>
        <w:tc>
          <w:tcPr>
            <w:tcW w:w="8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c>
          <w:tcPr>
            <w:tcW w:w="8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3%</w:t>
            </w: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Loss (gain) on disposal of assets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(1,069)</w:t>
            </w:r>
          </w:p>
        </w:tc>
        <w:tc>
          <w:tcPr>
            <w:tcW w:w="84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(1)%</w:t>
            </w: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19,427</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11%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12%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12%</w:t>
            </w:r>
          </w:p>
        </w:tc>
      </w:tr>
      <w:tr>
        <w:trPr>
          <w:trHeight w:val="211"/>
        </w:trPr>
        <w:tc>
          <w:tcPr>
            <w:tcW w:w="538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172,360</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1"/>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183,567</w:t>
            </w: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91"/>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176,912</w:t>
            </w:r>
          </w:p>
        </w:tc>
        <w:tc>
          <w:tcPr>
            <w:tcW w:w="840" w:type="dxa"/>
            <w:vAlign w:val="bottom"/>
            <w:gridSpan w:val="2"/>
          </w:tcPr>
          <w:p>
            <w:pPr>
              <w:jc w:val="center"/>
              <w:ind w:left="34"/>
              <w:spacing w:after="0"/>
              <w:rPr>
                <w:sz w:val="20"/>
                <w:szCs w:val="20"/>
                <w:color w:val="auto"/>
              </w:rPr>
            </w:pPr>
            <w:r>
              <w:rPr>
                <w:rFonts w:ascii="Arial" w:cs="Arial" w:eastAsia="Arial" w:hAnsi="Arial"/>
                <w:sz w:val="17"/>
                <w:szCs w:val="17"/>
                <w:color w:val="auto"/>
                <w:w w:val="91"/>
              </w:rPr>
              <w:t>100%</w:t>
            </w: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Agribusiness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12,889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2,656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14,177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operations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Loss (gain) on disposal of assets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1"/>
        </w:trPr>
        <w:tc>
          <w:tcPr>
            <w:tcW w:w="538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(6,333)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(19,008)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(5,514)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patronage dividends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Equity in earnings of investments,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3,203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3,073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stock in Calavo Growers, Inc.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r>
      <w:tr>
        <w:trPr>
          <w:trHeight w:val="213"/>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income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Loss before income tax benefit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(4,163)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(26,435)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(6,563)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1"/>
        </w:trPr>
        <w:tc>
          <w:tcPr>
            <w:tcW w:w="5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(3,897)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(17,941)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(5,466)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7"/>
                <w:szCs w:val="17"/>
                <w:color w:val="auto"/>
              </w:rPr>
              <w:t>Net loss attributable to Limoneira Company</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loss on stock in Calavo Growers, Inc. ("Calavo") and loss (gain) on disposal of assets, is an important measure to evaluate our results of operations between periods on a more comparable basis. Adjusted EBITDA in previous periods also excluded LLCB earnings in equity investment which is no longer excluded due to management’s anticipation of future cash distributions related to the investment in LLCB.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7"/>
                <w:szCs w:val="17"/>
                <w:b w:val="1"/>
                <w:bCs w:val="1"/>
                <w:color w:val="auto"/>
              </w:rPr>
              <w:t>Years Ended October 31,</w:t>
            </w:r>
          </w:p>
        </w:tc>
        <w:tc>
          <w:tcPr>
            <w:tcW w:w="920" w:type="dxa"/>
            <w:vAlign w:val="bottom"/>
            <w:tcBorders>
              <w:bottom w:val="single" w:sz="8" w:color="auto"/>
            </w:tcBorders>
          </w:tcPr>
          <w:p>
            <w:pPr>
              <w:spacing w:after="0"/>
              <w:rPr>
                <w:sz w:val="19"/>
                <w:szCs w:val="19"/>
                <w:color w:val="auto"/>
              </w:rPr>
            </w:pPr>
          </w:p>
        </w:tc>
      </w:tr>
      <w:tr>
        <w:trPr>
          <w:trHeight w:val="213"/>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attributable to Limoneira Company</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(5,943)</w:t>
            </w:r>
          </w:p>
        </w:tc>
      </w:tr>
      <w:tr>
        <w:trPr>
          <w:trHeight w:val="218"/>
        </w:trPr>
        <w:tc>
          <w:tcPr>
            <w:tcW w:w="72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0"/>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patronage dividends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18"/>
        </w:trPr>
        <w:tc>
          <w:tcPr>
            <w:tcW w:w="728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(1,097)</w:t>
            </w:r>
          </w:p>
        </w:tc>
      </w:tr>
      <w:tr>
        <w:trPr>
          <w:trHeight w:val="220"/>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8,633</w:t>
            </w:r>
          </w:p>
        </w:tc>
      </w:tr>
      <w:tr>
        <w:trPr>
          <w:trHeight w:val="211"/>
        </w:trPr>
        <w:tc>
          <w:tcPr>
            <w:tcW w:w="7280" w:type="dxa"/>
            <w:vAlign w:val="bottom"/>
          </w:tcPr>
          <w:p>
            <w:pPr>
              <w:ind w:left="20"/>
              <w:spacing w:after="0"/>
              <w:rPr>
                <w:sz w:val="20"/>
                <w:szCs w:val="20"/>
                <w:color w:val="auto"/>
              </w:rPr>
            </w:pPr>
            <w:r>
              <w:rPr>
                <w:rFonts w:ascii="Arial" w:cs="Arial" w:eastAsia="Arial" w:hAnsi="Arial"/>
                <w:sz w:val="17"/>
                <w:szCs w:val="17"/>
                <w:color w:val="auto"/>
              </w:rPr>
              <w:t>EBITDA</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3,727</w:t>
            </w:r>
          </w:p>
        </w:tc>
      </w:tr>
      <w:tr>
        <w:trPr>
          <w:trHeight w:val="220"/>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stock in Calavo Growers, Inc.</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r>
      <w:tr>
        <w:trPr>
          <w:trHeight w:val="21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(gain) on disposal of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2021 Compared to Fiscal Year 2020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Total revenues for fiscal year 2021 were $166.0 million compared to $164.6 million for fiscal year 2020. The 1% increase of $1.5 million was primarily the result of increased lemons and specialty citrus and other crops agribusiness revenues, partially offset by decreased avocados and oranges agribusiness revenues, as detailed below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gridSpan w:val="10"/>
          </w:tcPr>
          <w:p>
            <w:pPr>
              <w:ind w:left="340"/>
              <w:spacing w:after="0"/>
              <w:rPr>
                <w:sz w:val="20"/>
                <w:szCs w:val="20"/>
                <w:color w:val="auto"/>
              </w:rPr>
            </w:pPr>
            <w:r>
              <w:rPr>
                <w:rFonts w:ascii="Arial" w:cs="Arial" w:eastAsia="Arial" w:hAnsi="Arial"/>
                <w:sz w:val="17"/>
                <w:szCs w:val="17"/>
                <w:b w:val="1"/>
                <w:bCs w:val="1"/>
                <w:color w:val="auto"/>
              </w:rPr>
              <w:t>Agribusiness Revenues for the Years Ended October 31,</w:t>
            </w:r>
          </w:p>
        </w:tc>
      </w:tr>
      <w:tr>
        <w:trPr>
          <w:trHeight w:val="213"/>
        </w:trPr>
        <w:tc>
          <w:tcPr>
            <w:tcW w:w="5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w w:val="99"/>
              </w:rPr>
              <w:t>Change</w:t>
            </w:r>
          </w:p>
        </w:tc>
        <w:tc>
          <w:tcPr>
            <w:tcW w:w="940" w:type="dxa"/>
            <w:vAlign w:val="bottom"/>
            <w:tcBorders>
              <w:bottom w:val="single" w:sz="8" w:color="auto"/>
            </w:tcBorders>
          </w:tcPr>
          <w:p>
            <w:pPr>
              <w:spacing w:after="0"/>
              <w:rPr>
                <w:sz w:val="18"/>
                <w:szCs w:val="18"/>
                <w:color w:val="auto"/>
              </w:rPr>
            </w:pPr>
          </w:p>
        </w:tc>
      </w:tr>
      <w:tr>
        <w:trPr>
          <w:trHeight w:val="212"/>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Lemons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ind w:left="234"/>
              <w:spacing w:after="0"/>
              <w:rPr>
                <w:sz w:val="20"/>
                <w:szCs w:val="20"/>
                <w:color w:val="auto"/>
              </w:rPr>
            </w:pPr>
            <w:r>
              <w:rPr>
                <w:rFonts w:ascii="Arial" w:cs="Arial" w:eastAsia="Arial" w:hAnsi="Arial"/>
                <w:sz w:val="17"/>
                <w:szCs w:val="17"/>
                <w:color w:val="auto"/>
                <w:w w:val="89"/>
              </w:rPr>
              <w:t>5,399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34"/>
              <w:spacing w:after="0"/>
              <w:rPr>
                <w:sz w:val="20"/>
                <w:szCs w:val="20"/>
                <w:color w:val="auto"/>
              </w:rPr>
            </w:pPr>
            <w:r>
              <w:rPr>
                <w:rFonts w:ascii="Arial" w:cs="Arial" w:eastAsia="Arial" w:hAnsi="Arial"/>
                <w:sz w:val="17"/>
                <w:szCs w:val="17"/>
                <w:color w:val="auto"/>
                <w:w w:val="89"/>
              </w:rPr>
              <w:t>4%</w:t>
            </w:r>
          </w:p>
        </w:tc>
      </w:tr>
      <w:tr>
        <w:trPr>
          <w:trHeight w:val="218"/>
        </w:trPr>
        <w:tc>
          <w:tcPr>
            <w:tcW w:w="5920" w:type="dxa"/>
            <w:vAlign w:val="bottom"/>
          </w:tcPr>
          <w:p>
            <w:pPr>
              <w:ind w:left="20"/>
              <w:spacing w:after="0"/>
              <w:rPr>
                <w:sz w:val="20"/>
                <w:szCs w:val="20"/>
                <w:color w:val="auto"/>
              </w:rPr>
            </w:pPr>
            <w:r>
              <w:rPr>
                <w:rFonts w:ascii="Arial" w:cs="Arial" w:eastAsia="Arial" w:hAnsi="Arial"/>
                <w:sz w:val="17"/>
                <w:szCs w:val="17"/>
                <w:color w:val="auto"/>
              </w:rPr>
              <w:t>Avocados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center"/>
              <w:ind w:left="194"/>
              <w:spacing w:after="0"/>
              <w:rPr>
                <w:sz w:val="20"/>
                <w:szCs w:val="20"/>
                <w:color w:val="auto"/>
              </w:rPr>
            </w:pPr>
            <w:r>
              <w:rPr>
                <w:rFonts w:ascii="Arial" w:cs="Arial" w:eastAsia="Arial" w:hAnsi="Arial"/>
                <w:sz w:val="17"/>
                <w:szCs w:val="17"/>
                <w:color w:val="auto"/>
                <w:w w:val="92"/>
              </w:rPr>
              <w:t>(2,022)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center"/>
              <w:ind w:right="234"/>
              <w:spacing w:after="0"/>
              <w:rPr>
                <w:sz w:val="20"/>
                <w:szCs w:val="20"/>
                <w:color w:val="auto"/>
              </w:rPr>
            </w:pPr>
            <w:r>
              <w:rPr>
                <w:rFonts w:ascii="Arial" w:cs="Arial" w:eastAsia="Arial" w:hAnsi="Arial"/>
                <w:sz w:val="17"/>
                <w:szCs w:val="17"/>
                <w:color w:val="auto"/>
                <w:w w:val="92"/>
              </w:rPr>
              <w:t>(23)%</w:t>
            </w:r>
          </w:p>
        </w:tc>
      </w:tr>
      <w:tr>
        <w:trPr>
          <w:trHeight w:val="220"/>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Oranges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2"/>
              </w:rPr>
              <w:t>(3,340)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234"/>
              <w:spacing w:after="0"/>
              <w:rPr>
                <w:sz w:val="20"/>
                <w:szCs w:val="20"/>
                <w:color w:val="auto"/>
              </w:rPr>
            </w:pPr>
            <w:r>
              <w:rPr>
                <w:rFonts w:ascii="Arial" w:cs="Arial" w:eastAsia="Arial" w:hAnsi="Arial"/>
                <w:sz w:val="17"/>
                <w:szCs w:val="17"/>
                <w:color w:val="auto"/>
                <w:w w:val="92"/>
              </w:rPr>
              <w:t>(43)%</w:t>
            </w:r>
          </w:p>
        </w:tc>
      </w:tr>
      <w:tr>
        <w:trPr>
          <w:trHeight w:val="21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Specialty citrus and other crops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234"/>
              <w:spacing w:after="0"/>
              <w:rPr>
                <w:sz w:val="20"/>
                <w:szCs w:val="20"/>
                <w:color w:val="auto"/>
              </w:rPr>
            </w:pPr>
            <w:r>
              <w:rPr>
                <w:rFonts w:ascii="Arial" w:cs="Arial" w:eastAsia="Arial" w:hAnsi="Arial"/>
                <w:sz w:val="17"/>
                <w:szCs w:val="17"/>
                <w:color w:val="auto"/>
                <w:w w:val="89"/>
              </w:rPr>
              <w:t>1,407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color w:val="auto"/>
                <w:w w:val="93"/>
              </w:rPr>
              <w:t>24%</w:t>
            </w: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Agribusiness revenues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161,381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159,937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9"/>
              </w:rPr>
              <w:t>1,444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center"/>
              <w:ind w:right="234"/>
              <w:spacing w:after="0"/>
              <w:rPr>
                <w:sz w:val="20"/>
                <w:szCs w:val="20"/>
                <w:color w:val="auto"/>
              </w:rPr>
            </w:pPr>
            <w:r>
              <w:rPr>
                <w:rFonts w:ascii="Arial" w:cs="Arial" w:eastAsia="Arial" w:hAnsi="Arial"/>
                <w:sz w:val="17"/>
                <w:szCs w:val="17"/>
                <w:color w:val="auto"/>
                <w:w w:val="89"/>
              </w:rPr>
              <w:t>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left="320" w:hanging="317"/>
        <w:spacing w:after="0" w:line="256" w:lineRule="auto"/>
        <w:tabs>
          <w:tab w:leader="none" w:pos="3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Lemons: The increase in fiscal year 2021 was primarily the result of increased brokered fruit and other lemon sales, partially offset by decreased fresh lemon sales, compared to fiscal year 2020. Brokered fruit and other lemon sales for fiscal years 2021 and 2020 were $36.0 million and $18.9 million, respectively. The increase in brokered fruit in fiscal year 2021 was primarily the result of higher volume and higher prices of brokered fruit sales, compared to fiscal year 2020. During fiscal years 2021 and 2020, brokered fruit sales were $29.3 million and $12.2 million on 1.4 million and 0.6 million cartons of brokered fruit sold at average per carton prices of $21.63 and $19.82, respectively. The decrease in fresh lemon sales in fiscal year 2021 was primarily the result of lower volume, partially offset by higher prices of fresh lemons sold, compared to fiscal year 2020. During fiscal years 2021 and 2020, fresh lemon sales were $85.9 million and $101.1 million on 4.4 million and 5.5 million cartons of fresh lemons packed and sold at average per carton prices of $19.60 and $18.32, respectively. Lemon revenues in fiscal years 2021 and 2020 included shipping and handling of $17.5 million and $13.4 million and lemon by-products of $3.5 million and $4.1 million, respectively.</w:t>
      </w:r>
    </w:p>
    <w:p>
      <w:pPr>
        <w:spacing w:after="0" w:line="211" w:lineRule="exact"/>
        <w:rPr>
          <w:rFonts w:ascii="Arial" w:cs="Arial" w:eastAsia="Arial" w:hAnsi="Arial"/>
          <w:sz w:val="17"/>
          <w:szCs w:val="17"/>
          <w:color w:val="auto"/>
        </w:rPr>
      </w:pPr>
    </w:p>
    <w:p>
      <w:pPr>
        <w:jc w:val="both"/>
        <w:ind w:left="320" w:hanging="317"/>
        <w:spacing w:after="0" w:line="262" w:lineRule="auto"/>
        <w:tabs>
          <w:tab w:leader="none" w:pos="3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Avocados: The decrease in fiscal year 2021 was primarily the result of lower volume, partially offset by higher prices of avocados sold, compared to fiscal year 2020. The California avocado crop typically experiences alternating years of high and low production due to plant physiology. During fiscal years 2021 and 2020, 5.7 million and 8.0 million pounds of avocados were sold at average per pound prices of $1.20 and $1.10, respectively. Higher prices in fiscal year 2021 were primarily related to lower supply of fruit in the marketplace.</w:t>
      </w:r>
    </w:p>
    <w:p>
      <w:pPr>
        <w:spacing w:after="0" w:line="203" w:lineRule="exact"/>
        <w:rPr>
          <w:rFonts w:ascii="Arial" w:cs="Arial" w:eastAsia="Arial" w:hAnsi="Arial"/>
          <w:sz w:val="17"/>
          <w:szCs w:val="17"/>
          <w:color w:val="auto"/>
        </w:rPr>
      </w:pPr>
    </w:p>
    <w:p>
      <w:pPr>
        <w:jc w:val="both"/>
        <w:ind w:left="320" w:hanging="317"/>
        <w:spacing w:after="0" w:line="266" w:lineRule="auto"/>
        <w:tabs>
          <w:tab w:leader="none" w:pos="3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Oranges: The decrease in fiscal year 2021 was primarily due to lower prices and volume of oranges sold, compared to fiscal year 2020. During fiscal years 2021 and 2020, sales consisted of 545,000 and 743,000 40-pound carton equivalents of oranges sold at average per carton prices of $8.04 and $10.39,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3" w:name="page34"/>
    <w:bookmarkEnd w:id="33"/>
    <w:p>
      <w:pPr>
        <w:jc w:val="both"/>
        <w:ind w:left="320" w:hanging="317"/>
        <w:spacing w:after="0" w:line="266" w:lineRule="auto"/>
        <w:tabs>
          <w:tab w:leader="none" w:pos="3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Specialty citrus and other crops: The increase in fiscal year 2021 was primarily the result of higher volume of wine grapes sold, compared to fiscal year 2020. In fiscal year 2021, we sold approximately 2,164 tons of wine grapes for $3.0 million compared to approximately 1,610 tons of wine grapes for $1.5 million in fiscal year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Other operations revenue in fiscal year 2021 was similar to fiscal year 2020.</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costs and expenses for fiscal year 2021 were $172.4 million compared to $183.6 million for fiscal year 2020. This 6% decrease of $11.2 million was primarily attributable to decreases in our agribusiness costs and selling, general and administrative expenses. Costs associated with our agribusiness division include packing costs, harvest costs, growing costs, costs related to the lemons we procure from third-party growers and suppliers and depreciation and amortization expense. These costs are discussed further below ($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10"/>
          </w:tcPr>
          <w:p>
            <w:pPr>
              <w:ind w:left="540"/>
              <w:spacing w:after="0"/>
              <w:rPr>
                <w:sz w:val="20"/>
                <w:szCs w:val="20"/>
                <w:color w:val="auto"/>
              </w:rPr>
            </w:pPr>
            <w:r>
              <w:rPr>
                <w:rFonts w:ascii="Arial" w:cs="Arial" w:eastAsia="Arial" w:hAnsi="Arial"/>
                <w:sz w:val="17"/>
                <w:szCs w:val="17"/>
                <w:b w:val="1"/>
                <w:bCs w:val="1"/>
                <w:color w:val="auto"/>
              </w:rPr>
              <w:t>Agribusiness Costs and Expenses for the Years Ended October 31,</w:t>
            </w:r>
          </w:p>
        </w:tc>
      </w:tr>
      <w:tr>
        <w:trPr>
          <w:trHeight w:val="213"/>
        </w:trPr>
        <w:tc>
          <w:tcPr>
            <w:tcW w:w="4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b w:val="1"/>
                <w:bCs w:val="1"/>
                <w:color w:val="auto"/>
              </w:rPr>
              <w:t>Change</w:t>
            </w:r>
          </w:p>
        </w:tc>
        <w:tc>
          <w:tcPr>
            <w:tcW w:w="1180" w:type="dxa"/>
            <w:vAlign w:val="bottom"/>
            <w:tcBorders>
              <w:bottom w:val="single" w:sz="8" w:color="auto"/>
            </w:tcBorders>
          </w:tcPr>
          <w:p>
            <w:pPr>
              <w:spacing w:after="0"/>
              <w:rPr>
                <w:sz w:val="18"/>
                <w:szCs w:val="18"/>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Packing costs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45,545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314"/>
              <w:spacing w:after="0"/>
              <w:rPr>
                <w:sz w:val="20"/>
                <w:szCs w:val="20"/>
                <w:color w:val="auto"/>
              </w:rPr>
            </w:pPr>
            <w:r>
              <w:rPr>
                <w:rFonts w:ascii="Arial" w:cs="Arial" w:eastAsia="Arial" w:hAnsi="Arial"/>
                <w:sz w:val="17"/>
                <w:szCs w:val="17"/>
                <w:color w:val="auto"/>
                <w:w w:val="92"/>
              </w:rPr>
              <w:t>(15)%</w:t>
            </w:r>
          </w:p>
        </w:tc>
      </w:tr>
      <w:tr>
        <w:trPr>
          <w:trHeight w:val="218"/>
        </w:trPr>
        <w:tc>
          <w:tcPr>
            <w:tcW w:w="4620" w:type="dxa"/>
            <w:vAlign w:val="bottom"/>
          </w:tcPr>
          <w:p>
            <w:pPr>
              <w:ind w:left="20"/>
              <w:spacing w:after="0"/>
              <w:rPr>
                <w:sz w:val="20"/>
                <w:szCs w:val="20"/>
                <w:color w:val="auto"/>
              </w:rPr>
            </w:pPr>
            <w:r>
              <w:rPr>
                <w:rFonts w:ascii="Arial" w:cs="Arial" w:eastAsia="Arial" w:hAnsi="Arial"/>
                <w:sz w:val="17"/>
                <w:szCs w:val="17"/>
                <w:color w:val="auto"/>
              </w:rPr>
              <w:t>Harvest costs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17,227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20,714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center"/>
              <w:ind w:right="314"/>
              <w:spacing w:after="0"/>
              <w:rPr>
                <w:sz w:val="20"/>
                <w:szCs w:val="20"/>
                <w:color w:val="auto"/>
              </w:rPr>
            </w:pPr>
            <w:r>
              <w:rPr>
                <w:rFonts w:ascii="Arial" w:cs="Arial" w:eastAsia="Arial" w:hAnsi="Arial"/>
                <w:sz w:val="17"/>
                <w:szCs w:val="17"/>
                <w:color w:val="auto"/>
                <w:w w:val="92"/>
              </w:rPr>
              <w:t>(17)%</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Growing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314"/>
              <w:spacing w:after="0"/>
              <w:rPr>
                <w:sz w:val="20"/>
                <w:szCs w:val="20"/>
                <w:color w:val="auto"/>
              </w:rPr>
            </w:pPr>
            <w:r>
              <w:rPr>
                <w:rFonts w:ascii="Arial" w:cs="Arial" w:eastAsia="Arial" w:hAnsi="Arial"/>
                <w:sz w:val="17"/>
                <w:szCs w:val="17"/>
                <w:color w:val="auto"/>
                <w:w w:val="94"/>
              </w:rPr>
              <w:t>(2)%</w:t>
            </w:r>
          </w:p>
        </w:tc>
      </w:tr>
      <w:tr>
        <w:trPr>
          <w:trHeight w:val="218"/>
        </w:trPr>
        <w:tc>
          <w:tcPr>
            <w:tcW w:w="4620" w:type="dxa"/>
            <w:vAlign w:val="bottom"/>
          </w:tcPr>
          <w:p>
            <w:pPr>
              <w:ind w:left="20"/>
              <w:spacing w:after="0"/>
              <w:rPr>
                <w:sz w:val="20"/>
                <w:szCs w:val="20"/>
                <w:color w:val="auto"/>
              </w:rPr>
            </w:pPr>
            <w:r>
              <w:rPr>
                <w:rFonts w:ascii="Arial" w:cs="Arial" w:eastAsia="Arial" w:hAnsi="Arial"/>
                <w:sz w:val="17"/>
                <w:szCs w:val="17"/>
                <w:color w:val="auto"/>
              </w:rPr>
              <w:t>Third-party grower and supplier costs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56,690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54,218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center"/>
              <w:ind w:right="314"/>
              <w:spacing w:after="0"/>
              <w:rPr>
                <w:sz w:val="20"/>
                <w:szCs w:val="20"/>
                <w:color w:val="auto"/>
              </w:rPr>
            </w:pPr>
            <w:r>
              <w:rPr>
                <w:rFonts w:ascii="Arial" w:cs="Arial" w:eastAsia="Arial" w:hAnsi="Arial"/>
                <w:sz w:val="17"/>
                <w:szCs w:val="17"/>
                <w:color w:val="auto"/>
                <w:w w:val="89"/>
              </w:rPr>
              <w:t>5%</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right="314"/>
              <w:spacing w:after="0"/>
              <w:rPr>
                <w:sz w:val="20"/>
                <w:szCs w:val="20"/>
                <w:color w:val="auto"/>
              </w:rPr>
            </w:pPr>
            <w:r>
              <w:rPr>
                <w:rFonts w:ascii="Arial" w:cs="Arial" w:eastAsia="Arial" w:hAnsi="Arial"/>
                <w:sz w:val="17"/>
                <w:szCs w:val="17"/>
                <w:color w:val="auto"/>
                <w:w w:val="94"/>
              </w:rPr>
              <w:t>(4)%</w:t>
            </w:r>
          </w:p>
        </w:tc>
      </w:tr>
      <w:tr>
        <w:trPr>
          <w:trHeight w:val="213"/>
        </w:trPr>
        <w:tc>
          <w:tcPr>
            <w:tcW w:w="4620" w:type="dxa"/>
            <w:vAlign w:val="bottom"/>
          </w:tcPr>
          <w:p>
            <w:pPr>
              <w:ind w:left="20"/>
              <w:spacing w:after="0"/>
              <w:rPr>
                <w:sz w:val="20"/>
                <w:szCs w:val="20"/>
                <w:color w:val="auto"/>
              </w:rPr>
            </w:pPr>
            <w:r>
              <w:rPr>
                <w:rFonts w:ascii="Arial" w:cs="Arial" w:eastAsia="Arial" w:hAnsi="Arial"/>
                <w:sz w:val="17"/>
                <w:szCs w:val="17"/>
                <w:color w:val="auto"/>
              </w:rPr>
              <w:t>Agribusiness costs and expenses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157,281</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14"/>
              <w:spacing w:after="0"/>
              <w:rPr>
                <w:sz w:val="20"/>
                <w:szCs w:val="20"/>
                <w:color w:val="auto"/>
              </w:rPr>
            </w:pPr>
            <w:r>
              <w:rPr>
                <w:rFonts w:ascii="Arial" w:cs="Arial" w:eastAsia="Arial" w:hAnsi="Arial"/>
                <w:sz w:val="17"/>
                <w:szCs w:val="17"/>
                <w:color w:val="auto"/>
                <w:w w:val="94"/>
              </w:rPr>
              <w:t>(6)%</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left="320" w:hanging="317"/>
        <w:spacing w:after="0" w:line="299" w:lineRule="auto"/>
        <w:tabs>
          <w:tab w:leader="none" w:pos="3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Packing costs: Packing costs consist of the costs to pack lemons for sale such as labor and benefits, cardboard cartons, fruit treatments, packing and shipping supplies and facility operating costs. Lemon packing costs were $36.0 million and $42.6 million in fiscal years 2021 and 2020, respectively. The decrease in fiscal year 2021 was primarily attributable to lower volume of fresh lemons packed and sold, partially offset by higher average per carton costs, compared to fiscal year 2020. In fiscal years 2021 and 2020, we packed and sold 4.4 million and 5.5 million cartons of lemons at average per carton costs of $8.22 and $7.71, respectively. The increase in average per carton costs in fiscal year 2021, compared to fiscal year 2020, was primarily due to decreased volume of lemons packed and sold. Additionally, in fiscal years 2021 and 2020, packing costs included $2.7 million and $3.0 million of shipping costs, respectively.</w:t>
      </w:r>
    </w:p>
    <w:p>
      <w:pPr>
        <w:spacing w:after="0" w:line="180" w:lineRule="exact"/>
        <w:rPr>
          <w:rFonts w:ascii="Arial" w:cs="Arial" w:eastAsia="Arial" w:hAnsi="Arial"/>
          <w:sz w:val="15"/>
          <w:szCs w:val="15"/>
          <w:color w:val="auto"/>
        </w:rPr>
      </w:pPr>
    </w:p>
    <w:p>
      <w:pPr>
        <w:ind w:left="320" w:hanging="317"/>
        <w:spacing w:after="0" w:line="279"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Harvest costs: The decrease in fiscal year 2021 was primarily attributable to decreased volume of lemons, avocados and oranges harvested compared to fiscal year 2020.</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decrease in fiscal year 2021 compared to fiscal year 2020 reflects farm management decisions based on weather, harvest timing and crop conditions.</w:t>
      </w:r>
    </w:p>
    <w:p>
      <w:pPr>
        <w:spacing w:after="0" w:line="200" w:lineRule="exact"/>
        <w:rPr>
          <w:rFonts w:ascii="Arial" w:cs="Arial" w:eastAsia="Arial" w:hAnsi="Arial"/>
          <w:sz w:val="17"/>
          <w:szCs w:val="17"/>
          <w:color w:val="auto"/>
        </w:rPr>
      </w:pPr>
    </w:p>
    <w:p>
      <w:pPr>
        <w:jc w:val="both"/>
        <w:ind w:left="320" w:hanging="317"/>
        <w:spacing w:after="0" w:line="258"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Third-party grower and supplier costs: We sell fruit that we grow and fruit that we procure from other growers and suppliers. The cost of procuring fruit from others is referred to as third-party grower and supplier costs. The increase in fiscal year 2021 was primarily due to increased volume of fruit procured from suppliers, partially offset by decreased volume of fruit procured from third party growers, compared to fiscal year 2020. In fiscal years 2021 and 2020, costs for purchased, packed fruit for resale increased by $9.8 million; we incurred costs of $25.2 million and $15.5 million, respectively. During fiscal years 2021 and 2020, of the 4.4 million and 5.5 million lemon cartons sold, 2.3 million (52%) and 3.3 million (60%) were procured from third-party growers at average per carton prices of $13.83 and $11.71, respectively: a decrease of $7.3 million.</w:t>
      </w:r>
    </w:p>
    <w:p>
      <w:pPr>
        <w:spacing w:after="0" w:line="208" w:lineRule="exact"/>
        <w:rPr>
          <w:rFonts w:ascii="Arial" w:cs="Arial" w:eastAsia="Arial" w:hAnsi="Arial"/>
          <w:sz w:val="17"/>
          <w:szCs w:val="17"/>
          <w:color w:val="auto"/>
        </w:rPr>
      </w:pPr>
    </w:p>
    <w:p>
      <w:pPr>
        <w:ind w:left="300" w:hanging="297"/>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Depreciation and amortization: Depreciation and amortization expense in fiscal year 2021 was $0.3 million lower than fiscal year 2020.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Other operations expenses for fiscal years 2021 and 2020 were $4.3 million and $4.5 million,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Loss on disposal of assets for fiscal years 2021 and 2020 were $0.1 million and $0.5 million, respectively.</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for fiscal year 2021 were $19.4 million compared to $21.3 million for fiscal year 2020. The $1.9 million decrease was primarily the result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ind w:left="300" w:hanging="297"/>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$0.7 million decrease in hardware, software and training costs associated with an ERP implementation</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$0.6 million decrease in selling expenses; and</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$0.5 million decrease in other selling, general and administrative expenses, including certain corporate overhead expenses.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for fiscal year 2021 was $2.2 million compared to $(7.4) million for fiscal year 2020. The $9.6 million increase in other income (expense)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was primarily the result of:</w:t>
      </w:r>
    </w:p>
    <w:p>
      <w:pPr>
        <w:spacing w:after="0" w:line="258" w:lineRule="exact"/>
        <w:rPr>
          <w:sz w:val="20"/>
          <w:szCs w:val="20"/>
          <w:color w:val="auto"/>
        </w:rPr>
      </w:pPr>
    </w:p>
    <w:p>
      <w:pPr>
        <w:ind w:left="300" w:hanging="297"/>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$0.5 million decrease in interest expense as a result of increased amounts capitalized;</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$2.9 million increase in equity in earnings of investments primarily from LLCB; and</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$6.3 million decrease in the loss on stock in Calavo.</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recorded for fiscal years 2021 and 2020 income tax benefit of $0.3 million and $8.5 million on pre-tax loss of $4.2 million and $26.4 million, respectively. The tax provision recorded for fiscal year 2021 differs from the U.S. federal statutory tax rate of 21% due primarily to foreign jurisdictions which are taxed at different rates, state taxes, nondeductible tax items and valuation allowances on certain deferred tax assets of foreign subsidiaries. Our effective tax rate for fiscal years 2021 and 2020 was 6.4% and 32.2%,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(Income) Attributable to Noncontrolling Interest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Loss (income) attributable to noncontrolling interest primarily represents 10% and 49% of the net losses of PDA and Trapani Fresh,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22 - Segment Information of the notes to consolidated financial statements included in this Annual Report for additional information regarding our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fiscal year 2021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Fresh</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Lemon</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Eliminations</w:t>
            </w:r>
          </w:p>
        </w:tc>
        <w:tc>
          <w:tcPr>
            <w:tcW w:w="16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Avocados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Corporate</w:t>
            </w:r>
          </w:p>
        </w:tc>
        <w:tc>
          <w:tcPr>
            <w:tcW w:w="220" w:type="dxa"/>
            <w:vAlign w:val="bottom"/>
          </w:tcPr>
          <w:p>
            <w:pPr>
              <w:spacing w:after="0"/>
              <w:rPr>
                <w:sz w:val="12"/>
                <w:szCs w:val="12"/>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Lemons</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Packing</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Agribusiness</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Agribusiness</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Other</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125,448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17,514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6,784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161,381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166,027</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color w:val="auto"/>
              </w:rPr>
              <w:t>Intersegment revenues</w:t>
            </w:r>
          </w:p>
        </w:tc>
        <w:tc>
          <w:tcPr>
            <w:tcW w:w="1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25,637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(25,637)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revenues</w:t>
            </w: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125,448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43,151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(25,637)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6,784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161,381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166,027</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116,117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36,018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(25,637)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4,211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9,157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139,866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22,682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162,548</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9,812</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9,331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7,133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2,478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12,889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(19,222)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(6,333)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fiscal year 2020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Fresh</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Lemon</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Eliminations</w:t>
            </w:r>
          </w:p>
        </w:tc>
        <w:tc>
          <w:tcPr>
            <w:tcW w:w="16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Avocados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Corporate</w:t>
            </w:r>
          </w:p>
        </w:tc>
        <w:tc>
          <w:tcPr>
            <w:tcW w:w="220" w:type="dxa"/>
            <w:vAlign w:val="bottom"/>
          </w:tcPr>
          <w:p>
            <w:pPr>
              <w:spacing w:after="0"/>
              <w:rPr>
                <w:sz w:val="12"/>
                <w:szCs w:val="12"/>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Lemons</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Packing</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Agribusiness</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Agribusiness</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Other</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8,806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159,937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164,559</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color w:val="auto"/>
              </w:rPr>
              <w:t>Intersegment revenues</w:t>
            </w:r>
          </w:p>
        </w:tc>
        <w:tc>
          <w:tcPr>
            <w:tcW w:w="1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36,820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(36,820)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revenues</w:t>
            </w: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50,233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(36,820)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8,806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159,937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164,559</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125,305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42,563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(36,820)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5,168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148,338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25,132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173,470</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10,097</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color w:val="auto"/>
              </w:rPr>
              <w:t>Operating (loss) income</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7,670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3,638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2,656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(21,664)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(19,008)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Fiscal Year 2021 Compared to Fiscal Year 2020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following analysis should be read in conjunction with the previous section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Fresh Lemons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Fresh lemons segment revenue is comprised of sales of fresh lemons, lemon by-products and brokered fruit other lemon revenue. For fiscal year 2021, our fresh lemons segment revenue was $125.4 million compared to $124.2 million for fiscal year 2020. The 1% increase of $1.3 million was primarily the result of higher prices partially offset by lower volume of fresh lemons sold, as discussed earlier.</w:t>
      </w:r>
    </w:p>
    <w:p>
      <w:pPr>
        <w:spacing w:after="0" w:line="17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Costs and expenses associated with our fresh lemons segment include harvest costs, growing costs, cost of fruit we procure from third-party growers and suppliers, transportation costs and packing service charges incurred from the lemon packing segment to pack lemons for sale. For fiscal year 2021, our fresh lemon costs and expenses were $116.1 million compared to $125.3 million for fiscal year 2020. The 7% decrease of $9.2 million primarily consisted of the following:</w:t>
      </w:r>
    </w:p>
    <w:p>
      <w:pPr>
        <w:spacing w:after="0" w:line="191" w:lineRule="exact"/>
        <w:rPr>
          <w:sz w:val="20"/>
          <w:szCs w:val="20"/>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Harvest costs for fiscal year 2021 were $2.8 million lower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Growing costs for fiscal year 2021 were $0.7 million higher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Third-party grower and supplier costs for fiscal year 2021 were $4.4 million higher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Transportation costs for fiscal year 2021 were $0.2 million lower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Intersegment costs and expenses for fiscal year 2021 were $11.2 million lower than fiscal year 2020.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w:t>
      </w:r>
      <w:r>
        <w:rPr>
          <w:rFonts w:ascii="Arial" w:cs="Arial" w:eastAsia="Arial" w:hAnsi="Arial"/>
          <w:sz w:val="17"/>
          <w:szCs w:val="17"/>
          <w:b w:val="1"/>
          <w:bCs w:val="1"/>
          <w:i w:val="1"/>
          <w:iCs w:val="1"/>
          <w:color w:val="auto"/>
        </w:rPr>
        <w:t>emon Packing</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Lemon packing segment revenue is comprised of intersegment packing revenue and shipping and handling revenue. For fiscal year 2021, our lemon packing segment revenue was $43.2 million compared to $50.2 million for fiscal year 2020. The 14% decrease of $7.1 million was primarily due to decreased volume of lemons packed.</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Costs and expenses associated with our lemon packing segment consist of the cost to pack lemons for sale such as labor and benefits, cardboard cartons, fruit treatments, packing and shipping supplies and facility operating costs. For fiscal year 2021, our lemon packing costs and expenses were $36.0 million compared to $42.6 million for fiscal year 2020. The 15% decrease of $6.5 million was primarily due to decreased volume of lemons packed.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Lemon packing segment operating income per carton sold was $1.63 and $1.39 for fiscal years 2021 and 2020, respectively.</w:t>
      </w:r>
    </w:p>
    <w:p>
      <w:pPr>
        <w:spacing w:after="0" w:line="217"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lemon packing segment included $25.6 million and $36.8 million of intersegment revenues for fiscal years 2021 and 2020, respectively, which were charged to the fresh lemons segment to pack lemons for sale. Such intersegment revenues and expenses are eliminated in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Avocados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2021, our avocados segment revenue was $6.8 million compared to $8.8 million for fiscal year 2020, a 23% decrease of $2.0 million.</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and expenses associated with our avocados segment include harvest costs and growing costs. For fiscal year 2021, our avocado costs and expenses were $4.2 million compared to $5.2 million for fiscal year 2020. The 19% decrease of $1.0 million primarily consisted of the following:</w:t>
      </w:r>
    </w:p>
    <w:p>
      <w:pPr>
        <w:spacing w:after="0" w:line="242"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Harvest costs for fiscal year 2021 were $0.4 million lower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Growing costs for fiscal year 2021 were $0.5 million lower than fiscal year 2020.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Agribusiness</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fiscal year 2021, our other agribusiness segment revenue was $11.6 million compared to $13.6 million for fiscal year 2020. The 14% decrease of $1.9 million primarily consisted of the following:</w:t>
      </w:r>
    </w:p>
    <w:p>
      <w:pPr>
        <w:spacing w:after="0" w:line="242" w:lineRule="exact"/>
        <w:rPr>
          <w:sz w:val="20"/>
          <w:szCs w:val="20"/>
          <w:color w:val="auto"/>
        </w:rPr>
      </w:pPr>
    </w:p>
    <w:p>
      <w:pPr>
        <w:ind w:left="5540" w:right="5300" w:hanging="5537"/>
        <w:spacing w:after="0" w:line="662" w:lineRule="auto"/>
        <w:tabs>
          <w:tab w:leader="none" w:pos="31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Orange revenue for fiscal year 2021 was $3.3 million lower than fiscal year 2020.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356235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6" w:name="page37"/>
    <w:bookmarkEnd w:id="36"/>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Specialty citrus and other crop revenue for fiscal year 2021 was $1.4 million higher than fiscal year 2020.</w:t>
      </w:r>
    </w:p>
    <w:p>
      <w:pPr>
        <w:spacing w:after="0" w:line="346"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Costs and expenses associated with our other agribusiness segment include harvest, growing and purchased fruit costs. Our other agribusiness costs and expenses for fiscal year 2021 were $9.2 million compared to $12.1 million for fiscal year 2020. The 24% decrease of $3.0 million primarily consisted of the following:</w:t>
      </w:r>
    </w:p>
    <w:p>
      <w:pPr>
        <w:spacing w:after="0" w:line="246" w:lineRule="exact"/>
        <w:rPr>
          <w:sz w:val="20"/>
          <w:szCs w:val="20"/>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Harvest costs for fiscal year 2021 were $0.3 million lower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Growing costs for fiscal year 2021 were $0.8 million lower than fiscal year 2020.</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Purchased fruit costs for fiscal year 2021 were $1.9 million lower than fiscal year 2020.</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agribusiness depreciation and amortization for fiscal year 2021 was $8.6 million compared to $8.9 million in fiscal year 2020. The 4% decrease of $0.3 million was primarily due to reduced amortization as a result of selling and licensing certain intangible assets of Trapani Fresh to FGF in March 2021.</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corporate and other operations had rental revenues of approximately $4.6 million in fiscal years 2021 and 2020.</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Costs and expenses in our corporate and other operations were approximately $22.7 million and $25.1 million in fiscal years 2021 and 2020, respectively, and include rental operations costs and selling, general and administrative expenses not allocated to the operating segments. Depreciation and amortization expenses were approximately $1.2 million in fiscal years 2021 and 2020. Additionally, loss on disposal of assets for fiscal years 2021 and 2020 was $0.1 million and $0.5 million,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Material contractual obligations arising in the normal course of business primarily consist of purchase obligations, long-term fixed rate and variable rate debt and related interest payments, operating and finance leases and our noncontributory, defined benefit pension plan (“the Plan”). In fiscal year 2021, we decided to terminate the Plan effective December 31, 2021. The liabilities disclosed as of October 31, 2021, reflect an estimate of the additional cost to pay lump sums to a portion of the active and vested terminated participants and purchase annuities for all remaining participants from an insurance company. See Notes 12, 13 and 17 to the consolidated financial statements included in this Annual Report for amounts outstanding on October 31, 2021, related to debt, leases and the Plan. Purchase obligations consist of contracts primarily related to packing supplies and pollination services, the majority of which are due in the next three years.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fiscal years ended October 31, 2021, 2020 and 2019, net cash provided by (used in) operating activities was $9.6 million, $(11.3) million and $1.4 million, respectively. Our cash flow provided by operating activities is primarily from agricultural sales and rental operations. Cash flow used in operations generally consists of agribusiness costs, rental operation costs, selling, general and administrative expenses. The significant components of our cash flows provided by operating activities are as follows: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7" w:name="page38"/>
    <w:bookmarkEnd w:id="37"/>
    <w:p>
      <w:pPr>
        <w:jc w:val="both"/>
        <w:ind w:left="320" w:hanging="317"/>
        <w:spacing w:after="0" w:line="266" w:lineRule="auto"/>
        <w:tabs>
          <w:tab w:leader="none" w:pos="3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loss was $(3.9) million and $(17.9) million for fiscal years 2021 and 2020, respectively. The components of net loss in fiscal year 2021 compared to fiscal year 2020 consist of an decrease in operating loss of $12.7 million, an increase in total other income (expense) of $9.6 million and a decrease in income tax benefit of $8.2 million.</w:t>
      </w:r>
    </w:p>
    <w:p>
      <w:pPr>
        <w:spacing w:after="0" w:line="200" w:lineRule="exact"/>
        <w:rPr>
          <w:rFonts w:ascii="Arial" w:cs="Arial" w:eastAsia="Arial" w:hAnsi="Arial"/>
          <w:sz w:val="17"/>
          <w:szCs w:val="17"/>
          <w:color w:val="auto"/>
        </w:rPr>
      </w:pPr>
    </w:p>
    <w:p>
      <w:pPr>
        <w:jc w:val="both"/>
        <w:ind w:left="320" w:hanging="317"/>
        <w:spacing w:after="0" w:line="266" w:lineRule="auto"/>
        <w:tabs>
          <w:tab w:leader="none" w:pos="3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adjustments to reconcile net loss to net cash provided by (used in) operating activities provided $10.2 million of cash in fiscal year 2021 compared to providing $17.6 million of cash in fiscal year 2020, primarily due to significant changes in loss on stock in Calavo, equity in earnings of investments, net and deferred income taxes.</w:t>
      </w:r>
    </w:p>
    <w:p>
      <w:pPr>
        <w:spacing w:after="0" w:line="200" w:lineRule="exact"/>
        <w:rPr>
          <w:rFonts w:ascii="Arial" w:cs="Arial" w:eastAsia="Arial" w:hAnsi="Arial"/>
          <w:sz w:val="17"/>
          <w:szCs w:val="17"/>
          <w:color w:val="auto"/>
        </w:rPr>
      </w:pPr>
    </w:p>
    <w:p>
      <w:pPr>
        <w:jc w:val="both"/>
        <w:ind w:left="320" w:hanging="317"/>
        <w:spacing w:after="0" w:line="266" w:lineRule="auto"/>
        <w:tabs>
          <w:tab w:leader="none" w:pos="3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changes in operating assets and liabilities, net of business combinations provided $3.3 million of operating cash in fiscal year 2021 compared to using $11.0 million of operating cash in fiscal year 2020, primarily due to significant changes in accounts receivable and receivables/other from related parties, cultural costs, income tax receivable, and accounts payable and growers and suppliers payable.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years ended October 31, 2021, 2020 and 2019, net cash (used in) provided by investing activities was $(10.2) million, $3.8 million and $(23.7) million, respectively, and is primarily comprised of capital expenditures, business acquisitions, sales of assets and investments.</w:t>
      </w:r>
    </w:p>
    <w:p>
      <w:pPr>
        <w:spacing w:after="0" w:line="164" w:lineRule="exact"/>
        <w:rPr>
          <w:sz w:val="20"/>
          <w:szCs w:val="20"/>
          <w:color w:val="auto"/>
        </w:rPr>
      </w:pPr>
    </w:p>
    <w:p>
      <w:pPr>
        <w:ind w:left="320" w:hanging="317"/>
        <w:spacing w:after="0" w:line="279" w:lineRule="auto"/>
        <w:tabs>
          <w:tab w:leader="none" w:pos="3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Capital expenditures for fiscal year 2021 were comprised of $9.8 million for property, plant and equipment primarily related to orchard and real estate development projects. Additionally, in fiscal year 2021 we invested $0.7 million in mutual water companies and water rights.</w:t>
      </w:r>
    </w:p>
    <w:p>
      <w:pPr>
        <w:spacing w:after="0" w:line="190" w:lineRule="exact"/>
        <w:rPr>
          <w:rFonts w:ascii="Arial" w:cs="Arial" w:eastAsia="Arial" w:hAnsi="Arial"/>
          <w:sz w:val="17"/>
          <w:szCs w:val="17"/>
          <w:color w:val="auto"/>
        </w:rPr>
      </w:pPr>
    </w:p>
    <w:p>
      <w:pPr>
        <w:jc w:val="both"/>
        <w:ind w:left="320" w:hanging="317"/>
        <w:spacing w:after="0" w:line="290" w:lineRule="auto"/>
        <w:tabs>
          <w:tab w:leader="none" w:pos="3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Capital expenditures for fiscal year 2020 were comprised of $10.6 million for property, plant and equipment primarily related to orchard and real estate development projects. Additionally, in fiscal year 2020, we received proceeds from sale of stock in Calavo of $11.0 million, proceeds from sales of property assets of $6.3 million and contributed $2.8 million to LLCB for the development of our East Area I real estate development project.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October 31, 2021, 2020 and 2019 net cash provided by financing activities was $0.5 million, $7.4 million and $22.4 million, respectively.</w:t>
      </w:r>
    </w:p>
    <w:p>
      <w:pPr>
        <w:spacing w:after="0" w:line="254" w:lineRule="exact"/>
        <w:rPr>
          <w:sz w:val="20"/>
          <w:szCs w:val="20"/>
          <w:color w:val="auto"/>
        </w:rPr>
      </w:pPr>
    </w:p>
    <w:p>
      <w:pPr>
        <w:jc w:val="both"/>
        <w:ind w:left="320" w:hanging="317"/>
        <w:spacing w:after="0" w:line="266" w:lineRule="auto"/>
        <w:tabs>
          <w:tab w:leader="none" w:pos="3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$0.5 million of cash provided by financing activities for fiscal year 2021 is primarily comprised of net borrowings of long-term debt in the amount of $7.1 million. Additionally, we paid common and preferred dividends, in aggregate, of $5.8 million and paid $0.7 million for the exchange of common stock related to our employees restricted stock awards.</w:t>
      </w:r>
    </w:p>
    <w:p>
      <w:pPr>
        <w:spacing w:after="0" w:line="200" w:lineRule="exact"/>
        <w:rPr>
          <w:rFonts w:ascii="Arial" w:cs="Arial" w:eastAsia="Arial" w:hAnsi="Arial"/>
          <w:sz w:val="17"/>
          <w:szCs w:val="17"/>
          <w:color w:val="auto"/>
        </w:rPr>
      </w:pPr>
    </w:p>
    <w:p>
      <w:pPr>
        <w:jc w:val="both"/>
        <w:ind w:left="320" w:hanging="317"/>
        <w:spacing w:after="0" w:line="266" w:lineRule="auto"/>
        <w:tabs>
          <w:tab w:leader="none" w:pos="3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$7.4 million of cash provided by financing activities for fiscal year 2020 is primarily comprised of net borrowings of long-term debt in the amount of $17.0 million. Additionally, we paid common and preferred dividends, in aggregate, of $5.9 million and purchases of shares of our common stock of $3.5 million under our share repurchase program in fiscal year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Affecting 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Facilities and Long-Term Debt</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finance our working capital and other liquidity requirements primarily through cash from operations and our Farm Credit West Credit Facility, which includes the MLA, Supplements and Revolving Equity Line of Credit (the "RELOC"). In addition, we have the Farm Credit West term loans, Banco de Chile term loans and COVID-19 loans, and a note payable to the sellers of a land parcel. Additional information regarding these loans and the note payable can be found in Note 12 to the consolidated financial statements included in this Annual Report.</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June 2021, we entered into the MLA with Lender dated June 1, 2021, together with the Supplements and a Fixed Interest Rate Agreement. The MLA governs the terms of the Supplements. The MLA amends and restates the previous Master Loan Agreement between our Company and the Lender, dated June 19, 2017, and extends the principal repayment to July 1, 2026.</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Supplements and RELOC provide aggregate borrowing capacity of $130.0 million comprised of $75.0 million under the Revolving Credit Supplement, $40.0 million under the Non-Revolving Credit Supplement and $15.0 million under the RELOC. As of October 31, 2021, our outstanding borrowings under the Farm Credit West Credit Facility were $111.3 million and we had $18.7 million of availability.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7"/>
          <w:szCs w:val="17"/>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on an annual basis. In December 2021, the Lender modified the covenant to defer measurement at October 31, 2021 and revert to a debt service coverage ratio of 1.25:1.0 measured as of October 31, 2022.</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2021, we entered into the FCW term loan with the Lender and used the proceeds to pay off the Wells Fargo term loan. The FCW term loan has a fixed interest rate of 3.19% and is payable in monthly installments through September 2026.</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 fiscal years 2021 and 2020 we received annual patronage dividends of $1.2 million and $1.6 million, respectively, from Farm Credit West.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fiscal year 2021, our Company's Board of Directors approved a share repurchase program authorizing us to repurchase up to $10.0 million of our outstanding shares of common stock through September 2022; no shares have been repurchased under this program. In fiscal year 2020, we repurchased 250,977 shares for $3.5 million under a program which expired in March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holders of the Series B Convertible Preferred Stock (the “Series B Stock”) and the Series B-2 Preferred Stock (the “Series B-2 Preferred Stock”) are entitled to receive cumulative cash dividends. Such preferred dividends paid totaled $0.5 million in each of the fiscal years 2021 and 2020.</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dividends declared in each of the fiscal years 2021 and 2020 totaled $0.30 per common share and such dividends paid totaled $5.3 million and $5.4 million for fiscal years 2021 and 2020,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Estate Development Activities and Related Capital Resources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 party sources of capital to collaborate with us to move those development projects forward. While we are frequently in discussions with potential external sources of capital in respect to all of our development projects, current market conditions for California real estate projects make it difficult to predict the timing and amounts of future capital that will be required to complete the development of our projects.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We expect to receive approximately $100.0 million from LLCB over the estimated 10 to 12-year life of the project including $20.0 million received on the consummation of LLCB. LLCB's partners will share in capital contributions to fund project costs until loan proceeds and/or revenues are sufficient to fund the project. Since inception each partner has made funding contributions of $21.4 million, including $2.8 million in fiscal year 2020. The first phase of the project broke ground to commence mass grading in November 2017. Project plans currently include approximately 1,500 residential units and site improvements to be completed. Lot sales representing 232 and 144 residential units closed in fiscal years 2021 and 2020, respectively, and 586 residential units have closed from the project's inception to October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 Information</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commodity pricing for our fresh produce, and therefore our revenues and margins, is significantly impacted by consumer demand. 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7"/>
          <w:szCs w:val="17"/>
          <w:color w:val="auto"/>
        </w:rPr>
        <w:t>preservative-free and organic foods have become an increasingly significant element of the public dialogue on health and nutrition. As a result, consumption of fresh fruit and vegetables has markedly increased. Conversely, a decrease in demand, as was seen during the COVID-19 pandemic as a result of restaurant closures, has the impact of reducing our pricing and therefore our revenues and margins.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in Note 7 – Real Estate Development and Note 8 – Equity in Investments of the notes to consolidated financial statements included in this Annual Report, we have investments in joint ventures and partnerships that are accounted for using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For further information on significant accounting policies, see discussion in Note 2 to the consolidated financial statements included in this Annual Report.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Impairment of Real Estate Development Projects – </w:t>
      </w:r>
      <w:r>
        <w:rPr>
          <w:rFonts w:ascii="Arial" w:cs="Arial" w:eastAsia="Arial" w:hAnsi="Arial"/>
          <w:sz w:val="17"/>
          <w:szCs w:val="17"/>
          <w:color w:val="auto"/>
        </w:rPr>
        <w:t>We evaluate our real estate development projects, held either by us or as included specifically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LLCB, for impairment on an ongoing basis. Our evaluation for impairment involves an initial assessment of each real estate development project to determine whether events or changes in circumstances exist that may indicate that the carrying amounts of, or investment in, real estate development are no longer recoverable. Possible indications of impairment may include events or changes in circumstances affecting the entitlement process, zoning, government regulation, geographical demand for new housing or commercial property, and market conditions related to residential or commercial land lots. When events or changes in circumstances exist, we further evaluate the real estate development for impairment by a) comparing undiscounted future cash flows expected to be generated over the life of the real estate development to the respective carrying amount for its own real estate development or b) determining if its equity in investment has incurred an other-than-temporary decline.</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make significant judgments in evaluating each real estate development project, as held by us or within our investment in LLCB,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For fiscal years 2021, 2020 and 2019, no impairment loss has been recognized on any real estate development and no other-than-temporary-impairment has been recognized on our equity in LLCB.</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impairment calculation for real estate developments held by us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Whenever events or changes in circumstances indicate that the carrying amount of our equity investment in LLCB might not be recoverable, then we determine whether an impairment is other-than-temporary. If we conclude the impairment is other-than-temporary, we determine the estimated fair value of the investment by performing a discounted cash flow or market approach analysis and recognize an other-than-temporary impairment to reduce the investment to its estimated fair value.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the accounting estimate related to impairment of real estate development projects held by us, or other-than-temporary impairment of our equity investment in LLCB,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0" w:name="page41"/>
    <w:bookmarkEnd w:id="40"/>
    <w:p>
      <w:pPr>
        <w:spacing w:after="0" w:line="279" w:lineRule="auto"/>
        <w:rPr>
          <w:sz w:val="20"/>
          <w:szCs w:val="20"/>
          <w:color w:val="auto"/>
        </w:rPr>
      </w:pPr>
      <w:r>
        <w:rPr>
          <w:rFonts w:ascii="Arial" w:cs="Arial" w:eastAsia="Arial" w:hAnsi="Arial"/>
          <w:sz w:val="17"/>
          <w:szCs w:val="17"/>
          <w:color w:val="auto"/>
        </w:rPr>
        <w:t>real estate development projects or return on equity of our investment in LLCB have fluctuated in the past due to changes in prices, production and costs and are expected to continue to do so in the future as market conditions change.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See Note 2 - Summary of Significant Accounting Policies of the notes to consolidated financial statements included in this Annual Report for information concerning recent accounting pronouncements.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Borrowings under the Farm Credit West Credit Facility and Farm Credit West Term Loans are or will be subject to variable interest rates. These variable interest rates subject us to the risk of increased interest costs associated with any upward movements in interest rates. For the Farm Credit West Credit Facility and Farm Credit West Term Loans, our borrowing interest rate is an internally calculated rate based on Farm Credit West’s internal monthly operations and their cost of funds and generally follows the changes in the 90-day treasury rates in increments divisible by 0.25%. At October 31, 2021, our total debt outstanding under the Farm Credit West Credit Facility and the Farm Credit West Term Loans was $111.3 million and $18.2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enter into interest rate swap agreements to manage risks and costs associated with our financing activities.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Based on our level of borrowings at October 31, 2021, a 100 basis points increase in interest rates would increase our interest expense $0.7 million for fiscal year 2022 and an annual average of $0.8 million for the three subsequent fiscal years. Additionally, a 100 basis points increase in the interest rate would decrease our net income by $0.5 million for fiscal year 2022 and an annual average of $0.6 million for the three subsequent fiscal years. Refer to the “Management’s Discussion and Analysis of Financial Condition and Results of Operations – Liquidity and Capital Resources”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3"/>
        </w:trPr>
        <w:tc>
          <w:tcPr>
            <w:tcW w:w="11060" w:type="dxa"/>
            <w:vAlign w:val="bottom"/>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3"/>
        </w:trPr>
        <w:tc>
          <w:tcPr>
            <w:tcW w:w="11060" w:type="dxa"/>
            <w:vAlign w:val="bottom"/>
          </w:tcPr>
          <w:p>
            <w:pPr>
              <w:ind w:left="4860"/>
              <w:spacing w:after="0"/>
              <w:rPr>
                <w:sz w:val="20"/>
                <w:szCs w:val="20"/>
                <w:color w:val="auto"/>
              </w:rPr>
            </w:pPr>
            <w:r>
              <w:rPr>
                <w:rFonts w:ascii="Arial" w:cs="Arial" w:eastAsia="Arial" w:hAnsi="Arial"/>
                <w:sz w:val="17"/>
                <w:szCs w:val="17"/>
                <w:b w:val="1"/>
                <w:bCs w:val="1"/>
                <w:color w:val="auto"/>
              </w:rPr>
              <w:t>Limoneira Company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11060" w:type="dxa"/>
            <w:vAlign w:val="bottom"/>
          </w:tcPr>
          <w:p>
            <w:pPr>
              <w:ind w:left="4020"/>
              <w:spacing w:after="0"/>
              <w:rPr>
                <w:sz w:val="20"/>
                <w:szCs w:val="20"/>
                <w:color w:val="auto"/>
              </w:rPr>
            </w:pPr>
            <w:r>
              <w:rPr>
                <w:rFonts w:ascii="Arial" w:cs="Arial" w:eastAsia="Arial" w:hAnsi="Arial"/>
                <w:sz w:val="17"/>
                <w:szCs w:val="17"/>
                <w:b w:val="1"/>
                <w:bCs w:val="1"/>
                <w:color w:val="auto"/>
              </w:rPr>
              <w:t>Index to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1106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Report of Independent Registered Public Accounting Firm</w:t>
            </w:r>
          </w:p>
        </w:tc>
        <w:tc>
          <w:tcPr>
            <w:tcW w:w="160" w:type="dxa"/>
            <w:vAlign w:val="bottom"/>
            <w:tcBorders>
              <w:bottom w:val="single" w:sz="8" w:color="0000FF"/>
            </w:tcBorders>
            <w:shd w:val="clear" w:color="auto" w:fill="CCEEFF"/>
          </w:tcPr>
          <w:p>
            <w:pPr>
              <w:jc w:val="right"/>
              <w:spacing w:after="0" w:line="180" w:lineRule="exact"/>
              <w:rPr>
                <w:rFonts w:ascii="Arial" w:cs="Arial" w:eastAsia="Arial" w:hAnsi="Arial"/>
                <w:sz w:val="17"/>
                <w:szCs w:val="17"/>
                <w:color w:val="0000FF"/>
                <w:w w:val="73"/>
              </w:rPr>
            </w:pPr>
            <w:hyperlink w:anchor="page43">
              <w:r>
                <w:rPr>
                  <w:rFonts w:ascii="Arial" w:cs="Arial" w:eastAsia="Arial" w:hAnsi="Arial"/>
                  <w:sz w:val="17"/>
                  <w:szCs w:val="17"/>
                  <w:color w:val="0000FF"/>
                  <w:w w:val="73"/>
                </w:rPr>
                <w:t>44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8"/>
        </w:trPr>
        <w:tc>
          <w:tcPr>
            <w:tcW w:w="11060" w:type="dxa"/>
            <w:vAlign w:val="bottom"/>
          </w:tcPr>
          <w:p>
            <w:pPr>
              <w:ind w:left="20"/>
              <w:spacing w:after="0"/>
              <w:rPr>
                <w:sz w:val="20"/>
                <w:szCs w:val="20"/>
                <w:color w:val="auto"/>
              </w:rPr>
            </w:pPr>
            <w:r>
              <w:rPr>
                <w:rFonts w:ascii="Arial" w:cs="Arial" w:eastAsia="Arial" w:hAnsi="Arial"/>
                <w:sz w:val="17"/>
                <w:szCs w:val="17"/>
                <w:color w:val="auto"/>
              </w:rPr>
              <w:t>Consolidated Financial Statements of Limoneira Company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1106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7"/>
                <w:szCs w:val="17"/>
                <w:color w:val="auto"/>
              </w:rPr>
              <w:t>Consolidated Balance Sheets at October 31, 2021 and 2020</w:t>
            </w:r>
          </w:p>
        </w:tc>
        <w:tc>
          <w:tcPr>
            <w:tcW w:w="160" w:type="dxa"/>
            <w:vAlign w:val="bottom"/>
            <w:tcBorders>
              <w:bottom w:val="single" w:sz="8" w:color="0000FF"/>
            </w:tcBorders>
            <w:shd w:val="clear" w:color="auto" w:fill="CCEEFF"/>
          </w:tcPr>
          <w:p>
            <w:pPr>
              <w:jc w:val="right"/>
              <w:spacing w:after="0" w:line="181" w:lineRule="exact"/>
              <w:rPr>
                <w:rFonts w:ascii="Arial" w:cs="Arial" w:eastAsia="Arial" w:hAnsi="Arial"/>
                <w:sz w:val="17"/>
                <w:szCs w:val="17"/>
                <w:color w:val="0000FF"/>
                <w:w w:val="73"/>
              </w:rPr>
            </w:pPr>
            <w:hyperlink w:anchor="page45">
              <w:r>
                <w:rPr>
                  <w:rFonts w:ascii="Arial" w:cs="Arial" w:eastAsia="Arial" w:hAnsi="Arial"/>
                  <w:sz w:val="17"/>
                  <w:szCs w:val="17"/>
                  <w:color w:val="0000FF"/>
                  <w:w w:val="73"/>
                </w:rPr>
                <w:t>46</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0"/>
        </w:trPr>
        <w:tc>
          <w:tcPr>
            <w:tcW w:w="11060" w:type="dxa"/>
            <w:vAlign w:val="bottom"/>
          </w:tcPr>
          <w:p>
            <w:pPr>
              <w:ind w:left="20"/>
              <w:spacing w:after="0" w:line="180" w:lineRule="exact"/>
              <w:rPr>
                <w:sz w:val="20"/>
                <w:szCs w:val="20"/>
                <w:color w:val="auto"/>
              </w:rPr>
            </w:pPr>
            <w:r>
              <w:rPr>
                <w:rFonts w:ascii="Arial" w:cs="Arial" w:eastAsia="Arial" w:hAnsi="Arial"/>
                <w:sz w:val="17"/>
                <w:szCs w:val="17"/>
                <w:color w:val="auto"/>
              </w:rPr>
              <w:t>Consolidated Statements of Operations for the years ended October 31, 2021, 2020 and 2019</w:t>
            </w:r>
          </w:p>
        </w:tc>
        <w:tc>
          <w:tcPr>
            <w:tcW w:w="160" w:type="dxa"/>
            <w:vAlign w:val="bottom"/>
            <w:tcBorders>
              <w:bottom w:val="single" w:sz="8" w:color="0000FF"/>
            </w:tcBorders>
          </w:tcPr>
          <w:p>
            <w:pPr>
              <w:jc w:val="right"/>
              <w:spacing w:after="0" w:line="180" w:lineRule="exact"/>
              <w:rPr>
                <w:rFonts w:ascii="Arial" w:cs="Arial" w:eastAsia="Arial" w:hAnsi="Arial"/>
                <w:sz w:val="17"/>
                <w:szCs w:val="17"/>
                <w:color w:val="0000FF"/>
                <w:w w:val="73"/>
              </w:rPr>
            </w:pPr>
            <w:hyperlink w:anchor="page46">
              <w:r>
                <w:rPr>
                  <w:rFonts w:ascii="Arial" w:cs="Arial" w:eastAsia="Arial" w:hAnsi="Arial"/>
                  <w:sz w:val="17"/>
                  <w:szCs w:val="17"/>
                  <w:color w:val="0000FF"/>
                  <w:w w:val="73"/>
                </w:rPr>
                <w:t>47</w:t>
              </w:r>
            </w:hyperlink>
          </w:p>
        </w:tc>
        <w:tc>
          <w:tcPr>
            <w:tcW w:w="20" w:type="dxa"/>
            <w:vAlign w:val="bottom"/>
          </w:tcPr>
          <w:p>
            <w:pPr>
              <w:spacing w:after="0"/>
              <w:rPr>
                <w:sz w:val="16"/>
                <w:szCs w:val="16"/>
                <w:color w:val="auto"/>
              </w:rPr>
            </w:pPr>
          </w:p>
        </w:tc>
      </w:tr>
      <w:tr>
        <w:trPr>
          <w:trHeight w:val="209"/>
        </w:trPr>
        <w:tc>
          <w:tcPr>
            <w:tcW w:w="110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Consolidated Statements of Comprehensive Loss for the years ended October 31, 2021, 2020 and 2019</w:t>
            </w:r>
          </w:p>
        </w:tc>
        <w:tc>
          <w:tcPr>
            <w:tcW w:w="160" w:type="dxa"/>
            <w:vAlign w:val="bottom"/>
            <w:tcBorders>
              <w:bottom w:val="single" w:sz="8" w:color="0000FF"/>
            </w:tcBorders>
            <w:shd w:val="clear" w:color="auto" w:fill="CCEEFF"/>
          </w:tcPr>
          <w:p>
            <w:pPr>
              <w:jc w:val="right"/>
              <w:spacing w:after="0" w:line="190" w:lineRule="exact"/>
              <w:rPr>
                <w:rFonts w:ascii="Arial" w:cs="Arial" w:eastAsia="Arial" w:hAnsi="Arial"/>
                <w:sz w:val="17"/>
                <w:szCs w:val="17"/>
                <w:color w:val="0000FF"/>
                <w:w w:val="73"/>
              </w:rPr>
            </w:pPr>
            <w:hyperlink w:anchor="page47">
              <w:r>
                <w:rPr>
                  <w:rFonts w:ascii="Arial" w:cs="Arial" w:eastAsia="Arial" w:hAnsi="Arial"/>
                  <w:sz w:val="17"/>
                  <w:szCs w:val="17"/>
                  <w:color w:val="0000FF"/>
                  <w:w w:val="73"/>
                </w:rPr>
                <w:t>48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0"/>
        </w:trPr>
        <w:tc>
          <w:tcPr>
            <w:tcW w:w="11060" w:type="dxa"/>
            <w:vAlign w:val="bottom"/>
          </w:tcPr>
          <w:p>
            <w:pPr>
              <w:ind w:left="20"/>
              <w:spacing w:after="0" w:line="180" w:lineRule="exact"/>
              <w:rPr>
                <w:sz w:val="20"/>
                <w:szCs w:val="20"/>
                <w:color w:val="auto"/>
              </w:rPr>
            </w:pPr>
            <w:r>
              <w:rPr>
                <w:rFonts w:ascii="Arial" w:cs="Arial" w:eastAsia="Arial" w:hAnsi="Arial"/>
                <w:sz w:val="17"/>
                <w:szCs w:val="17"/>
                <w:color w:val="auto"/>
              </w:rPr>
              <w:t>Consolidated Statements of Stockholders’ Equity and Temporary Equity for the years ended October 31, 2021, 2020 and 2019</w:t>
            </w:r>
          </w:p>
        </w:tc>
        <w:tc>
          <w:tcPr>
            <w:tcW w:w="160" w:type="dxa"/>
            <w:vAlign w:val="bottom"/>
            <w:tcBorders>
              <w:bottom w:val="single" w:sz="8" w:color="0000FF"/>
            </w:tcBorders>
          </w:tcPr>
          <w:p>
            <w:pPr>
              <w:jc w:val="right"/>
              <w:spacing w:after="0" w:line="180" w:lineRule="exact"/>
              <w:rPr>
                <w:rFonts w:ascii="Arial" w:cs="Arial" w:eastAsia="Arial" w:hAnsi="Arial"/>
                <w:sz w:val="17"/>
                <w:szCs w:val="17"/>
                <w:color w:val="0000FF"/>
                <w:w w:val="73"/>
              </w:rPr>
            </w:pPr>
            <w:hyperlink w:anchor="page48">
              <w:r>
                <w:rPr>
                  <w:rFonts w:ascii="Arial" w:cs="Arial" w:eastAsia="Arial" w:hAnsi="Arial"/>
                  <w:sz w:val="17"/>
                  <w:szCs w:val="17"/>
                  <w:color w:val="0000FF"/>
                  <w:w w:val="73"/>
                </w:rPr>
                <w:t>49</w:t>
              </w:r>
            </w:hyperlink>
          </w:p>
        </w:tc>
        <w:tc>
          <w:tcPr>
            <w:tcW w:w="20" w:type="dxa"/>
            <w:vAlign w:val="bottom"/>
          </w:tcPr>
          <w:p>
            <w:pPr>
              <w:spacing w:after="0"/>
              <w:rPr>
                <w:sz w:val="16"/>
                <w:szCs w:val="16"/>
                <w:color w:val="auto"/>
              </w:rPr>
            </w:pPr>
          </w:p>
        </w:tc>
      </w:tr>
      <w:tr>
        <w:trPr>
          <w:trHeight w:val="208"/>
        </w:trPr>
        <w:tc>
          <w:tcPr>
            <w:tcW w:w="110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Consolidated Statements of Cash Flows for the years ended October 31, 2021, 2020 and 2019</w:t>
            </w:r>
          </w:p>
        </w:tc>
        <w:tc>
          <w:tcPr>
            <w:tcW w:w="160" w:type="dxa"/>
            <w:vAlign w:val="bottom"/>
            <w:tcBorders>
              <w:bottom w:val="single" w:sz="8" w:color="0000FF"/>
            </w:tcBorders>
            <w:shd w:val="clear" w:color="auto" w:fill="CCEEFF"/>
          </w:tcPr>
          <w:p>
            <w:pPr>
              <w:jc w:val="right"/>
              <w:spacing w:after="0" w:line="190" w:lineRule="exact"/>
              <w:rPr>
                <w:rFonts w:ascii="Arial" w:cs="Arial" w:eastAsia="Arial" w:hAnsi="Arial"/>
                <w:sz w:val="17"/>
                <w:szCs w:val="17"/>
                <w:color w:val="0000FF"/>
                <w:w w:val="73"/>
              </w:rPr>
            </w:pPr>
            <w:hyperlink w:anchor="page49">
              <w:r>
                <w:rPr>
                  <w:rFonts w:ascii="Arial" w:cs="Arial" w:eastAsia="Arial" w:hAnsi="Arial"/>
                  <w:sz w:val="17"/>
                  <w:szCs w:val="17"/>
                  <w:color w:val="0000FF"/>
                  <w:w w:val="73"/>
                </w:rPr>
                <w:t>50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0"/>
        </w:trPr>
        <w:tc>
          <w:tcPr>
            <w:tcW w:w="11060" w:type="dxa"/>
            <w:vAlign w:val="bottom"/>
          </w:tcPr>
          <w:p>
            <w:pPr>
              <w:ind w:left="20"/>
              <w:spacing w:after="0" w:line="180" w:lineRule="exact"/>
              <w:rPr>
                <w:sz w:val="20"/>
                <w:szCs w:val="20"/>
                <w:color w:val="auto"/>
              </w:rPr>
            </w:pPr>
            <w:r>
              <w:rPr>
                <w:rFonts w:ascii="Arial" w:cs="Arial" w:eastAsia="Arial" w:hAnsi="Arial"/>
                <w:sz w:val="17"/>
                <w:szCs w:val="17"/>
                <w:color w:val="auto"/>
              </w:rPr>
              <w:t>Notes to Consolidated Financial Statements</w:t>
            </w:r>
          </w:p>
        </w:tc>
        <w:tc>
          <w:tcPr>
            <w:tcW w:w="160" w:type="dxa"/>
            <w:vAlign w:val="bottom"/>
            <w:tcBorders>
              <w:bottom w:val="single" w:sz="8" w:color="0000FF"/>
            </w:tcBorders>
          </w:tcPr>
          <w:p>
            <w:pPr>
              <w:jc w:val="right"/>
              <w:spacing w:after="0" w:line="180" w:lineRule="exact"/>
              <w:rPr>
                <w:rFonts w:ascii="Arial" w:cs="Arial" w:eastAsia="Arial" w:hAnsi="Arial"/>
                <w:sz w:val="17"/>
                <w:szCs w:val="17"/>
                <w:color w:val="0000FF"/>
                <w:w w:val="73"/>
              </w:rPr>
            </w:pPr>
            <w:hyperlink w:anchor="page51">
              <w:r>
                <w:rPr>
                  <w:rFonts w:ascii="Arial" w:cs="Arial" w:eastAsia="Arial" w:hAnsi="Arial"/>
                  <w:sz w:val="17"/>
                  <w:szCs w:val="17"/>
                  <w:color w:val="0000FF"/>
                  <w:w w:val="73"/>
                </w:rPr>
                <w:t>52</w:t>
              </w:r>
            </w:hyperlink>
          </w:p>
        </w:tc>
        <w:tc>
          <w:tcPr>
            <w:tcW w:w="20" w:type="dxa"/>
            <w:vAlign w:val="bottom"/>
          </w:tcPr>
          <w:p>
            <w:pPr>
              <w:spacing w:after="0"/>
              <w:rPr>
                <w:sz w:val="15"/>
                <w:szCs w:val="15"/>
                <w:color w:val="auto"/>
              </w:rPr>
            </w:pPr>
          </w:p>
        </w:tc>
      </w:tr>
    </w:tbl>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All schedules are omitted for the reason that they are not applicable or the required information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3" w:name="page44"/>
    <w:bookmarkEnd w:id="43"/>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Limoneira Company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audited the accompanying consolidated balance sheets of Limoneira Company and subsidiaries (the "Company") as of October 31, 2021 and 2020, the related consolidated statements of operations, comprehensive (loss) income, stockholders' equity and temporary equity, and cash flows, for each of the three years in the period ended October 31, 2021, and the related notes (collectively referred to as the "financial statements"). In our opinion, based on our audits and the report of the other auditors, the financial statements present fairly, in all material respects, the financial position of the Company as of October 31, 2021 and 2020, and the results of its operations and its cash flows for each of the three years in the period ended October 31, 2021, in conformity with accounting principles generally accepted in the United States of America.</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did not audit the financial statements of Limoneira Lewis Community Builders, LLC (“LLCB”), the Company's investment in which is accounted for by use of the equity method. The accompanying consolidated financial statements of the Company include, before the basis difference and related amortization discussed in Note 8, its equity investment in LLCB of $51,416,000 and $46,908,000 as of October 31, 2021 and 2020, respectively, and its equity earnings in LLCB of $4,508,000, $1,386,000 and $4,368,000 for the years ended October 31, 2021, 2020 and 2019, respectively. The financial statements of LLCB were audited by other auditors whose report has been furnished to us, and our opinion, insofar as it relates to the amounts included for the Company’s equity investment and equity earnings in LLCB, is based on the report of the other auditors.</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October 31, 2021,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January 10, 2022,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Development – Impairment Indicators – Refer to Notes 2, 5, 7 and 8 to the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evaluation of real estate development, as held by the Company or as included specifically within its investment in </w:t>
      </w:r>
      <w:r>
        <w:rPr>
          <w:rFonts w:ascii="Arial" w:cs="Arial" w:eastAsia="Arial" w:hAnsi="Arial"/>
          <w:sz w:val="17"/>
          <w:szCs w:val="17"/>
          <w:i w:val="1"/>
          <w:iCs w:val="1"/>
          <w:color w:val="auto"/>
        </w:rPr>
        <w:t>Limoneira Lewis Community</w:t>
      </w:r>
      <w:r>
        <w:rPr>
          <w:rFonts w:ascii="Arial" w:cs="Arial" w:eastAsia="Arial" w:hAnsi="Arial"/>
          <w:sz w:val="17"/>
          <w:szCs w:val="17"/>
          <w:color w:val="auto"/>
        </w:rPr>
        <w:t xml:space="preserve"> </w:t>
      </w:r>
      <w:r>
        <w:rPr>
          <w:rFonts w:ascii="Arial" w:cs="Arial" w:eastAsia="Arial" w:hAnsi="Arial"/>
          <w:sz w:val="17"/>
          <w:szCs w:val="17"/>
          <w:i w:val="1"/>
          <w:iCs w:val="1"/>
          <w:color w:val="auto"/>
        </w:rPr>
        <w:t>Builders, LLC (“LLCB”)</w:t>
      </w:r>
      <w:r>
        <w:rPr>
          <w:rFonts w:ascii="Arial" w:cs="Arial" w:eastAsia="Arial" w:hAnsi="Arial"/>
          <w:sz w:val="17"/>
          <w:szCs w:val="17"/>
          <w:color w:val="auto"/>
        </w:rPr>
        <w:t>, for impairment involves an initial assessment of each real estate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6"/>
          <w:szCs w:val="16"/>
          <w:color w:val="auto"/>
        </w:rPr>
        <w:t>development to determine whether events or changes in circumstances exist that may indicate that the carrying amounts of, or investment in, real estate development are no longer recoverable. Possible indications of impairment may include events or changes in circumstances affecting the entitlement process, zoning, government regulation, geographical demand for new housing or commercial property, and market conditions related to pricing of residential or commercial land lots. When events or changes in circumstances exist, the Company further evaluates the real estate development for impairment by a) comparing undiscounted future cash flows expected to be generated over the life of the real estate development to the respective carrying amount for its own real estate development or b) determining if its equity in investment has incurred an other-than-temporary decline.</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makes significant judgments in evaluating real estate development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Real estate development assets were $22,828,000, and equity in investment in LLCB was $60,216,000 as of October 31, 2021. For the year ended October 31, 2021, no impairment loss has been recognized on any real estate development and no other-than-temporary-impairment has been recognized on the Company’s equity in LLCB.</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identified the management judgments used in the determination of impairment indicators for real estate development as a critical audit matter due to their significance and because of the subjectivity used by management when determining whether events or changes in circumstances have occurred indicating that the carrying amounts of, or investment in, real estate development may not be recoverable. This required a high degree of auditor judgment when performing audit procedures to evaluate whether management appropriately identified impairment indicators.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evaluation of real estate development for possible indications of impairment included the following, among others:</w:t>
      </w:r>
    </w:p>
    <w:p>
      <w:pPr>
        <w:spacing w:after="0" w:line="243" w:lineRule="exact"/>
        <w:rPr>
          <w:sz w:val="20"/>
          <w:szCs w:val="20"/>
          <w:color w:val="auto"/>
        </w:rPr>
      </w:pPr>
    </w:p>
    <w:p>
      <w:pPr>
        <w:jc w:val="both"/>
        <w:ind w:left="620" w:hanging="307"/>
        <w:spacing w:after="0" w:line="292" w:lineRule="auto"/>
        <w:tabs>
          <w:tab w:leader="none" w:pos="616"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tested the effectiveness of the controls over management’s identification of possible circumstances that may indicate that real estate development is no longer recoverable, including controls over management’s evaluation of the entitlement process, litigation, changes in zoning, government regulation, geographical demand for new housing or commercial property and market conditions related to pricing of residential or commercial land lots.</w:t>
      </w: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evaluated management’s impairment analysis by:</w:t>
      </w:r>
    </w:p>
    <w:p>
      <w:pPr>
        <w:spacing w:after="0" w:line="232" w:lineRule="exact"/>
        <w:rPr>
          <w:rFonts w:ascii="Arial" w:cs="Arial" w:eastAsia="Arial" w:hAnsi="Arial"/>
          <w:sz w:val="17"/>
          <w:szCs w:val="17"/>
          <w:color w:val="auto"/>
        </w:rPr>
      </w:pPr>
    </w:p>
    <w:p>
      <w:pPr>
        <w:jc w:val="both"/>
        <w:ind w:left="1240" w:hanging="309"/>
        <w:spacing w:after="0" w:line="290" w:lineRule="auto"/>
        <w:tabs>
          <w:tab w:leader="none" w:pos="1236" w:val="left"/>
        </w:tabs>
        <w:numPr>
          <w:ilvl w:val="1"/>
          <w:numId w:val="36"/>
        </w:numPr>
        <w:rPr>
          <w:rFonts w:ascii="Arial" w:cs="Arial" w:eastAsia="Arial" w:hAnsi="Arial"/>
          <w:sz w:val="16"/>
          <w:szCs w:val="16"/>
          <w:color w:val="auto"/>
        </w:rPr>
      </w:pPr>
      <w:r>
        <w:rPr>
          <w:rFonts w:ascii="Arial" w:cs="Arial" w:eastAsia="Arial" w:hAnsi="Arial"/>
          <w:sz w:val="16"/>
          <w:szCs w:val="16"/>
          <w:color w:val="auto"/>
        </w:rPr>
        <w:t>Searching for adverse asset-specific and/or market conditions by reviewing publicly available information on home values and land values in the surrounding regions of the development, periodicals and news information relating to the Southern California housing market, other independent market data, including considerations of the demand for housing in the market and changes to comparable home prices</w:t>
      </w:r>
    </w:p>
    <w:p>
      <w:pPr>
        <w:spacing w:after="0" w:line="183" w:lineRule="exact"/>
        <w:rPr>
          <w:rFonts w:ascii="Arial" w:cs="Arial" w:eastAsia="Arial" w:hAnsi="Arial"/>
          <w:sz w:val="16"/>
          <w:szCs w:val="16"/>
          <w:color w:val="auto"/>
        </w:rPr>
      </w:pPr>
    </w:p>
    <w:p>
      <w:pPr>
        <w:jc w:val="both"/>
        <w:ind w:left="1240" w:hanging="309"/>
        <w:spacing w:after="0" w:line="266" w:lineRule="auto"/>
        <w:tabs>
          <w:tab w:leader="none" w:pos="12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Obtaining information from legal counsel and performing inquiries with management in order to evaluate any changes in the status of litigation matters affecting the development properties and the potential impact on the ability to recover the accumulated costs, including any relevant government regulations and/or other matters impacting the entitlement process</w:t>
      </w:r>
    </w:p>
    <w:p>
      <w:pPr>
        <w:spacing w:after="0" w:line="200" w:lineRule="exact"/>
        <w:rPr>
          <w:rFonts w:ascii="Arial" w:cs="Arial" w:eastAsia="Arial" w:hAnsi="Arial"/>
          <w:sz w:val="17"/>
          <w:szCs w:val="17"/>
          <w:color w:val="auto"/>
        </w:rPr>
      </w:pPr>
    </w:p>
    <w:p>
      <w:pPr>
        <w:ind w:left="1240" w:hanging="309"/>
        <w:spacing w:after="0" w:line="279" w:lineRule="auto"/>
        <w:tabs>
          <w:tab w:leader="none" w:pos="12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comparable land sales for both commercial and residential lots in the area as well as cost to develop residential lot information and compared it to information used by management</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Developing an independent expectation of impairment indicators and comparing such expectation to management’s analysis</w:t>
      </w:r>
    </w:p>
    <w:p>
      <w:pPr>
        <w:spacing w:after="0" w:line="28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14605</wp:posOffset>
            </wp:positionV>
            <wp:extent cx="2488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January 10,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9"/>
          <w:szCs w:val="19"/>
          <w:b w:val="1"/>
          <w:bCs w:val="1"/>
          <w:color w:val="auto"/>
        </w:rPr>
        <w:t>LIMONEIRA COMPANY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October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17,483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16,261</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Cultural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6,865</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10,709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10,688</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Receivables/other from related parties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2,294</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Income taxes receivable</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5,911</w:t>
            </w:r>
          </w:p>
        </w:tc>
        <w:tc>
          <w:tcPr>
            <w:tcW w:w="0" w:type="dxa"/>
            <w:vAlign w:val="bottom"/>
          </w:tcPr>
          <w:p>
            <w:pPr>
              <w:spacing w:after="0"/>
              <w:rPr>
                <w:sz w:val="1"/>
                <w:szCs w:val="1"/>
                <w:color w:val="auto"/>
              </w:rPr>
            </w:pPr>
          </w:p>
        </w:tc>
      </w:tr>
      <w:tr>
        <w:trPr>
          <w:trHeight w:val="202"/>
        </w:trPr>
        <w:tc>
          <w:tcPr>
            <w:tcW w:w="85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current assets</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42,089</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42,520</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242,420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242,649</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Real estate development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21,636</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5"/>
                <w:szCs w:val="15"/>
                <w:color w:val="auto"/>
              </w:rPr>
              <w:t>Equity in investments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64,072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61,214</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11,309</w:t>
            </w:r>
          </w:p>
        </w:tc>
        <w:tc>
          <w:tcPr>
            <w:tcW w:w="0" w:type="dxa"/>
            <w:vAlign w:val="bottom"/>
          </w:tcPr>
          <w:p>
            <w:pPr>
              <w:spacing w:after="0"/>
              <w:rPr>
                <w:sz w:val="1"/>
                <w:szCs w:val="1"/>
                <w:color w:val="auto"/>
              </w:rPr>
            </w:pPr>
          </w:p>
        </w:tc>
      </w:tr>
      <w:tr>
        <w:trPr>
          <w:trHeight w:val="206"/>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8,737</w:t>
            </w:r>
          </w:p>
        </w:tc>
        <w:tc>
          <w:tcPr>
            <w:tcW w:w="0" w:type="dxa"/>
            <w:vAlign w:val="bottom"/>
          </w:tcPr>
          <w:p>
            <w:pPr>
              <w:spacing w:after="0"/>
              <w:rPr>
                <w:sz w:val="1"/>
                <w:szCs w:val="1"/>
                <w:color w:val="auto"/>
              </w:rPr>
            </w:pPr>
          </w:p>
        </w:tc>
      </w:tr>
      <w:tr>
        <w:trPr>
          <w:trHeight w:val="202"/>
        </w:trPr>
        <w:tc>
          <w:tcPr>
            <w:tcW w:w="8560" w:type="dxa"/>
            <w:vAlign w:val="bottom"/>
          </w:tcPr>
          <w:p>
            <w:pPr>
              <w:ind w:left="64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392,276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389,600</w:t>
            </w:r>
          </w:p>
        </w:tc>
        <w:tc>
          <w:tcPr>
            <w:tcW w:w="0" w:type="dxa"/>
            <w:vAlign w:val="bottom"/>
          </w:tcPr>
          <w:p>
            <w:pPr>
              <w:spacing w:after="0"/>
              <w:rPr>
                <w:sz w:val="1"/>
                <w:szCs w:val="1"/>
                <w:color w:val="auto"/>
              </w:rPr>
            </w:pPr>
          </w:p>
        </w:tc>
      </w:tr>
      <w:tr>
        <w:trPr>
          <w:trHeight w:val="37"/>
        </w:trPr>
        <w:tc>
          <w:tcPr>
            <w:tcW w:w="8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8560" w:type="dxa"/>
            <w:vAlign w:val="bottom"/>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8,963</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5,838</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Growers and suppliers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8,126</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Accrued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7,947</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Payables to related parties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6,273</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Current portion of long-term debt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3,277</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760"/>
              <w:spacing w:after="0"/>
              <w:rPr>
                <w:sz w:val="20"/>
                <w:szCs w:val="20"/>
                <w:color w:val="auto"/>
              </w:rPr>
            </w:pPr>
            <w:r>
              <w:rPr>
                <w:rFonts w:ascii="Arial" w:cs="Arial" w:eastAsia="Arial" w:hAnsi="Arial"/>
                <w:sz w:val="15"/>
                <w:szCs w:val="15"/>
                <w:color w:val="auto"/>
              </w:rPr>
              <w:t>Total current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35,324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31,461</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5"/>
                <w:szCs w:val="15"/>
                <w:color w:val="auto"/>
              </w:rPr>
              <w:t>Long-term 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Long-term debt, less current portion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130,353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122,571</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Deferred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22,853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22,430</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6,568</w:t>
            </w:r>
          </w:p>
        </w:tc>
        <w:tc>
          <w:tcPr>
            <w:tcW w:w="0" w:type="dxa"/>
            <w:vAlign w:val="bottom"/>
          </w:tcPr>
          <w:p>
            <w:pPr>
              <w:spacing w:after="0"/>
              <w:rPr>
                <w:sz w:val="1"/>
                <w:szCs w:val="1"/>
                <w:color w:val="auto"/>
              </w:rPr>
            </w:pPr>
          </w:p>
        </w:tc>
      </w:tr>
      <w:tr>
        <w:trPr>
          <w:trHeight w:val="196"/>
        </w:trPr>
        <w:tc>
          <w:tcPr>
            <w:tcW w:w="8560" w:type="dxa"/>
            <w:vAlign w:val="bottom"/>
          </w:tcPr>
          <w:p>
            <w:pPr>
              <w:ind w:left="760"/>
              <w:spacing w:after="0"/>
              <w:rPr>
                <w:sz w:val="20"/>
                <w:szCs w:val="20"/>
                <w:color w:val="auto"/>
              </w:rPr>
            </w:pPr>
            <w:r>
              <w:rPr>
                <w:rFonts w:ascii="Arial" w:cs="Arial" w:eastAsia="Arial" w:hAnsi="Arial"/>
                <w:sz w:val="15"/>
                <w:szCs w:val="15"/>
                <w:color w:val="auto"/>
              </w:rPr>
              <w:t>Total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193,031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183,030</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8560" w:type="dxa"/>
            <w:vAlign w:val="bottom"/>
          </w:tcPr>
          <w:p>
            <w:pPr>
              <w:ind w:left="20"/>
              <w:spacing w:after="0" w:line="160" w:lineRule="exact"/>
              <w:rPr>
                <w:sz w:val="20"/>
                <w:szCs w:val="20"/>
                <w:color w:val="auto"/>
              </w:rPr>
            </w:pPr>
            <w:r>
              <w:rPr>
                <w:rFonts w:ascii="Arial" w:cs="Arial" w:eastAsia="Arial" w:hAnsi="Arial"/>
                <w:sz w:val="15"/>
                <w:szCs w:val="15"/>
                <w:color w:val="auto"/>
                <w:w w:val="92"/>
              </w:rPr>
              <w:t>Series B Convertible Preferred Stock – $100.00 par value (50,000 shares authorized: 14,790 shares issued and outstanding at October 31,</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1,479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1,479</w:t>
            </w:r>
          </w:p>
        </w:tc>
        <w:tc>
          <w:tcPr>
            <w:tcW w:w="0" w:type="dxa"/>
            <w:vAlign w:val="bottom"/>
          </w:tcPr>
          <w:p>
            <w:pPr>
              <w:spacing w:after="0"/>
              <w:rPr>
                <w:sz w:val="1"/>
                <w:szCs w:val="1"/>
                <w:color w:val="auto"/>
              </w:rPr>
            </w:pPr>
          </w:p>
        </w:tc>
      </w:tr>
      <w:tr>
        <w:trPr>
          <w:trHeight w:val="199"/>
        </w:trPr>
        <w:tc>
          <w:tcPr>
            <w:tcW w:w="8560" w:type="dxa"/>
            <w:vAlign w:val="bottom"/>
          </w:tcPr>
          <w:p>
            <w:pPr>
              <w:ind w:left="20"/>
              <w:spacing w:after="0"/>
              <w:rPr>
                <w:sz w:val="20"/>
                <w:szCs w:val="20"/>
                <w:color w:val="auto"/>
              </w:rPr>
            </w:pPr>
            <w:r>
              <w:rPr>
                <w:rFonts w:ascii="Arial" w:cs="Arial" w:eastAsia="Arial" w:hAnsi="Arial"/>
                <w:sz w:val="15"/>
                <w:szCs w:val="15"/>
                <w:color w:val="auto"/>
              </w:rPr>
              <w:t>2021 and 2020) (8.75% coupon rate)</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4"/>
              </w:rPr>
              <w:t>Series B-2 Convertible Preferred Stock – $100.00 par value (10,000 shares authorized: 9,300 shares issued and outstanding at October</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9,331</w:t>
            </w: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31, 2021 and 2020) (4% dividend rate on liquidation value of $1,000 per share)</w:t>
            </w: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w w:val="94"/>
              </w:rPr>
              <w:t>Series A Junior Participating Preferred Stock – $0.01 par value (20,000 shares authorized: zero issued or outstanding at October 31,</w:t>
            </w:r>
          </w:p>
        </w:tc>
        <w:tc>
          <w:tcPr>
            <w:tcW w:w="3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2021 and 2020)</w:t>
            </w:r>
          </w:p>
        </w:tc>
        <w:tc>
          <w:tcPr>
            <w:tcW w:w="3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560" w:type="dxa"/>
            <w:vAlign w:val="bottom"/>
          </w:tcPr>
          <w:p>
            <w:pPr>
              <w:ind w:left="220"/>
              <w:spacing w:after="0" w:line="160" w:lineRule="exact"/>
              <w:rPr>
                <w:sz w:val="20"/>
                <w:szCs w:val="20"/>
                <w:color w:val="auto"/>
              </w:rPr>
            </w:pPr>
            <w:r>
              <w:rPr>
                <w:rFonts w:ascii="Arial" w:cs="Arial" w:eastAsia="Arial" w:hAnsi="Arial"/>
                <w:sz w:val="15"/>
                <w:szCs w:val="15"/>
                <w:color w:val="auto"/>
                <w:w w:val="97"/>
              </w:rPr>
              <w:t>Common Stock – $0.01 par value (39,000,000 shares authorized: 17,936,377 and 17,857,707 shares issued and 17,685,400 and</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99"/>
        </w:trPr>
        <w:tc>
          <w:tcPr>
            <w:tcW w:w="8560" w:type="dxa"/>
            <w:vAlign w:val="bottom"/>
          </w:tcPr>
          <w:p>
            <w:pPr>
              <w:ind w:left="220"/>
              <w:spacing w:after="0"/>
              <w:rPr>
                <w:sz w:val="20"/>
                <w:szCs w:val="20"/>
                <w:color w:val="auto"/>
              </w:rPr>
            </w:pPr>
            <w:r>
              <w:rPr>
                <w:rFonts w:ascii="Arial" w:cs="Arial" w:eastAsia="Arial" w:hAnsi="Arial"/>
                <w:sz w:val="15"/>
                <w:szCs w:val="15"/>
                <w:color w:val="auto"/>
              </w:rPr>
              <w:t>17,606,730 shares outstanding at October 31, 2021 and 2020, respectively)</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163,965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162,084</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Retained earnings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21,552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30,797</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(7,548)</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5"/>
                <w:szCs w:val="15"/>
                <w:color w:val="auto"/>
              </w:rPr>
              <w:t>Treasury stock, at cost, 250,977 shares at October 31, 2021 and 2020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(3,493)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11,965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13,741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188,435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195,760</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392,276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389,600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9"/>
          <w:szCs w:val="19"/>
          <w:b w:val="1"/>
          <w:bCs w:val="1"/>
          <w:color w:val="auto"/>
        </w:rPr>
        <w:t>LIMONEIRA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in thousands, except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7"/>
                <w:szCs w:val="17"/>
                <w:b w:val="1"/>
                <w:bCs w:val="1"/>
                <w:color w:val="auto"/>
              </w:rPr>
              <w:t>Years Ended October 31,</w:t>
            </w:r>
          </w:p>
        </w:tc>
        <w:tc>
          <w:tcPr>
            <w:tcW w:w="1200" w:type="dxa"/>
            <w:vAlign w:val="bottom"/>
            <w:tcBorders>
              <w:bottom w:val="single" w:sz="8" w:color="auto"/>
            </w:tcBorders>
          </w:tcPr>
          <w:p>
            <w:pPr>
              <w:spacing w:after="0"/>
              <w:rPr>
                <w:sz w:val="19"/>
                <w:szCs w:val="19"/>
                <w:color w:val="auto"/>
              </w:rPr>
            </w:pPr>
          </w:p>
        </w:tc>
      </w:tr>
      <w:tr>
        <w:trPr>
          <w:trHeight w:val="213"/>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8"/>
        </w:trPr>
        <w:tc>
          <w:tcPr>
            <w:tcW w:w="6400" w:type="dxa"/>
            <w:vAlign w:val="bottom"/>
          </w:tcPr>
          <w:p>
            <w:pPr>
              <w:ind w:left="220"/>
              <w:spacing w:after="0"/>
              <w:rPr>
                <w:sz w:val="20"/>
                <w:szCs w:val="20"/>
                <w:color w:val="auto"/>
              </w:rPr>
            </w:pPr>
            <w:r>
              <w:rPr>
                <w:rFonts w:ascii="Arial" w:cs="Arial" w:eastAsia="Arial" w:hAnsi="Arial"/>
                <w:sz w:val="17"/>
                <w:szCs w:val="17"/>
                <w:color w:val="auto"/>
              </w:rPr>
              <w:t>Agribusiness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161,381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159,937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166,549</w:t>
            </w: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w:t>
            </w:r>
          </w:p>
        </w:tc>
      </w:tr>
      <w:tr>
        <w:trPr>
          <w:trHeight w:val="211"/>
        </w:trPr>
        <w:tc>
          <w:tcPr>
            <w:tcW w:w="640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166,027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171,398</w:t>
            </w:r>
          </w:p>
        </w:tc>
      </w:tr>
      <w:tr>
        <w:trPr>
          <w:trHeight w:val="22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6400" w:type="dxa"/>
            <w:vAlign w:val="bottom"/>
          </w:tcPr>
          <w:p>
            <w:pPr>
              <w:ind w:left="220"/>
              <w:spacing w:after="0"/>
              <w:rPr>
                <w:sz w:val="20"/>
                <w:szCs w:val="20"/>
                <w:color w:val="auto"/>
              </w:rPr>
            </w:pPr>
            <w:r>
              <w:rPr>
                <w:rFonts w:ascii="Arial" w:cs="Arial" w:eastAsia="Arial" w:hAnsi="Arial"/>
                <w:sz w:val="17"/>
                <w:szCs w:val="17"/>
                <w:color w:val="auto"/>
              </w:rPr>
              <w:t>Agribusiness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148,492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157,281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152,372</w:t>
            </w: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r>
      <w:tr>
        <w:trPr>
          <w:trHeight w:val="218"/>
        </w:trPr>
        <w:tc>
          <w:tcPr>
            <w:tcW w:w="6400" w:type="dxa"/>
            <w:vAlign w:val="bottom"/>
          </w:tcPr>
          <w:p>
            <w:pPr>
              <w:ind w:left="220"/>
              <w:spacing w:after="0"/>
              <w:rPr>
                <w:sz w:val="20"/>
                <w:szCs w:val="20"/>
                <w:color w:val="auto"/>
              </w:rPr>
            </w:pPr>
            <w:r>
              <w:rPr>
                <w:rFonts w:ascii="Arial" w:cs="Arial" w:eastAsia="Arial" w:hAnsi="Arial"/>
                <w:sz w:val="17"/>
                <w:szCs w:val="17"/>
                <w:color w:val="auto"/>
              </w:rPr>
              <w:t>Loss (gain) on disposal of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(1,069)</w:t>
            </w: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21,170</w:t>
            </w:r>
          </w:p>
        </w:tc>
      </w:tr>
      <w:tr>
        <w:trPr>
          <w:trHeight w:val="211"/>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costs and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176,912</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(5,514)</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18"/>
        </w:trPr>
        <w:tc>
          <w:tcPr>
            <w:tcW w:w="6400" w:type="dxa"/>
            <w:vAlign w:val="bottom"/>
          </w:tcPr>
          <w:p>
            <w:pPr>
              <w:ind w:left="220"/>
              <w:spacing w:after="0"/>
              <w:rPr>
                <w:sz w:val="20"/>
                <w:szCs w:val="20"/>
                <w:color w:val="auto"/>
              </w:rPr>
            </w:pPr>
            <w:r>
              <w:rPr>
                <w:rFonts w:ascii="Arial" w:cs="Arial" w:eastAsia="Arial" w:hAnsi="Arial"/>
                <w:sz w:val="17"/>
                <w:szCs w:val="17"/>
                <w:color w:val="auto"/>
              </w:rPr>
              <w:t>Interest expense, net of patronage dividends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(2,341)</w:t>
            </w: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 in earnings of investments,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3,073</w:t>
            </w:r>
          </w:p>
        </w:tc>
      </w:tr>
      <w:tr>
        <w:trPr>
          <w:trHeight w:val="218"/>
        </w:trPr>
        <w:tc>
          <w:tcPr>
            <w:tcW w:w="6400" w:type="dxa"/>
            <w:vAlign w:val="bottom"/>
          </w:tcPr>
          <w:p>
            <w:pPr>
              <w:ind w:left="220"/>
              <w:spacing w:after="0"/>
              <w:rPr>
                <w:sz w:val="20"/>
                <w:szCs w:val="20"/>
                <w:color w:val="auto"/>
              </w:rPr>
            </w:pPr>
            <w:r>
              <w:rPr>
                <w:rFonts w:ascii="Arial" w:cs="Arial" w:eastAsia="Arial" w:hAnsi="Arial"/>
                <w:sz w:val="17"/>
                <w:szCs w:val="17"/>
                <w:color w:val="auto"/>
              </w:rPr>
              <w:t>Loss on stock in Calavo Growers, Inc.</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(2,117)</w:t>
            </w:r>
          </w:p>
        </w:tc>
      </w:tr>
      <w:tr>
        <w:trPr>
          <w:trHeight w:val="220"/>
        </w:trPr>
        <w:tc>
          <w:tcPr>
            <w:tcW w:w="6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11"/>
        </w:trPr>
        <w:tc>
          <w:tcPr>
            <w:tcW w:w="6400" w:type="dxa"/>
            <w:vAlign w:val="bottom"/>
          </w:tcPr>
          <w:p>
            <w:pPr>
              <w:ind w:left="20"/>
              <w:spacing w:after="0"/>
              <w:rPr>
                <w:sz w:val="20"/>
                <w:szCs w:val="20"/>
                <w:color w:val="auto"/>
              </w:rPr>
            </w:pPr>
            <w:r>
              <w:rPr>
                <w:rFonts w:ascii="Arial" w:cs="Arial" w:eastAsia="Arial" w:hAnsi="Arial"/>
                <w:sz w:val="17"/>
                <w:szCs w:val="17"/>
                <w:color w:val="auto"/>
              </w:rPr>
              <w:t>Total other income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(1,049)</w:t>
            </w:r>
          </w:p>
        </w:tc>
      </w:tr>
      <w:tr>
        <w:trPr>
          <w:trHeight w:val="246"/>
        </w:trPr>
        <w:tc>
          <w:tcPr>
            <w:tcW w:w="6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Loss before income tax benefit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(6,563)</w:t>
            </w:r>
          </w:p>
        </w:tc>
      </w:tr>
      <w:tr>
        <w:trPr>
          <w:trHeight w:val="246"/>
        </w:trPr>
        <w:tc>
          <w:tcPr>
            <w:tcW w:w="6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(5,466)</w:t>
            </w:r>
          </w:p>
        </w:tc>
      </w:tr>
      <w:tr>
        <w:trPr>
          <w:trHeight w:val="21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(income) attributable to noncontrolling interest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attributable to Limoneira Company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(5,943)</w:t>
            </w:r>
          </w:p>
        </w:tc>
      </w:tr>
      <w:tr>
        <w:trPr>
          <w:trHeight w:val="21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Preferred dividends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applicable to common stock</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loss per common share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loss per common share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17,580,000</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17,555,000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17,666,000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17,580,000</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9"/>
          <w:szCs w:val="19"/>
          <w:b w:val="1"/>
          <w:bCs w:val="1"/>
          <w:color w:val="auto"/>
        </w:rPr>
        <w:t>LIMONEIRA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COMPREHENSIVE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7"/>
                <w:szCs w:val="17"/>
                <w:b w:val="1"/>
                <w:bCs w:val="1"/>
                <w:color w:val="auto"/>
              </w:rPr>
              <w:t>Years Ended October 31,</w:t>
            </w:r>
          </w:p>
        </w:tc>
        <w:tc>
          <w:tcPr>
            <w:tcW w:w="980" w:type="dxa"/>
            <w:vAlign w:val="bottom"/>
            <w:tcBorders>
              <w:bottom w:val="single" w:sz="8" w:color="auto"/>
            </w:tcBorders>
          </w:tcPr>
          <w:p>
            <w:pPr>
              <w:spacing w:after="0"/>
              <w:rPr>
                <w:sz w:val="19"/>
                <w:szCs w:val="19"/>
                <w:color w:val="auto"/>
              </w:rPr>
            </w:pPr>
          </w:p>
        </w:tc>
      </w:tr>
      <w:tr>
        <w:trPr>
          <w:trHeight w:val="213"/>
        </w:trPr>
        <w:tc>
          <w:tcPr>
            <w:tcW w:w="7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2"/>
        </w:trPr>
        <w:tc>
          <w:tcPr>
            <w:tcW w:w="7100" w:type="dxa"/>
            <w:vAlign w:val="bottom"/>
            <w:shd w:val="clear" w:color="auto" w:fill="BFE4FF"/>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shd w:val="clear" w:color="auto" w:fill="BFE4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(3,897)</w:t>
            </w:r>
          </w:p>
        </w:tc>
        <w:tc>
          <w:tcPr>
            <w:tcW w:w="120" w:type="dxa"/>
            <w:vAlign w:val="bottom"/>
            <w:shd w:val="clear" w:color="auto" w:fill="BFE4FF"/>
          </w:tcPr>
          <w:p>
            <w:pPr>
              <w:spacing w:after="0"/>
              <w:rPr>
                <w:sz w:val="18"/>
                <w:szCs w:val="18"/>
                <w:color w:val="auto"/>
              </w:rPr>
            </w:pPr>
          </w:p>
        </w:tc>
        <w:tc>
          <w:tcPr>
            <w:tcW w:w="280" w:type="dxa"/>
            <w:vAlign w:val="bottom"/>
            <w:shd w:val="clear" w:color="auto" w:fill="BFE4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(17,941)</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34"/>
              <w:spacing w:after="0"/>
              <w:rPr>
                <w:sz w:val="20"/>
                <w:szCs w:val="20"/>
                <w:color w:val="auto"/>
              </w:rPr>
            </w:pPr>
            <w:r>
              <w:rPr>
                <w:rFonts w:ascii="Arial" w:cs="Arial" w:eastAsia="Arial" w:hAnsi="Arial"/>
                <w:sz w:val="17"/>
                <w:szCs w:val="17"/>
                <w:color w:val="auto"/>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(5,466)</w:t>
            </w:r>
          </w:p>
        </w:tc>
      </w:tr>
      <w:tr>
        <w:trPr>
          <w:trHeight w:val="218"/>
        </w:trPr>
        <w:tc>
          <w:tcPr>
            <w:tcW w:w="71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7100" w:type="dxa"/>
            <w:vAlign w:val="bottom"/>
            <w:shd w:val="clear" w:color="auto" w:fill="BFE4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(685)</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(707)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(1,103)</w:t>
            </w:r>
          </w:p>
        </w:tc>
      </w:tr>
      <w:tr>
        <w:trPr>
          <w:trHeight w:val="218"/>
        </w:trPr>
        <w:tc>
          <w:tcPr>
            <w:tcW w:w="7100" w:type="dxa"/>
            <w:vAlign w:val="bottom"/>
          </w:tcPr>
          <w:p>
            <w:pPr>
              <w:ind w:left="20"/>
              <w:spacing w:after="0"/>
              <w:rPr>
                <w:sz w:val="20"/>
                <w:szCs w:val="20"/>
                <w:color w:val="auto"/>
              </w:rPr>
            </w:pPr>
            <w:r>
              <w:rPr>
                <w:rFonts w:ascii="Arial" w:cs="Arial" w:eastAsia="Arial" w:hAnsi="Arial"/>
                <w:sz w:val="17"/>
                <w:szCs w:val="17"/>
                <w:color w:val="auto"/>
              </w:rPr>
              <w:t>Minimum pension liability adjustments, net of tax of $940, $(69) and $(252)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(607)</w:t>
            </w:r>
          </w:p>
        </w:tc>
      </w:tr>
      <w:tr>
        <w:trPr>
          <w:trHeight w:val="220"/>
        </w:trPr>
        <w:tc>
          <w:tcPr>
            <w:tcW w:w="7100" w:type="dxa"/>
            <w:vAlign w:val="bottom"/>
            <w:shd w:val="clear" w:color="auto" w:fill="BFE4FF"/>
          </w:tcPr>
          <w:p>
            <w:pPr>
              <w:ind w:left="20"/>
              <w:spacing w:after="0"/>
              <w:rPr>
                <w:sz w:val="20"/>
                <w:szCs w:val="20"/>
                <w:color w:val="auto"/>
              </w:rPr>
            </w:pPr>
            <w:r>
              <w:rPr>
                <w:rFonts w:ascii="Arial" w:cs="Arial" w:eastAsia="Arial" w:hAnsi="Arial"/>
                <w:sz w:val="17"/>
                <w:szCs w:val="17"/>
                <w:color w:val="auto"/>
              </w:rPr>
              <w:t>Residual state tax effects on sale of equity securities</w:t>
            </w:r>
          </w:p>
        </w:tc>
        <w:tc>
          <w:tcPr>
            <w:tcW w:w="28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10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Total other comprehensive income (loss), net of tax</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1,815</w:t>
            </w:r>
          </w:p>
        </w:tc>
        <w:tc>
          <w:tcPr>
            <w:tcW w:w="120" w:type="dxa"/>
            <w:vAlign w:val="bottom"/>
            <w:tcBorders>
              <w:bottom w:val="single" w:sz="8" w:color="BFE4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Borders>
              <w:bottom w:val="single" w:sz="8" w:color="BFE4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(1,710)</w:t>
            </w:r>
          </w:p>
        </w:tc>
      </w:tr>
      <w:tr>
        <w:trPr>
          <w:trHeight w:val="213"/>
        </w:trPr>
        <w:tc>
          <w:tcPr>
            <w:tcW w:w="710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Comprehensive loss</w:t>
            </w:r>
          </w:p>
        </w:tc>
        <w:tc>
          <w:tcPr>
            <w:tcW w:w="280" w:type="dxa"/>
            <w:vAlign w:val="bottom"/>
            <w:tcBorders>
              <w:bottom w:val="single" w:sz="8" w:color="auto"/>
            </w:tcBorders>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(2,082)</w:t>
            </w:r>
          </w:p>
        </w:tc>
        <w:tc>
          <w:tcPr>
            <w:tcW w:w="120" w:type="dxa"/>
            <w:vAlign w:val="bottom"/>
            <w:shd w:val="clear" w:color="auto" w:fill="BFE4FF"/>
          </w:tcPr>
          <w:p>
            <w:pPr>
              <w:spacing w:after="0"/>
              <w:rPr>
                <w:sz w:val="18"/>
                <w:szCs w:val="18"/>
                <w:color w:val="auto"/>
              </w:rPr>
            </w:pPr>
          </w:p>
        </w:tc>
        <w:tc>
          <w:tcPr>
            <w:tcW w:w="280" w:type="dxa"/>
            <w:vAlign w:val="bottom"/>
            <w:tcBorders>
              <w:bottom w:val="single" w:sz="8" w:color="auto"/>
            </w:tcBorders>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(18,234)</w:t>
            </w:r>
          </w:p>
        </w:tc>
        <w:tc>
          <w:tcPr>
            <w:tcW w:w="10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(7,176)</w:t>
            </w:r>
          </w:p>
        </w:tc>
      </w:tr>
      <w:tr>
        <w:trPr>
          <w:trHeight w:val="211"/>
        </w:trPr>
        <w:tc>
          <w:tcPr>
            <w:tcW w:w="710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Comprehensive loss attributable to noncontrolling interest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1,536</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r>
      <w:tr>
        <w:trPr>
          <w:trHeight w:val="238"/>
        </w:trPr>
        <w:tc>
          <w:tcPr>
            <w:tcW w:w="7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Comprehensive loss attributable to Limoneira Company</w:t>
            </w:r>
          </w:p>
        </w:tc>
        <w:tc>
          <w:tcPr>
            <w:tcW w:w="280" w:type="dxa"/>
            <w:vAlign w:val="bottom"/>
            <w:tcBorders>
              <w:bottom w:val="single" w:sz="8" w:color="auto"/>
            </w:tcBorders>
            <w:shd w:val="clear" w:color="auto" w:fill="BFE4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(1,637)</w:t>
            </w:r>
          </w:p>
        </w:tc>
        <w:tc>
          <w:tcPr>
            <w:tcW w:w="12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auto"/>
            </w:tcBorders>
            <w:shd w:val="clear" w:color="auto" w:fill="BFE4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(16,698)</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(6,738)</w:t>
            </w:r>
          </w:p>
        </w:tc>
      </w:tr>
      <w:tr>
        <w:trPr>
          <w:trHeight w:val="20"/>
        </w:trPr>
        <w:tc>
          <w:tcPr>
            <w:tcW w:w="7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9"/>
          <w:szCs w:val="19"/>
          <w:b w:val="1"/>
          <w:bCs w:val="1"/>
          <w:color w:val="auto"/>
        </w:rPr>
        <w:t>LIMONEIRA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STOCKHOLDERS’ EQUITY AND TEMPORARY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4"/>
              </w:rPr>
              <w:t>Series B</w:t>
            </w:r>
          </w:p>
        </w:tc>
        <w:tc>
          <w:tcPr>
            <w:tcW w:w="120" w:type="dxa"/>
            <w:vAlign w:val="bottom"/>
          </w:tcPr>
          <w:p>
            <w:pPr>
              <w:spacing w:after="0"/>
              <w:rPr>
                <w:sz w:val="11"/>
                <w:szCs w:val="11"/>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87"/>
              </w:rPr>
              <w:t>Series B-2</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700" w:type="dxa"/>
            <w:vAlign w:val="bottom"/>
            <w:gridSpan w:val="4"/>
            <w:vMerge w:val="restart"/>
          </w:tcPr>
          <w:p>
            <w:pPr>
              <w:jc w:val="right"/>
              <w:ind w:righ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70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Comprehensive</w:t>
            </w: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15"/>
                <w:szCs w:val="15"/>
                <w:color w:val="auto"/>
              </w:rPr>
            </w:pPr>
          </w:p>
        </w:tc>
        <w:tc>
          <w:tcPr>
            <w:tcW w:w="720" w:type="dxa"/>
            <w:vAlign w:val="bottom"/>
          </w:tcPr>
          <w:p>
            <w:pPr>
              <w:jc w:val="center"/>
              <w:ind w:right="39"/>
              <w:spacing w:after="0"/>
              <w:rPr>
                <w:sz w:val="20"/>
                <w:szCs w:val="20"/>
                <w:color w:val="auto"/>
              </w:rPr>
            </w:pPr>
            <w:r>
              <w:rPr>
                <w:rFonts w:ascii="Arial" w:cs="Arial" w:eastAsia="Arial" w:hAnsi="Arial"/>
                <w:sz w:val="13"/>
                <w:szCs w:val="13"/>
                <w:b w:val="1"/>
                <w:bCs w:val="1"/>
                <w:color w:val="auto"/>
                <w:w w:val="93"/>
              </w:rPr>
              <w:t>Preferred</w:t>
            </w: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Income (Loss)</w:t>
            </w:r>
          </w:p>
        </w:tc>
        <w:tc>
          <w:tcPr>
            <w:tcW w:w="1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720" w:type="dxa"/>
            <w:vAlign w:val="bottom"/>
          </w:tcPr>
          <w:p>
            <w:pPr>
              <w:jc w:val="center"/>
              <w:ind w:right="39"/>
              <w:spacing w:after="0"/>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67"/>
        </w:trPr>
        <w:tc>
          <w:tcPr>
            <w:tcW w:w="18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2"/>
                <w:szCs w:val="12"/>
                <w:color w:val="auto"/>
              </w:rPr>
              <w:t>Balance at October 31, 2018</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17,647,135</w:t>
            </w:r>
          </w:p>
        </w:tc>
        <w:tc>
          <w:tcPr>
            <w:tcW w:w="100" w:type="dxa"/>
            <w:vAlign w:val="bottom"/>
            <w:tcBorders>
              <w:top w:val="single" w:sz="8" w:color="BFE4FF"/>
            </w:tcBorders>
            <w:shd w:val="clear" w:color="auto" w:fill="BFE4FF"/>
          </w:tcPr>
          <w:p>
            <w:pPr>
              <w:spacing w:after="0"/>
              <w:rPr>
                <w:sz w:val="14"/>
                <w:szCs w:val="14"/>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176</w:t>
            </w:r>
          </w:p>
        </w:tc>
        <w:tc>
          <w:tcPr>
            <w:tcW w:w="120" w:type="dxa"/>
            <w:vAlign w:val="bottom"/>
            <w:tcBorders>
              <w:top w:val="single" w:sz="8" w:color="BFE4FF"/>
            </w:tcBorders>
            <w:shd w:val="clear" w:color="auto" w:fill="BFE4FF"/>
          </w:tcPr>
          <w:p>
            <w:pPr>
              <w:spacing w:after="0"/>
              <w:rPr>
                <w:sz w:val="14"/>
                <w:szCs w:val="14"/>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159,071</w:t>
            </w:r>
          </w:p>
        </w:tc>
        <w:tc>
          <w:tcPr>
            <w:tcW w:w="100" w:type="dxa"/>
            <w:vAlign w:val="bottom"/>
            <w:tcBorders>
              <w:top w:val="single" w:sz="8" w:color="BFE4FF"/>
            </w:tcBorders>
            <w:shd w:val="clear" w:color="auto" w:fill="BFE4FF"/>
          </w:tcPr>
          <w:p>
            <w:pPr>
              <w:spacing w:after="0"/>
              <w:rPr>
                <w:sz w:val="14"/>
                <w:szCs w:val="14"/>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50,354</w:t>
            </w:r>
          </w:p>
        </w:tc>
        <w:tc>
          <w:tcPr>
            <w:tcW w:w="100" w:type="dxa"/>
            <w:vAlign w:val="bottom"/>
            <w:tcBorders>
              <w:top w:val="single" w:sz="8" w:color="BFE4FF"/>
            </w:tcBorders>
            <w:shd w:val="clear" w:color="auto" w:fill="BFE4FF"/>
          </w:tcPr>
          <w:p>
            <w:pPr>
              <w:spacing w:after="0"/>
              <w:rPr>
                <w:sz w:val="14"/>
                <w:szCs w:val="14"/>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8,965</w:t>
            </w:r>
          </w:p>
        </w:tc>
        <w:tc>
          <w:tcPr>
            <w:tcW w:w="100" w:type="dxa"/>
            <w:vAlign w:val="bottom"/>
            <w:tcBorders>
              <w:top w:val="single" w:sz="8" w:color="BFE4FF"/>
            </w:tcBorders>
            <w:shd w:val="clear" w:color="auto" w:fill="BFE4FF"/>
          </w:tcPr>
          <w:p>
            <w:pPr>
              <w:spacing w:after="0"/>
              <w:rPr>
                <w:sz w:val="14"/>
                <w:szCs w:val="14"/>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BFE4FF"/>
            </w:tcBorders>
            <w:shd w:val="clear" w:color="auto" w:fill="BFE4FF"/>
          </w:tcPr>
          <w:p>
            <w:pPr>
              <w:spacing w:after="0"/>
              <w:rPr>
                <w:sz w:val="14"/>
                <w:szCs w:val="14"/>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574</w:t>
            </w:r>
          </w:p>
        </w:tc>
        <w:tc>
          <w:tcPr>
            <w:tcW w:w="120" w:type="dxa"/>
            <w:vAlign w:val="bottom"/>
            <w:tcBorders>
              <w:top w:val="single" w:sz="8" w:color="BFE4FF"/>
            </w:tcBorders>
            <w:shd w:val="clear" w:color="auto" w:fill="BFE4FF"/>
          </w:tcPr>
          <w:p>
            <w:pPr>
              <w:spacing w:after="0"/>
              <w:rPr>
                <w:sz w:val="14"/>
                <w:szCs w:val="14"/>
                <w:color w:val="auto"/>
              </w:rPr>
            </w:pPr>
          </w:p>
        </w:tc>
        <w:tc>
          <w:tcPr>
            <w:tcW w:w="140" w:type="dxa"/>
            <w:vAlign w:val="bottom"/>
            <w:tcBorders>
              <w:top w:val="single" w:sz="8" w:color="auto"/>
            </w:tcBorders>
            <w:shd w:val="clear" w:color="auto" w:fill="BFE4FF"/>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219,140</w:t>
            </w:r>
          </w:p>
        </w:tc>
        <w:tc>
          <w:tcPr>
            <w:tcW w:w="100" w:type="dxa"/>
            <w:vAlign w:val="bottom"/>
            <w:tcBorders>
              <w:top w:val="single" w:sz="8" w:color="BFE4FF"/>
            </w:tcBorders>
            <w:shd w:val="clear" w:color="auto" w:fill="BFE4FF"/>
          </w:tcPr>
          <w:p>
            <w:pPr>
              <w:spacing w:after="0"/>
              <w:rPr>
                <w:sz w:val="14"/>
                <w:szCs w:val="14"/>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1,479</w:t>
            </w:r>
          </w:p>
        </w:tc>
        <w:tc>
          <w:tcPr>
            <w:tcW w:w="100" w:type="dxa"/>
            <w:vAlign w:val="bottom"/>
            <w:tcBorders>
              <w:top w:val="single" w:sz="8" w:color="BFE4FF"/>
            </w:tcBorders>
            <w:shd w:val="clear" w:color="auto" w:fill="BFE4FF"/>
          </w:tcPr>
          <w:p>
            <w:pPr>
              <w:spacing w:after="0"/>
              <w:rPr>
                <w:sz w:val="14"/>
                <w:szCs w:val="14"/>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9,331</w:t>
            </w: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rPr>
              <w:t>Dividends - common ($0.30 per</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(5,331)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(5,331)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Dividends - Series B ($8.75 per</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1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8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8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rPr>
              <w:t>Dividends - Series B-2 ($40 per</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Stock compensation</w:t>
            </w:r>
          </w:p>
        </w:tc>
        <w:tc>
          <w:tcPr>
            <w:tcW w:w="8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145,737</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1,789</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40" w:type="dxa"/>
            <w:vAlign w:val="bottom"/>
            <w:gridSpan w:val="2"/>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1,791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Exchange of common stock</w:t>
            </w:r>
          </w:p>
        </w:tc>
        <w:tc>
          <w:tcPr>
            <w:tcW w:w="840" w:type="dxa"/>
            <w:vAlign w:val="bottom"/>
          </w:tcPr>
          <w:p>
            <w:pPr>
              <w:jc w:val="right"/>
              <w:spacing w:after="0"/>
              <w:rPr>
                <w:sz w:val="20"/>
                <w:szCs w:val="20"/>
                <w:color w:val="auto"/>
              </w:rPr>
            </w:pPr>
            <w:r>
              <w:rPr>
                <w:rFonts w:ascii="Arial" w:cs="Arial" w:eastAsia="Arial" w:hAnsi="Arial"/>
                <w:sz w:val="12"/>
                <w:szCs w:val="12"/>
                <w:color w:val="auto"/>
              </w:rPr>
              <w:t>(36,692)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Acquired noncontrolling interest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5"/>
                <w:szCs w:val="15"/>
                <w:color w:val="auto"/>
              </w:rPr>
            </w:pP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40" w:type="dxa"/>
            <w:vAlign w:val="bottom"/>
            <w:gridSpan w:val="2"/>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14,410</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14,410</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Other comprehensive loss, net of</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108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(1,710)</w:t>
            </w:r>
          </w:p>
        </w:tc>
        <w:tc>
          <w:tcPr>
            <w:tcW w:w="100" w:type="dxa"/>
            <w:vAlign w:val="bottom"/>
            <w:shd w:val="clear" w:color="auto" w:fill="BFE4FF"/>
          </w:tcPr>
          <w:p>
            <w:pPr>
              <w:spacing w:after="0"/>
              <w:rPr>
                <w:sz w:val="10"/>
                <w:szCs w:val="10"/>
                <w:color w:val="auto"/>
              </w:rPr>
            </w:pP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(39)</w:t>
            </w:r>
          </w:p>
        </w:tc>
        <w:tc>
          <w:tcPr>
            <w:tcW w:w="12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(1,749)</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tax</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08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rPr>
              <w:t>Reclassification of unrealized gain</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rPr>
              <w:t>on marketable securities upon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15,921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(15,921)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adoption of ASU 2016-01</w:t>
            </w: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Reclassification upon adoption of</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(1,411)</w:t>
            </w:r>
          </w:p>
        </w:tc>
        <w:tc>
          <w:tcPr>
            <w:tcW w:w="10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08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1,411</w:t>
            </w:r>
          </w:p>
        </w:tc>
        <w:tc>
          <w:tcPr>
            <w:tcW w:w="100" w:type="dxa"/>
            <w:vAlign w:val="bottom"/>
            <w:shd w:val="clear" w:color="auto" w:fill="BFE4FF"/>
          </w:tcPr>
          <w:p>
            <w:pPr>
              <w:spacing w:after="0"/>
              <w:rPr>
                <w:sz w:val="10"/>
                <w:szCs w:val="10"/>
                <w:color w:val="auto"/>
              </w:rPr>
            </w:pP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6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ASU 2018-02</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08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8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6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80" w:type="dxa"/>
            <w:vAlign w:val="bottom"/>
          </w:tcPr>
          <w:p>
            <w:pPr>
              <w:ind w:left="20"/>
              <w:spacing w:after="0"/>
              <w:rPr>
                <w:sz w:val="20"/>
                <w:szCs w:val="20"/>
                <w:color w:val="auto"/>
              </w:rPr>
            </w:pPr>
            <w:r>
              <w:rPr>
                <w:rFonts w:ascii="Arial" w:cs="Arial" w:eastAsia="Arial" w:hAnsi="Arial"/>
                <w:sz w:val="12"/>
                <w:szCs w:val="12"/>
                <w:color w:val="auto"/>
              </w:rPr>
              <w:t>Balance at October 31, 2019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17,756,180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160,254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53,089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(7,255)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15,422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221,688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1,479</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9,331</w:t>
            </w: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Dividends - common ($0.30 per</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(5,356)</w:t>
            </w:r>
          </w:p>
        </w:tc>
        <w:tc>
          <w:tcPr>
            <w:tcW w:w="10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1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(5,356)</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8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8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rPr>
              <w:t>Dividends - Series B ($8.75 per</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Dividends - Series B-2 ($40 per</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1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8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8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Stock compensation</w:t>
            </w:r>
          </w:p>
        </w:tc>
        <w:tc>
          <w:tcPr>
            <w:tcW w:w="840" w:type="dxa"/>
            <w:vAlign w:val="bottom"/>
          </w:tcPr>
          <w:p>
            <w:pPr>
              <w:jc w:val="right"/>
              <w:spacing w:after="0"/>
              <w:rPr>
                <w:sz w:val="20"/>
                <w:szCs w:val="20"/>
                <w:color w:val="auto"/>
              </w:rPr>
            </w:pPr>
            <w:r>
              <w:rPr>
                <w:rFonts w:ascii="Arial" w:cs="Arial" w:eastAsia="Arial" w:hAnsi="Arial"/>
                <w:sz w:val="12"/>
                <w:szCs w:val="12"/>
                <w:color w:val="auto"/>
              </w:rPr>
              <w:t>112,841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Exchange of common stock</w:t>
            </w:r>
          </w:p>
        </w:tc>
        <w:tc>
          <w:tcPr>
            <w:tcW w:w="8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(11,314)</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(213)</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40" w:type="dxa"/>
            <w:vAlign w:val="bottom"/>
            <w:gridSpan w:val="2"/>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(213)</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Noncontrolling interest adjustment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Treasury shares</w:t>
            </w:r>
          </w:p>
        </w:tc>
        <w:tc>
          <w:tcPr>
            <w:tcW w:w="8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(250,977)</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5"/>
                <w:szCs w:val="15"/>
                <w:color w:val="auto"/>
              </w:rPr>
            </w:pP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640" w:type="dxa"/>
            <w:vAlign w:val="bottom"/>
            <w:shd w:val="clear" w:color="auto" w:fill="BFE4FF"/>
          </w:tcPr>
          <w:p>
            <w:pPr>
              <w:ind w:left="280"/>
              <w:spacing w:after="0"/>
              <w:rPr>
                <w:sz w:val="20"/>
                <w:szCs w:val="20"/>
                <w:color w:val="auto"/>
              </w:rPr>
            </w:pPr>
            <w:r>
              <w:rPr>
                <w:rFonts w:ascii="Arial" w:cs="Arial" w:eastAsia="Arial" w:hAnsi="Arial"/>
                <w:sz w:val="12"/>
                <w:szCs w:val="12"/>
                <w:color w:val="auto"/>
                <w:w w:val="89"/>
              </w:rPr>
              <w:t>(3,493)</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(3,493)</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(16,435)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(17,941)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Other comprehensive loss, net of</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108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(293)</w:t>
            </w:r>
          </w:p>
        </w:tc>
        <w:tc>
          <w:tcPr>
            <w:tcW w:w="100" w:type="dxa"/>
            <w:vAlign w:val="bottom"/>
            <w:shd w:val="clear" w:color="auto" w:fill="BFE4FF"/>
          </w:tcPr>
          <w:p>
            <w:pPr>
              <w:spacing w:after="0"/>
              <w:rPr>
                <w:sz w:val="10"/>
                <w:szCs w:val="10"/>
                <w:color w:val="auto"/>
              </w:rPr>
            </w:pP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tax</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08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80" w:type="dxa"/>
            <w:vAlign w:val="bottom"/>
          </w:tcPr>
          <w:p>
            <w:pPr>
              <w:ind w:left="20"/>
              <w:spacing w:after="0"/>
              <w:rPr>
                <w:sz w:val="20"/>
                <w:szCs w:val="20"/>
                <w:color w:val="auto"/>
              </w:rPr>
            </w:pPr>
            <w:r>
              <w:rPr>
                <w:rFonts w:ascii="Arial" w:cs="Arial" w:eastAsia="Arial" w:hAnsi="Arial"/>
                <w:sz w:val="12"/>
                <w:szCs w:val="12"/>
                <w:color w:val="auto"/>
              </w:rPr>
              <w:t>Balance at October 31, 2020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17,606,730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162,084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30,797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(7,548)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280"/>
              <w:spacing w:after="0"/>
              <w:rPr>
                <w:sz w:val="20"/>
                <w:szCs w:val="20"/>
                <w:color w:val="auto"/>
              </w:rPr>
            </w:pPr>
            <w:r>
              <w:rPr>
                <w:rFonts w:ascii="Arial" w:cs="Arial" w:eastAsia="Arial" w:hAnsi="Arial"/>
                <w:sz w:val="12"/>
                <w:szCs w:val="12"/>
                <w:color w:val="auto"/>
                <w:w w:val="89"/>
              </w:rPr>
              <w:t>(3,493)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13,741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195,760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1,479</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9,331</w:t>
            </w: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Dividends - common ($0.30 per</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(5,303)</w:t>
            </w:r>
          </w:p>
        </w:tc>
        <w:tc>
          <w:tcPr>
            <w:tcW w:w="10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1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(5,303)</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8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8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rPr>
              <w:t>Dividends - Series B ($8.75 per</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shd w:val="clear" w:color="auto" w:fill="BFE4FF"/>
          </w:tcPr>
          <w:p>
            <w:pPr>
              <w:ind w:left="20"/>
              <w:spacing w:after="0" w:line="124" w:lineRule="exact"/>
              <w:rPr>
                <w:sz w:val="20"/>
                <w:szCs w:val="20"/>
                <w:color w:val="auto"/>
              </w:rPr>
            </w:pPr>
            <w:r>
              <w:rPr>
                <w:rFonts w:ascii="Arial" w:cs="Arial" w:eastAsia="Arial" w:hAnsi="Arial"/>
                <w:sz w:val="12"/>
                <w:szCs w:val="12"/>
                <w:color w:val="auto"/>
              </w:rPr>
              <w:t>Dividends - Series B-2 ($40 per</w:t>
            </w:r>
          </w:p>
        </w:tc>
        <w:tc>
          <w:tcPr>
            <w:tcW w:w="9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0"/>
                <w:szCs w:val="10"/>
                <w:color w:val="auto"/>
              </w:rPr>
            </w:pPr>
          </w:p>
        </w:tc>
        <w:tc>
          <w:tcPr>
            <w:tcW w:w="8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6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shd w:val="clear" w:color="auto" w:fill="BFE4FF"/>
          </w:tcPr>
          <w:p>
            <w:pPr>
              <w:spacing w:after="0"/>
              <w:rPr>
                <w:sz w:val="10"/>
                <w:szCs w:val="10"/>
                <w:color w:val="auto"/>
              </w:rPr>
            </w:pPr>
          </w:p>
        </w:tc>
        <w:tc>
          <w:tcPr>
            <w:tcW w:w="140" w:type="dxa"/>
            <w:vAlign w:val="bottom"/>
            <w:shd w:val="clear" w:color="auto" w:fill="BFE4FF"/>
          </w:tcPr>
          <w:p>
            <w:pPr>
              <w:spacing w:after="0"/>
              <w:rPr>
                <w:sz w:val="10"/>
                <w:szCs w:val="10"/>
                <w:color w:val="auto"/>
              </w:rPr>
            </w:pPr>
          </w:p>
        </w:tc>
        <w:tc>
          <w:tcPr>
            <w:tcW w:w="11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40" w:type="dxa"/>
            <w:vAlign w:val="bottom"/>
            <w:gridSpan w:val="2"/>
            <w:vMerge w:val="restart"/>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0"/>
                <w:szCs w:val="10"/>
                <w:color w:val="auto"/>
              </w:rPr>
            </w:pPr>
          </w:p>
        </w:tc>
        <w:tc>
          <w:tcPr>
            <w:tcW w:w="56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(372)</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0"/>
                <w:szCs w:val="10"/>
                <w:color w:val="auto"/>
              </w:rPr>
            </w:pPr>
          </w:p>
        </w:tc>
        <w:tc>
          <w:tcPr>
            <w:tcW w:w="720" w:type="dxa"/>
            <w:vAlign w:val="bottom"/>
            <w:vMerge w:val="restart"/>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share)</w:t>
            </w:r>
          </w:p>
        </w:tc>
        <w:tc>
          <w:tcPr>
            <w:tcW w:w="9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gridSpan w:val="2"/>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6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8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4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80" w:type="dxa"/>
            <w:vAlign w:val="bottom"/>
            <w:gridSpan w:val="2"/>
            <w:vMerge w:val="continue"/>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56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gridSpan w:val="2"/>
            <w:vMerge w:val="continue"/>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2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Stock compensation</w:t>
            </w:r>
          </w:p>
        </w:tc>
        <w:tc>
          <w:tcPr>
            <w:tcW w:w="840" w:type="dxa"/>
            <w:vAlign w:val="bottom"/>
          </w:tcPr>
          <w:p>
            <w:pPr>
              <w:jc w:val="right"/>
              <w:spacing w:after="0"/>
              <w:rPr>
                <w:sz w:val="20"/>
                <w:szCs w:val="20"/>
                <w:color w:val="auto"/>
              </w:rPr>
            </w:pPr>
            <w:r>
              <w:rPr>
                <w:rFonts w:ascii="Arial" w:cs="Arial" w:eastAsia="Arial" w:hAnsi="Arial"/>
                <w:sz w:val="12"/>
                <w:szCs w:val="12"/>
                <w:color w:val="auto"/>
              </w:rPr>
              <w:t>125,663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Exchange of common stock</w:t>
            </w:r>
          </w:p>
        </w:tc>
        <w:tc>
          <w:tcPr>
            <w:tcW w:w="8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(46,993)</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40" w:type="dxa"/>
            <w:vAlign w:val="bottom"/>
            <w:gridSpan w:val="2"/>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(701)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Noncontrolling interest adjustment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BFE4FF"/>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FE4FF"/>
          </w:tcPr>
          <w:p>
            <w:pPr>
              <w:spacing w:after="0"/>
              <w:rPr>
                <w:sz w:val="15"/>
                <w:szCs w:val="15"/>
                <w:color w:val="auto"/>
              </w:rPr>
            </w:pP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(3,441)</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40" w:type="dxa"/>
            <w:vAlign w:val="bottom"/>
            <w:gridSpan w:val="2"/>
            <w:shd w:val="clear" w:color="auto" w:fill="BFE4FF"/>
          </w:tcPr>
          <w:p>
            <w:pPr>
              <w:ind w:left="4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(456)</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(3,897)</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880" w:type="dxa"/>
            <w:vAlign w:val="bottom"/>
          </w:tcPr>
          <w:p>
            <w:pPr>
              <w:ind w:left="20"/>
              <w:spacing w:after="0" w:line="116" w:lineRule="exact"/>
              <w:rPr>
                <w:sz w:val="20"/>
                <w:szCs w:val="20"/>
                <w:color w:val="auto"/>
              </w:rPr>
            </w:pPr>
            <w:r>
              <w:rPr>
                <w:rFonts w:ascii="Arial" w:cs="Arial" w:eastAsia="Arial" w:hAnsi="Arial"/>
                <w:sz w:val="12"/>
                <w:szCs w:val="12"/>
                <w:color w:val="auto"/>
                <w:w w:val="95"/>
              </w:rPr>
              <w:t>Other comprehensive (loss) income,</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1,815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880" w:type="dxa"/>
            <w:vAlign w:val="bottom"/>
          </w:tcPr>
          <w:p>
            <w:pPr>
              <w:ind w:left="20"/>
              <w:spacing w:after="0"/>
              <w:rPr>
                <w:sz w:val="20"/>
                <w:szCs w:val="20"/>
                <w:color w:val="auto"/>
              </w:rPr>
            </w:pPr>
            <w:r>
              <w:rPr>
                <w:rFonts w:ascii="Arial" w:cs="Arial" w:eastAsia="Arial" w:hAnsi="Arial"/>
                <w:sz w:val="12"/>
                <w:szCs w:val="12"/>
                <w:color w:val="auto"/>
              </w:rPr>
              <w:t>net of tax</w:t>
            </w: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2"/>
                <w:szCs w:val="12"/>
                <w:color w:val="auto"/>
              </w:rPr>
              <w:t>Balance at October 31, 2021</w:t>
            </w:r>
          </w:p>
        </w:tc>
        <w:tc>
          <w:tcPr>
            <w:tcW w:w="8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17,685,400</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179</w:t>
            </w:r>
          </w:p>
        </w:tc>
        <w:tc>
          <w:tcPr>
            <w:tcW w:w="12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163,965</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21,552</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(5,733)</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BFE4FF"/>
          </w:tcPr>
          <w:p>
            <w:pPr>
              <w:ind w:left="280"/>
              <w:spacing w:after="0"/>
              <w:rPr>
                <w:sz w:val="20"/>
                <w:szCs w:val="20"/>
                <w:color w:val="auto"/>
              </w:rPr>
            </w:pPr>
            <w:r>
              <w:rPr>
                <w:rFonts w:ascii="Arial" w:cs="Arial" w:eastAsia="Arial" w:hAnsi="Arial"/>
                <w:sz w:val="12"/>
                <w:szCs w:val="12"/>
                <w:color w:val="auto"/>
                <w:w w:val="89"/>
              </w:rPr>
              <w:t>(3,493)</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11,965</w:t>
            </w:r>
          </w:p>
        </w:tc>
        <w:tc>
          <w:tcPr>
            <w:tcW w:w="120" w:type="dxa"/>
            <w:vAlign w:val="bottom"/>
            <w:tcBorders>
              <w:top w:val="single" w:sz="8" w:color="BFE4FF"/>
              <w:bottom w:val="single" w:sz="8" w:color="BFE4FF"/>
            </w:tcBorders>
            <w:shd w:val="clear" w:color="auto" w:fill="BFE4FF"/>
          </w:tcPr>
          <w:p>
            <w:pPr>
              <w:spacing w:after="0"/>
              <w:rPr>
                <w:sz w:val="16"/>
                <w:szCs w:val="16"/>
                <w:color w:val="auto"/>
              </w:rPr>
            </w:pPr>
          </w:p>
        </w:tc>
        <w:tc>
          <w:tcPr>
            <w:tcW w:w="140" w:type="dxa"/>
            <w:vAlign w:val="bottom"/>
            <w:tcBorders>
              <w:top w:val="single" w:sz="8" w:color="auto"/>
              <w:bottom w:val="single" w:sz="8" w:color="auto"/>
            </w:tcBorders>
            <w:shd w:val="clear" w:color="auto" w:fill="BFE4FF"/>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188,435</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1,479</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9,331</w:t>
            </w:r>
          </w:p>
        </w:tc>
        <w:tc>
          <w:tcPr>
            <w:tcW w:w="0" w:type="dxa"/>
            <w:vAlign w:val="bottom"/>
          </w:tcPr>
          <w:p>
            <w:pPr>
              <w:spacing w:after="0"/>
              <w:rPr>
                <w:sz w:val="1"/>
                <w:szCs w:val="1"/>
                <w:color w:val="auto"/>
              </w:rPr>
            </w:pPr>
          </w:p>
        </w:tc>
      </w:tr>
      <w:tr>
        <w:trPr>
          <w:trHeight w:val="20"/>
        </w:trPr>
        <w:tc>
          <w:tcPr>
            <w:tcW w:w="1880" w:type="dxa"/>
            <w:vAlign w:val="bottom"/>
            <w:tcBorders>
              <w:top w:val="single" w:sz="8" w:color="BFE4FF"/>
            </w:tcBorders>
          </w:tcPr>
          <w:p>
            <w:pPr>
              <w:spacing w:after="0" w:line="20" w:lineRule="exact"/>
              <w:rPr>
                <w:sz w:val="1"/>
                <w:szCs w:val="1"/>
                <w:color w:val="auto"/>
              </w:rPr>
            </w:pPr>
          </w:p>
        </w:tc>
        <w:tc>
          <w:tcPr>
            <w:tcW w:w="8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6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7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6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6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5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7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7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9"/>
          <w:szCs w:val="19"/>
          <w:b w:val="1"/>
          <w:bCs w:val="1"/>
          <w:color w:val="auto"/>
        </w:rPr>
        <w:t>LIMONEIRA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7"/>
                <w:szCs w:val="17"/>
                <w:b w:val="1"/>
                <w:bCs w:val="1"/>
                <w:color w:val="auto"/>
              </w:rPr>
              <w:t>Years Ended October 31,</w:t>
            </w:r>
          </w:p>
        </w:tc>
        <w:tc>
          <w:tcPr>
            <w:tcW w:w="1200" w:type="dxa"/>
            <w:vAlign w:val="bottom"/>
            <w:tcBorders>
              <w:bottom w:val="single" w:sz="8" w:color="auto"/>
            </w:tcBorders>
          </w:tcPr>
          <w:p>
            <w:pPr>
              <w:spacing w:after="0"/>
              <w:rPr>
                <w:sz w:val="19"/>
                <w:szCs w:val="19"/>
                <w:color w:val="auto"/>
              </w:rPr>
            </w:pPr>
          </w:p>
        </w:tc>
      </w:tr>
      <w:tr>
        <w:trPr>
          <w:trHeight w:val="213"/>
        </w:trPr>
        <w:tc>
          <w:tcPr>
            <w:tcW w:w="64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212"/>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(3,897)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(17,941)</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(5,466)</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w w:val="97"/>
              </w:rPr>
              <w:t>Adjustments to reconcile net loss to net cash provided by (used in) operating activities: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18"/>
        </w:trPr>
        <w:tc>
          <w:tcPr>
            <w:tcW w:w="64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8,633</w:t>
            </w:r>
          </w:p>
        </w:tc>
      </w:tr>
      <w:tr>
        <w:trPr>
          <w:trHeight w:val="220"/>
        </w:trPr>
        <w:tc>
          <w:tcPr>
            <w:tcW w:w="6400" w:type="dxa"/>
            <w:vAlign w:val="bottom"/>
            <w:shd w:val="clear" w:color="auto" w:fill="BFE4FF"/>
          </w:tcPr>
          <w:p>
            <w:pPr>
              <w:ind w:left="320"/>
              <w:spacing w:after="0"/>
              <w:rPr>
                <w:sz w:val="20"/>
                <w:szCs w:val="20"/>
                <w:color w:val="auto"/>
              </w:rPr>
            </w:pPr>
            <w:r>
              <w:rPr>
                <w:rFonts w:ascii="Arial" w:cs="Arial" w:eastAsia="Arial" w:hAnsi="Arial"/>
                <w:sz w:val="17"/>
                <w:szCs w:val="17"/>
                <w:color w:val="auto"/>
              </w:rPr>
              <w:t>Loss (gain) on disposal of assets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(1,069)</w:t>
            </w:r>
          </w:p>
        </w:tc>
      </w:tr>
      <w:tr>
        <w:trPr>
          <w:trHeight w:val="218"/>
        </w:trPr>
        <w:tc>
          <w:tcPr>
            <w:tcW w:w="6400" w:type="dxa"/>
            <w:vAlign w:val="bottom"/>
          </w:tcPr>
          <w:p>
            <w:pPr>
              <w:ind w:left="320"/>
              <w:spacing w:after="0"/>
              <w:rPr>
                <w:sz w:val="20"/>
                <w:szCs w:val="20"/>
                <w:color w:val="auto"/>
              </w:rPr>
            </w:pPr>
            <w:r>
              <w:rPr>
                <w:rFonts w:ascii="Arial" w:cs="Arial" w:eastAsia="Arial" w:hAnsi="Arial"/>
                <w:sz w:val="17"/>
                <w:szCs w:val="17"/>
                <w:color w:val="auto"/>
              </w:rPr>
              <w:t>Stock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1,791</w:t>
            </w:r>
          </w:p>
        </w:tc>
      </w:tr>
      <w:tr>
        <w:trPr>
          <w:trHeight w:val="220"/>
        </w:trPr>
        <w:tc>
          <w:tcPr>
            <w:tcW w:w="6400" w:type="dxa"/>
            <w:vAlign w:val="bottom"/>
            <w:shd w:val="clear" w:color="auto" w:fill="BFE4FF"/>
          </w:tcPr>
          <w:p>
            <w:pPr>
              <w:ind w:left="320"/>
              <w:spacing w:after="0"/>
              <w:rPr>
                <w:sz w:val="20"/>
                <w:szCs w:val="20"/>
                <w:color w:val="auto"/>
              </w:rPr>
            </w:pPr>
            <w:r>
              <w:rPr>
                <w:rFonts w:ascii="Arial" w:cs="Arial" w:eastAsia="Arial" w:hAnsi="Arial"/>
                <w:sz w:val="17"/>
                <w:szCs w:val="17"/>
                <w:color w:val="auto"/>
              </w:rPr>
              <w:t>Non-cash lease expense</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400" w:type="dxa"/>
            <w:vAlign w:val="bottom"/>
          </w:tcPr>
          <w:p>
            <w:pPr>
              <w:ind w:left="320"/>
              <w:spacing w:after="0"/>
              <w:rPr>
                <w:sz w:val="20"/>
                <w:szCs w:val="20"/>
                <w:color w:val="auto"/>
              </w:rPr>
            </w:pPr>
            <w:r>
              <w:rPr>
                <w:rFonts w:ascii="Arial" w:cs="Arial" w:eastAsia="Arial" w:hAnsi="Arial"/>
                <w:sz w:val="17"/>
                <w:szCs w:val="17"/>
                <w:color w:val="auto"/>
              </w:rPr>
              <w:t>Equity in earnings of investments,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(3,073)</w:t>
            </w:r>
          </w:p>
        </w:tc>
      </w:tr>
      <w:tr>
        <w:trPr>
          <w:trHeight w:val="220"/>
        </w:trPr>
        <w:tc>
          <w:tcPr>
            <w:tcW w:w="6400" w:type="dxa"/>
            <w:vAlign w:val="bottom"/>
            <w:shd w:val="clear" w:color="auto" w:fill="BFE4FF"/>
          </w:tcPr>
          <w:p>
            <w:pPr>
              <w:ind w:left="320"/>
              <w:spacing w:after="0"/>
              <w:rPr>
                <w:sz w:val="20"/>
                <w:szCs w:val="20"/>
                <w:color w:val="auto"/>
              </w:rPr>
            </w:pPr>
            <w:r>
              <w:rPr>
                <w:rFonts w:ascii="Arial" w:cs="Arial" w:eastAsia="Arial" w:hAnsi="Arial"/>
                <w:sz w:val="17"/>
                <w:szCs w:val="17"/>
                <w:color w:val="auto"/>
              </w:rPr>
              <w:t>Cash distributions from equity investments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351</w:t>
            </w:r>
          </w:p>
        </w:tc>
      </w:tr>
      <w:tr>
        <w:trPr>
          <w:trHeight w:val="218"/>
        </w:trPr>
        <w:tc>
          <w:tcPr>
            <w:tcW w:w="6400" w:type="dxa"/>
            <w:vAlign w:val="bottom"/>
          </w:tcPr>
          <w:p>
            <w:pPr>
              <w:ind w:left="320"/>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(773)</w:t>
            </w:r>
          </w:p>
        </w:tc>
      </w:tr>
      <w:tr>
        <w:trPr>
          <w:trHeight w:val="220"/>
        </w:trPr>
        <w:tc>
          <w:tcPr>
            <w:tcW w:w="6400" w:type="dxa"/>
            <w:vAlign w:val="bottom"/>
            <w:shd w:val="clear" w:color="auto" w:fill="BFE4FF"/>
          </w:tcPr>
          <w:p>
            <w:pPr>
              <w:ind w:left="320"/>
              <w:spacing w:after="0"/>
              <w:rPr>
                <w:sz w:val="20"/>
                <w:szCs w:val="20"/>
                <w:color w:val="auto"/>
              </w:rPr>
            </w:pPr>
            <w:r>
              <w:rPr>
                <w:rFonts w:ascii="Arial" w:cs="Arial" w:eastAsia="Arial" w:hAnsi="Arial"/>
                <w:sz w:val="17"/>
                <w:szCs w:val="17"/>
                <w:color w:val="auto"/>
              </w:rPr>
              <w:t>Loss on stock in Calavo Growers, Inc.</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6,299</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2,117</w:t>
            </w:r>
          </w:p>
        </w:tc>
      </w:tr>
      <w:tr>
        <w:trPr>
          <w:trHeight w:val="218"/>
        </w:trPr>
        <w:tc>
          <w:tcPr>
            <w:tcW w:w="640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0"/>
        </w:trPr>
        <w:tc>
          <w:tcPr>
            <w:tcW w:w="6400" w:type="dxa"/>
            <w:vAlign w:val="bottom"/>
            <w:shd w:val="clear" w:color="auto" w:fill="BFE4FF"/>
          </w:tcPr>
          <w:p>
            <w:pPr>
              <w:ind w:left="320"/>
              <w:spacing w:after="0"/>
              <w:rPr>
                <w:sz w:val="20"/>
                <w:szCs w:val="20"/>
                <w:color w:val="auto"/>
              </w:rPr>
            </w:pPr>
            <w:r>
              <w:rPr>
                <w:rFonts w:ascii="Arial" w:cs="Arial" w:eastAsia="Arial" w:hAnsi="Arial"/>
                <w:sz w:val="17"/>
                <w:szCs w:val="17"/>
                <w:color w:val="auto"/>
              </w:rPr>
              <w:t>Changes in operating assets and liabilities, net of business combinations: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18"/>
        </w:trPr>
        <w:tc>
          <w:tcPr>
            <w:tcW w:w="6400" w:type="dxa"/>
            <w:vAlign w:val="bottom"/>
          </w:tcPr>
          <w:p>
            <w:pPr>
              <w:ind w:left="520"/>
              <w:spacing w:after="0"/>
              <w:rPr>
                <w:sz w:val="20"/>
                <w:szCs w:val="20"/>
                <w:color w:val="auto"/>
              </w:rPr>
            </w:pPr>
            <w:r>
              <w:rPr>
                <w:rFonts w:ascii="Arial" w:cs="Arial" w:eastAsia="Arial" w:hAnsi="Arial"/>
                <w:sz w:val="17"/>
                <w:szCs w:val="17"/>
                <w:color w:val="auto"/>
              </w:rPr>
              <w:t>Account receivable and receivables/other from related parties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(4,012)</w:t>
            </w:r>
          </w:p>
        </w:tc>
      </w:tr>
      <w:tr>
        <w:trPr>
          <w:trHeight w:val="220"/>
        </w:trPr>
        <w:tc>
          <w:tcPr>
            <w:tcW w:w="6400" w:type="dxa"/>
            <w:vAlign w:val="bottom"/>
            <w:shd w:val="clear" w:color="auto" w:fill="BFE4FF"/>
          </w:tcPr>
          <w:p>
            <w:pPr>
              <w:ind w:left="520"/>
              <w:spacing w:after="0"/>
              <w:rPr>
                <w:sz w:val="20"/>
                <w:szCs w:val="20"/>
                <w:color w:val="auto"/>
              </w:rPr>
            </w:pPr>
            <w:r>
              <w:rPr>
                <w:rFonts w:ascii="Arial" w:cs="Arial" w:eastAsia="Arial" w:hAnsi="Arial"/>
                <w:sz w:val="17"/>
                <w:szCs w:val="17"/>
                <w:color w:val="auto"/>
              </w:rPr>
              <w:t>Cultural costs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1,447</w:t>
            </w:r>
          </w:p>
        </w:tc>
      </w:tr>
      <w:tr>
        <w:trPr>
          <w:trHeight w:val="218"/>
        </w:trPr>
        <w:tc>
          <w:tcPr>
            <w:tcW w:w="6400" w:type="dxa"/>
            <w:vAlign w:val="bottom"/>
          </w:tcPr>
          <w:p>
            <w:pPr>
              <w:ind w:left="5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(2,548)</w:t>
            </w:r>
          </w:p>
        </w:tc>
      </w:tr>
      <w:tr>
        <w:trPr>
          <w:trHeight w:val="220"/>
        </w:trPr>
        <w:tc>
          <w:tcPr>
            <w:tcW w:w="6400" w:type="dxa"/>
            <w:vAlign w:val="bottom"/>
            <w:shd w:val="clear" w:color="auto" w:fill="BFE4FF"/>
          </w:tcPr>
          <w:p>
            <w:pPr>
              <w:ind w:left="520"/>
              <w:spacing w:after="0"/>
              <w:rPr>
                <w:sz w:val="20"/>
                <w:szCs w:val="20"/>
                <w:color w:val="auto"/>
              </w:rPr>
            </w:pPr>
            <w:r>
              <w:rPr>
                <w:rFonts w:ascii="Arial" w:cs="Arial" w:eastAsia="Arial" w:hAnsi="Arial"/>
                <w:sz w:val="17"/>
                <w:szCs w:val="17"/>
                <w:color w:val="auto"/>
              </w:rPr>
              <w:t>Income taxes receivable</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5,911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(4,932)</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(601)</w:t>
            </w:r>
          </w:p>
        </w:tc>
      </w:tr>
      <w:tr>
        <w:trPr>
          <w:trHeight w:val="218"/>
        </w:trPr>
        <w:tc>
          <w:tcPr>
            <w:tcW w:w="6400" w:type="dxa"/>
            <w:vAlign w:val="bottom"/>
          </w:tcPr>
          <w:p>
            <w:pPr>
              <w:ind w:left="520"/>
              <w:spacing w:after="0"/>
              <w:rPr>
                <w:sz w:val="20"/>
                <w:szCs w:val="20"/>
                <w:color w:val="auto"/>
              </w:rPr>
            </w:pPr>
            <w:r>
              <w:rPr>
                <w:rFonts w:ascii="Arial" w:cs="Arial" w:eastAsia="Arial" w:hAnsi="Arial"/>
                <w:sz w:val="17"/>
                <w:szCs w:val="17"/>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6400" w:type="dxa"/>
            <w:vAlign w:val="bottom"/>
            <w:shd w:val="clear" w:color="auto" w:fill="BFE4FF"/>
          </w:tcPr>
          <w:p>
            <w:pPr>
              <w:ind w:left="520"/>
              <w:spacing w:after="0"/>
              <w:rPr>
                <w:sz w:val="20"/>
                <w:szCs w:val="20"/>
                <w:color w:val="auto"/>
              </w:rPr>
            </w:pPr>
            <w:r>
              <w:rPr>
                <w:rFonts w:ascii="Arial" w:cs="Arial" w:eastAsia="Arial" w:hAnsi="Arial"/>
                <w:sz w:val="17"/>
                <w:szCs w:val="17"/>
                <w:color w:val="auto"/>
              </w:rPr>
              <w:t>Accounts payable and growers and suppliers payable</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5,389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(5,545)</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3,392</w:t>
            </w:r>
          </w:p>
        </w:tc>
      </w:tr>
      <w:tr>
        <w:trPr>
          <w:trHeight w:val="218"/>
        </w:trPr>
        <w:tc>
          <w:tcPr>
            <w:tcW w:w="6400" w:type="dxa"/>
            <w:vAlign w:val="bottom"/>
          </w:tcPr>
          <w:p>
            <w:pPr>
              <w:ind w:left="520"/>
              <w:spacing w:after="0"/>
              <w:rPr>
                <w:sz w:val="20"/>
                <w:szCs w:val="20"/>
                <w:color w:val="auto"/>
              </w:rPr>
            </w:pPr>
            <w:r>
              <w:rPr>
                <w:rFonts w:ascii="Arial" w:cs="Arial" w:eastAsia="Arial" w:hAnsi="Arial"/>
                <w:sz w:val="17"/>
                <w:szCs w:val="17"/>
                <w:color w:val="auto"/>
              </w:rPr>
              <w:t>Accrued liabilities and payables to related parties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1,459</w:t>
            </w:r>
          </w:p>
        </w:tc>
      </w:tr>
      <w:tr>
        <w:trPr>
          <w:trHeight w:val="220"/>
        </w:trPr>
        <w:tc>
          <w:tcPr>
            <w:tcW w:w="6400" w:type="dxa"/>
            <w:vAlign w:val="bottom"/>
            <w:shd w:val="clear" w:color="auto" w:fill="BFE4FF"/>
          </w:tcPr>
          <w:p>
            <w:pPr>
              <w:ind w:left="520"/>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117</w:t>
            </w:r>
          </w:p>
        </w:tc>
      </w:tr>
      <w:tr>
        <w:trPr>
          <w:trHeight w:val="211"/>
        </w:trPr>
        <w:tc>
          <w:tcPr>
            <w:tcW w:w="6400" w:type="dxa"/>
            <w:vAlign w:val="bottom"/>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9,605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1,365</w:t>
            </w:r>
          </w:p>
        </w:tc>
      </w:tr>
      <w:tr>
        <w:trPr>
          <w:trHeight w:val="246"/>
        </w:trPr>
        <w:tc>
          <w:tcPr>
            <w:tcW w:w="6400" w:type="dxa"/>
            <w:vAlign w:val="bottom"/>
            <w:shd w:val="clear" w:color="auto" w:fill="BFE4FF"/>
          </w:tcPr>
          <w:p>
            <w:pPr>
              <w:spacing w:after="0"/>
              <w:rPr>
                <w:sz w:val="21"/>
                <w:szCs w:val="21"/>
                <w:color w:val="auto"/>
              </w:rPr>
            </w:pPr>
          </w:p>
        </w:tc>
        <w:tc>
          <w:tcPr>
            <w:tcW w:w="360" w:type="dxa"/>
            <w:vAlign w:val="bottom"/>
            <w:shd w:val="clear" w:color="auto" w:fill="BFE4FF"/>
          </w:tcPr>
          <w:p>
            <w:pPr>
              <w:spacing w:after="0"/>
              <w:rPr>
                <w:sz w:val="21"/>
                <w:szCs w:val="21"/>
                <w:color w:val="auto"/>
              </w:rPr>
            </w:pPr>
          </w:p>
        </w:tc>
        <w:tc>
          <w:tcPr>
            <w:tcW w:w="120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18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60" w:type="dxa"/>
            <w:vAlign w:val="bottom"/>
            <w:shd w:val="clear" w:color="auto" w:fill="BFE4FF"/>
          </w:tcPr>
          <w:p>
            <w:pPr>
              <w:spacing w:after="0"/>
              <w:rPr>
                <w:sz w:val="21"/>
                <w:szCs w:val="21"/>
                <w:color w:val="auto"/>
              </w:rPr>
            </w:pPr>
          </w:p>
        </w:tc>
        <w:tc>
          <w:tcPr>
            <w:tcW w:w="1200" w:type="dxa"/>
            <w:vAlign w:val="bottom"/>
            <w:shd w:val="clear" w:color="auto" w:fill="BFE4FF"/>
          </w:tcPr>
          <w:p>
            <w:pPr>
              <w:spacing w:after="0"/>
              <w:rPr>
                <w:sz w:val="21"/>
                <w:szCs w:val="21"/>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Capital expenditures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(9,834)</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(10,599)</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(15,867)</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Net proceeds from sales of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3,978</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Net proceeds from sales of real estate development assets</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2,886</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Agriculture property acquisition</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Business combination</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(15,000)</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Net proceeds from sale of stock in Calavo Growers, Inc.</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4,785</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Loan to Limoneira Lewis Community Builders, LLC</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Collection on loan and note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Equity investment contributions</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(2,800)</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(4,000)</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Cash distribution from equity investment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283</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Investments in mutual water companies and water rights</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(472)</w:t>
            </w: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(10,237)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(23,654)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9"/>
          <w:szCs w:val="19"/>
          <w:b w:val="1"/>
          <w:bCs w:val="1"/>
          <w:color w:val="auto"/>
        </w:rPr>
        <w:t>LIMONEIRA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7"/>
                <w:szCs w:val="17"/>
                <w:b w:val="1"/>
                <w:bCs w:val="1"/>
                <w:color w:val="auto"/>
              </w:rPr>
              <w:t>Years Ended October 31,</w:t>
            </w:r>
          </w:p>
        </w:tc>
        <w:tc>
          <w:tcPr>
            <w:tcW w:w="1200" w:type="dxa"/>
            <w:vAlign w:val="bottom"/>
            <w:tcBorders>
              <w:bottom w:val="single" w:sz="8" w:color="auto"/>
            </w:tcBorders>
          </w:tcPr>
          <w:p>
            <w:pPr>
              <w:spacing w:after="0"/>
              <w:rPr>
                <w:sz w:val="19"/>
                <w:szCs w:val="19"/>
                <w:color w:val="auto"/>
              </w:rPr>
            </w:pPr>
          </w:p>
        </w:tc>
      </w:tr>
      <w:tr>
        <w:trPr>
          <w:trHeight w:val="213"/>
        </w:trPr>
        <w:tc>
          <w:tcPr>
            <w:tcW w:w="64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199"/>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40" w:type="dxa"/>
            <w:vAlign w:val="bottom"/>
            <w:shd w:val="clear" w:color="auto" w:fill="BFE4FF"/>
          </w:tcPr>
          <w:p>
            <w:pPr>
              <w:spacing w:after="0"/>
              <w:rPr>
                <w:sz w:val="17"/>
                <w:szCs w:val="17"/>
                <w:color w:val="auto"/>
              </w:rPr>
            </w:pPr>
          </w:p>
        </w:tc>
        <w:tc>
          <w:tcPr>
            <w:tcW w:w="11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Borrowings of long-term debt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102,196</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121,056</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122,899</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Repayments of long-term debt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(95,140)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(104,066)</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(93,994)</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Principal paid on finance lease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Dividends paid - common</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(5,303)</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(5,356)</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(5,331)</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Dividends paid - preferred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(501)</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Exchange of common stock</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(605)</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Purchase of treasury stock</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Payments of deferred financing costs</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(35)</w:t>
            </w:r>
          </w:p>
        </w:tc>
      </w:tr>
      <w:tr>
        <w:trPr>
          <w:trHeight w:val="211"/>
        </w:trPr>
        <w:tc>
          <w:tcPr>
            <w:tcW w:w="640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100" w:type="dxa"/>
            <w:vAlign w:val="bottom"/>
            <w:tcBorders>
              <w:bottom w:val="single" w:sz="8" w:color="BFE4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7,361</w:t>
            </w:r>
          </w:p>
        </w:tc>
        <w:tc>
          <w:tcPr>
            <w:tcW w:w="100" w:type="dxa"/>
            <w:vAlign w:val="bottom"/>
            <w:tcBorders>
              <w:bottom w:val="single" w:sz="8" w:color="BFE4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22,433</w:t>
            </w:r>
          </w:p>
        </w:tc>
      </w:tr>
      <w:tr>
        <w:trPr>
          <w:trHeight w:val="213"/>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360" w:type="dxa"/>
            <w:vAlign w:val="bottom"/>
            <w:tcBorders>
              <w:bottom w:val="single" w:sz="8" w:color="auto"/>
            </w:tcBorders>
            <w:shd w:val="clear" w:color="auto" w:fill="BFE4FF"/>
          </w:tcPr>
          <w:p>
            <w:pPr>
              <w:spacing w:after="0"/>
              <w:rPr>
                <w:sz w:val="18"/>
                <w:szCs w:val="18"/>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(137)</w:t>
            </w:r>
          </w:p>
        </w:tc>
      </w:tr>
      <w:tr>
        <w:trPr>
          <w:trHeight w:val="211"/>
        </w:trPr>
        <w:tc>
          <w:tcPr>
            <w:tcW w:w="640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Net (decrease) increase in cash</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2"/>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Cash at beginning of year</w:t>
            </w:r>
          </w:p>
        </w:tc>
        <w:tc>
          <w:tcPr>
            <w:tcW w:w="360" w:type="dxa"/>
            <w:vAlign w:val="bottom"/>
            <w:tcBorders>
              <w:bottom w:val="single" w:sz="8" w:color="auto"/>
            </w:tcBorders>
            <w:shd w:val="clear" w:color="auto" w:fill="BFE4FF"/>
          </w:tcPr>
          <w:p>
            <w:pPr>
              <w:spacing w:after="0"/>
              <w:rPr>
                <w:sz w:val="18"/>
                <w:szCs w:val="18"/>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609</w:t>
            </w:r>
          </w:p>
        </w:tc>
      </w:tr>
      <w:tr>
        <w:trPr>
          <w:trHeight w:val="213"/>
        </w:trPr>
        <w:tc>
          <w:tcPr>
            <w:tcW w:w="6400" w:type="dxa"/>
            <w:vAlign w:val="bottom"/>
          </w:tcPr>
          <w:p>
            <w:pPr>
              <w:ind w:left="20"/>
              <w:spacing w:after="0"/>
              <w:rPr>
                <w:sz w:val="20"/>
                <w:szCs w:val="20"/>
                <w:color w:val="auto"/>
              </w:rPr>
            </w:pPr>
            <w:r>
              <w:rPr>
                <w:rFonts w:ascii="Arial" w:cs="Arial" w:eastAsia="Arial" w:hAnsi="Arial"/>
                <w:sz w:val="17"/>
                <w:szCs w:val="17"/>
                <w:color w:val="auto"/>
              </w:rPr>
              <w:t>Cash at end of year</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Cash paid during the year for interest, net of amounts capitalized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1,503</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1,865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2,532</w:t>
            </w:r>
          </w:p>
        </w:tc>
      </w:tr>
      <w:tr>
        <w:trPr>
          <w:trHeight w:val="220"/>
        </w:trPr>
        <w:tc>
          <w:tcPr>
            <w:tcW w:w="6400" w:type="dxa"/>
            <w:vAlign w:val="bottom"/>
            <w:shd w:val="clear" w:color="auto" w:fill="BFE4FF"/>
          </w:tcPr>
          <w:p>
            <w:pPr>
              <w:ind w:left="20"/>
              <w:spacing w:after="0"/>
              <w:rPr>
                <w:sz w:val="20"/>
                <w:szCs w:val="20"/>
                <w:color w:val="auto"/>
              </w:rPr>
            </w:pPr>
            <w:r>
              <w:rPr>
                <w:rFonts w:ascii="Arial" w:cs="Arial" w:eastAsia="Arial" w:hAnsi="Arial"/>
                <w:sz w:val="17"/>
                <w:szCs w:val="17"/>
                <w:color w:val="auto"/>
              </w:rPr>
              <w:t>Cash (received) paid during the year for income taxes, net</w:t>
            </w:r>
          </w:p>
        </w:tc>
        <w:tc>
          <w:tcPr>
            <w:tcW w:w="36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(5,911)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(1,235)</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130</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6400" w:type="dxa"/>
            <w:vAlign w:val="bottom"/>
            <w:shd w:val="clear" w:color="auto" w:fill="BFE4FF"/>
          </w:tcPr>
          <w:p>
            <w:pPr>
              <w:ind w:left="220"/>
              <w:spacing w:after="0"/>
              <w:rPr>
                <w:sz w:val="20"/>
                <w:szCs w:val="20"/>
                <w:color w:val="auto"/>
              </w:rPr>
            </w:pPr>
            <w:r>
              <w:rPr>
                <w:rFonts w:ascii="Arial" w:cs="Arial" w:eastAsia="Arial" w:hAnsi="Arial"/>
                <w:sz w:val="17"/>
                <w:szCs w:val="17"/>
                <w:color w:val="auto"/>
              </w:rPr>
              <w:t>Decrease in real estate development and sale-leaseback deferral</w:t>
            </w:r>
          </w:p>
        </w:tc>
        <w:tc>
          <w:tcPr>
            <w:tcW w:w="36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BFE4FF"/>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(58,330)</w:t>
            </w:r>
          </w:p>
        </w:tc>
      </w:tr>
      <w:tr>
        <w:trPr>
          <w:trHeight w:val="218"/>
        </w:trPr>
        <w:tc>
          <w:tcPr>
            <w:tcW w:w="6400" w:type="dxa"/>
            <w:vAlign w:val="bottom"/>
          </w:tcPr>
          <w:p>
            <w:pPr>
              <w:ind w:left="220"/>
              <w:spacing w:after="0"/>
              <w:rPr>
                <w:sz w:val="20"/>
                <w:szCs w:val="20"/>
                <w:color w:val="auto"/>
              </w:rPr>
            </w:pPr>
            <w:r>
              <w:rPr>
                <w:rFonts w:ascii="Arial" w:cs="Arial" w:eastAsia="Arial" w:hAnsi="Arial"/>
                <w:sz w:val="17"/>
                <w:szCs w:val="17"/>
                <w:color w:val="auto"/>
              </w:rPr>
              <w:t>Non-cash reduction of note receivable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0"/>
        </w:trPr>
        <w:tc>
          <w:tcPr>
            <w:tcW w:w="6400" w:type="dxa"/>
            <w:vAlign w:val="bottom"/>
            <w:shd w:val="clear" w:color="auto" w:fill="BFE4FF"/>
          </w:tcPr>
          <w:p>
            <w:pPr>
              <w:ind w:left="220"/>
              <w:spacing w:after="0"/>
              <w:rPr>
                <w:sz w:val="20"/>
                <w:szCs w:val="20"/>
                <w:color w:val="auto"/>
              </w:rPr>
            </w:pPr>
            <w:r>
              <w:rPr>
                <w:rFonts w:ascii="Arial" w:cs="Arial" w:eastAsia="Arial" w:hAnsi="Arial"/>
                <w:sz w:val="17"/>
                <w:szCs w:val="17"/>
                <w:color w:val="auto"/>
              </w:rPr>
              <w:t>Capital expenditures accrued but not paid at year-end</w:t>
            </w:r>
          </w:p>
        </w:tc>
        <w:tc>
          <w:tcPr>
            <w:tcW w:w="36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4,269</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1,333</w:t>
            </w:r>
          </w:p>
        </w:tc>
      </w:tr>
    </w:tbl>
    <w:p>
      <w:pPr>
        <w:spacing w:after="0" w:line="27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2018, the Company terminated its lease agreement with LLCB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 Investments of the notes to consolidated financial statements included in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9"/>
          <w:szCs w:val="19"/>
          <w:b w:val="1"/>
          <w:bCs w:val="1"/>
          <w:color w:val="auto"/>
        </w:rPr>
        <w:t>LIMONEIRA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w:t>
      </w:r>
    </w:p>
    <w:p>
      <w:pPr>
        <w:spacing w:after="0" w:line="13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66" w:lineRule="exact"/>
        <w:rPr>
          <w:sz w:val="20"/>
          <w:szCs w:val="20"/>
          <w:color w:val="auto"/>
        </w:rPr>
      </w:pPr>
    </w:p>
    <w:p>
      <w:pPr>
        <w:ind w:right="7840" w:firstLine="3"/>
        <w:spacing w:after="0" w:line="383" w:lineRule="auto"/>
        <w:tabs>
          <w:tab w:leader="none" w:pos="172"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The consolidated financial statements include the accounts of the Company and the accounts of all the subsidiaries and investments in which the Company holds a controlling interest. The consolidated financial statements represent the consolidated balance sheets, statements of operations, statements of comprehensive loss, statements of stockholders’ equity and temporary equity and statements of cash flows of Limoneira Company and consolidated subsidiaries. Intercompany balances and transactions have been eliminated in consolidation. The Company considers the criteria established under the Financial Accounting Standards Board (“FASB”) – </w:t>
      </w:r>
      <w:r>
        <w:rPr>
          <w:rFonts w:ascii="Arial" w:cs="Arial" w:eastAsia="Arial" w:hAnsi="Arial"/>
          <w:sz w:val="15"/>
          <w:szCs w:val="15"/>
          <w:i w:val="1"/>
          <w:iCs w:val="1"/>
          <w:color w:val="auto"/>
        </w:rPr>
        <w:t>Accounting Standards Code (“ASC”) 810, Consolidations,</w:t>
      </w:r>
      <w:r>
        <w:rPr>
          <w:rFonts w:ascii="Arial" w:cs="Arial" w:eastAsia="Arial" w:hAnsi="Arial"/>
          <w:sz w:val="15"/>
          <w:szCs w:val="15"/>
          <w:color w:val="auto"/>
        </w:rPr>
        <w:t xml:space="preserve"> and the effect of variable interest entities, in its consolidation process.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At October 31, 2021 and 2020 the allowances totaled $444,000 and $812,000, respectively. For fiscal years 2021, 2020 and 2019, credit losses were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and Geographic Information</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the majority of its avocado production to Calavo. Sales of avocados to Calavo were $6,594,000, $8,806,000 and $3,080,000 in fiscal years 2021, 2020 and 2019, respectively. The Company sells the majority of its oranges and specialty citrus to a third-party packinghouse.</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Concentrations of credit risk with respect to revenues and trade receivable are limited due to a large, diverse customer base. Two customers each represented 10% of revenue for the year ended October 31, 2021 and one customer represented 10% of revenue for the year ended October 31, 2020. No individual customer represented more than 10% of accounts receivable, net as of October 31, 2021 and one customer represented more than 10% of accounts receivable, net as of October 31, 2020.</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Lemons procured from third-party growers were approximately 52%, 60% and 60% of the Company's lemon supply in fiscal years 2021, 2020 and 2019, respectively. One third-party grower was 46% and 39% of grower payable at October 31, 2021 and 2020, respectively.</w:t>
      </w:r>
    </w:p>
    <w:p>
      <w:pPr>
        <w:spacing w:after="0" w:line="61"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346" w:lineRule="exact"/>
        <w:rPr>
          <w:sz w:val="20"/>
          <w:szCs w:val="20"/>
          <w:color w:val="auto"/>
        </w:rPr>
      </w:pPr>
    </w:p>
    <w:p>
      <w:pPr>
        <w:ind w:right="6960" w:firstLine="3"/>
        <w:spacing w:after="0" w:line="434" w:lineRule="auto"/>
        <w:tabs>
          <w:tab w:leader="none" w:pos="172"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Concentrations and Geographic Information (continued)</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years 2021, 2020 and 2019, the Company had approximately $2,976,000, $3,521,000 and $3,204,000, respectively, of total sales in Chile by Fruticola Pan de Azucar S.A. (“PDA”) and Agricola San Pablo SpA. ("San Pablo").</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years 2021, 2020 and 2019, the Company had approximately $3,633,000, $14,150,000 and $14,651,000, respectively, of total sales in Argentina by Trapani Fresh.</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majority of the Company's avocados, oranges and specialty citrus and other crops are sold to packinghouses and processors located in the United States. Most of its long-lived assets are located within the United States. Long-lived assets, net of accumulated depreciation, located in Chile were $14,322,000 and $15,261,000 as of October 31, 2021 and 2020, respectively, and located in Argentina were $19,700,000 and $18,576,000 as of October 31, 2021 and 2020,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Cultural Costs</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3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Due to climate, growing conditions and the types of crops grown, certain of the Company's other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improvements</w:t>
            </w:r>
          </w:p>
        </w:tc>
        <w:tc>
          <w:tcPr>
            <w:tcW w:w="4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 30</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Buildings and building improvements</w:t>
            </w:r>
          </w:p>
        </w:tc>
        <w:tc>
          <w:tcPr>
            <w:tcW w:w="4240" w:type="dxa"/>
            <w:vAlign w:val="bottom"/>
          </w:tcPr>
          <w:p>
            <w:pPr>
              <w:jc w:val="right"/>
              <w:spacing w:after="0"/>
              <w:rPr>
                <w:sz w:val="20"/>
                <w:szCs w:val="20"/>
                <w:color w:val="auto"/>
              </w:rPr>
            </w:pPr>
            <w:r>
              <w:rPr>
                <w:rFonts w:ascii="Arial" w:cs="Arial" w:eastAsia="Arial" w:hAnsi="Arial"/>
                <w:sz w:val="17"/>
                <w:szCs w:val="17"/>
                <w:color w:val="auto"/>
              </w:rPr>
              <w:t>10</w:t>
            </w:r>
          </w:p>
        </w:tc>
        <w:tc>
          <w:tcPr>
            <w:tcW w:w="340" w:type="dxa"/>
            <w:vAlign w:val="bottom"/>
          </w:tcPr>
          <w:p>
            <w:pPr>
              <w:ind w:left="20"/>
              <w:spacing w:after="0"/>
              <w:rPr>
                <w:sz w:val="20"/>
                <w:szCs w:val="20"/>
                <w:color w:val="auto"/>
              </w:rPr>
            </w:pPr>
            <w:r>
              <w:rPr>
                <w:rFonts w:ascii="Arial" w:cs="Arial" w:eastAsia="Arial" w:hAnsi="Arial"/>
                <w:sz w:val="17"/>
                <w:szCs w:val="17"/>
                <w:color w:val="auto"/>
                <w:w w:val="90"/>
              </w:rPr>
              <w:t>– 50</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4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 20</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Orchards and vineyards</w:t>
            </w:r>
          </w:p>
        </w:tc>
        <w:tc>
          <w:tcPr>
            <w:tcW w:w="4240" w:type="dxa"/>
            <w:vAlign w:val="bottom"/>
          </w:tcPr>
          <w:p>
            <w:pPr>
              <w:jc w:val="right"/>
              <w:spacing w:after="0"/>
              <w:rPr>
                <w:sz w:val="20"/>
                <w:szCs w:val="20"/>
                <w:color w:val="auto"/>
              </w:rPr>
            </w:pPr>
            <w:r>
              <w:rPr>
                <w:rFonts w:ascii="Arial" w:cs="Arial" w:eastAsia="Arial" w:hAnsi="Arial"/>
                <w:sz w:val="17"/>
                <w:szCs w:val="17"/>
                <w:color w:val="auto"/>
              </w:rPr>
              <w:t>20</w:t>
            </w:r>
          </w:p>
        </w:tc>
        <w:tc>
          <w:tcPr>
            <w:tcW w:w="340" w:type="dxa"/>
            <w:vAlign w:val="bottom"/>
          </w:tcPr>
          <w:p>
            <w:pPr>
              <w:ind w:left="20"/>
              <w:spacing w:after="0"/>
              <w:rPr>
                <w:sz w:val="20"/>
                <w:szCs w:val="20"/>
                <w:color w:val="auto"/>
              </w:rPr>
            </w:pPr>
            <w:r>
              <w:rPr>
                <w:rFonts w:ascii="Arial" w:cs="Arial" w:eastAsia="Arial" w:hAnsi="Arial"/>
                <w:sz w:val="17"/>
                <w:szCs w:val="17"/>
                <w:color w:val="auto"/>
                <w:w w:val="90"/>
              </w:rPr>
              <w:t>– 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960" w:firstLine="3"/>
        <w:spacing w:after="0" w:line="407" w:lineRule="auto"/>
        <w:tabs>
          <w:tab w:leader="none" w:pos="17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Property, Plant and Equipment (continued)</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pest control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Interest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Interest is capitalized on real estate development projects and significant construction in progress using the weighted average interest rate during the fiscal year.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Capitalized interest is included in property, plant, and equipment and real estate development assets in the Company’s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Development Costs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$1,192,000 and $4,034,000 in fiscal years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 Investments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and the Company’s equity in net earnings or loss of the respective joint venture.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equity securities, are stated at fair value with unrealized gains (losses) reported in net income. The Company had no equity securities as of October 31, 2021 and 2020.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and Intangible Assets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consist primarily of customer relationships, trade names and trademarks and a non-competition agreement. The Company’s definite-life intangible assets are being amortized on a straight-line basis over their estimated lives ranging from eight to ten years. Acquired water and mineral rights are indefinite-life assets not subject to amortization. Assets held for sale are carried at the lower of cost or fair value less estimated cost to sell.</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evaluates long-lived assets, including its property and equipment, real estate development projects and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estimated fair value. The Company evaluates its indefinite-life intangible assets annually or whenever events or changes in circumstances indicate an impairment of the assets’ value may exist.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is uncertainty around the breadth and duration of the Company's business disruptions related to the COVID-19 pandemic. The decline in demand for the Company's products beginning the second quarter of fiscal year 2020, which it believes was due to the COVID-19 pandemic, negatively impacted its sales and profitability for the last three quarters of fiscal year 2020 and all of fiscal year 2021. The Company also expects COVID-19 to have some impact to its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or liquidity, including its ability to comply with debt covenants, for fiscal year 2022 and beyond, is driven by estimates that contain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960" w:firstLine="3"/>
        <w:spacing w:after="0" w:line="383" w:lineRule="auto"/>
        <w:tabs>
          <w:tab w:leader="none" w:pos="172"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Goodwill</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 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Values of Financial Instruments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note receivable, accounts payable, growers and suppliers payable and accrued liabilities reported on the Company’s consolidated balance sheets approximate their fair values due to the short-term nature of the instruments.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the borrowing rates currently available to the Company for bank loans with similar terms and maturities, the fair value of long-term debt is approximately equal to its carrying amount as of October 31, 2021 and 2020.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and Asset Acquisition</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Business combinations are accounted for under the acquisition method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are accounted for as asset acquisitions. An asset acquisition is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Loss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Comprehensive loss represents all changes in a company’s net assets, except changes resulting from transactions with stockholders. Other comprehensive income or loss primarily includes foreign currency translation items, defined benefit pension items and unrealized gains or losses on available-for-sale securities. Accumulated other comprehensive income (loss) is reported as a component of the Company's stockholders' equity.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other comprehensive income (loss) by component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Pre-tax</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Tax</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Pre-tax</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Tax</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Pre-tax</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Tax</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(Expense)</w:t>
            </w: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(Expense)</w:t>
            </w: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(Expense)</w:t>
            </w:r>
          </w:p>
        </w:tc>
        <w:tc>
          <w:tcPr>
            <w:tcW w:w="88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9"/>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Benefit</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Benefit</w:t>
            </w: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Benefit</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center"/>
              <w:ind w:left="131"/>
              <w:spacing w:after="0"/>
              <w:rPr>
                <w:sz w:val="20"/>
                <w:szCs w:val="20"/>
                <w:color w:val="auto"/>
              </w:rPr>
            </w:pPr>
            <w:r>
              <w:rPr>
                <w:rFonts w:ascii="Arial" w:cs="Arial" w:eastAsia="Arial" w:hAnsi="Arial"/>
                <w:sz w:val="14"/>
                <w:szCs w:val="14"/>
                <w:color w:val="auto"/>
                <w:w w:val="91"/>
              </w:rPr>
              <w:t>(707)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77"/>
        </w:trPr>
        <w:tc>
          <w:tcPr>
            <w:tcW w:w="278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Other comprehensive gain (loss) before</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center"/>
              <w:ind w:left="171"/>
              <w:spacing w:after="0"/>
              <w:rPr>
                <w:sz w:val="20"/>
                <w:szCs w:val="20"/>
                <w:color w:val="auto"/>
              </w:rPr>
            </w:pPr>
            <w:r>
              <w:rPr>
                <w:rFonts w:ascii="Arial" w:cs="Arial" w:eastAsia="Arial" w:hAnsi="Arial"/>
                <w:sz w:val="14"/>
                <w:szCs w:val="14"/>
                <w:color w:val="auto"/>
                <w:w w:val="94"/>
              </w:rPr>
              <w:t>274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reclassifications</w:t>
            </w: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80" w:type="dxa"/>
            <w:vAlign w:val="bottom"/>
          </w:tcPr>
          <w:p>
            <w:pPr>
              <w:ind w:left="2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6"/>
              </w:rPr>
              <w:t>Amounts reclassified to earnings included in</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center"/>
              <w:ind w:left="171"/>
              <w:spacing w:after="0"/>
              <w:rPr>
                <w:sz w:val="20"/>
                <w:szCs w:val="20"/>
                <w:color w:val="auto"/>
              </w:rPr>
            </w:pPr>
            <w:r>
              <w:rPr>
                <w:rFonts w:ascii="Arial" w:cs="Arial" w:eastAsia="Arial" w:hAnsi="Arial"/>
                <w:sz w:val="14"/>
                <w:szCs w:val="14"/>
                <w:color w:val="auto"/>
                <w:w w:val="94"/>
              </w:rPr>
              <w:t>140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center"/>
              <w:ind w:left="131"/>
              <w:spacing w:after="0"/>
              <w:rPr>
                <w:sz w:val="20"/>
                <w:szCs w:val="20"/>
                <w:color w:val="auto"/>
              </w:rPr>
            </w:pPr>
            <w:r>
              <w:rPr>
                <w:rFonts w:ascii="Arial" w:cs="Arial" w:eastAsia="Arial" w:hAnsi="Arial"/>
                <w:sz w:val="14"/>
                <w:szCs w:val="14"/>
                <w:color w:val="auto"/>
                <w:w w:val="91"/>
              </w:rPr>
              <w:t>(293)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income (loss) by component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4"/>
              </w:rPr>
              <w:t>Foreign Currency</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2"/>
              </w:rPr>
              <w:t>Defined Benefit</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Available-for-Sale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23"/>
              <w:spacing w:after="0"/>
              <w:rPr>
                <w:sz w:val="20"/>
                <w:szCs w:val="20"/>
                <w:color w:val="auto"/>
              </w:rPr>
            </w:pPr>
            <w:r>
              <w:rPr>
                <w:rFonts w:ascii="Arial" w:cs="Arial" w:eastAsia="Arial" w:hAnsi="Arial"/>
                <w:sz w:val="15"/>
                <w:szCs w:val="15"/>
                <w:b w:val="1"/>
                <w:bCs w:val="1"/>
                <w:color w:val="auto"/>
                <w:w w:val="93"/>
              </w:rPr>
              <w:t>Accumulated Other</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3"/>
                <w:szCs w:val="13"/>
                <w:color w:val="auto"/>
              </w:rPr>
            </w:pPr>
          </w:p>
        </w:tc>
        <w:tc>
          <w:tcPr>
            <w:tcW w:w="1680" w:type="dxa"/>
            <w:vAlign w:val="bottom"/>
          </w:tcPr>
          <w:p>
            <w:pPr>
              <w:jc w:val="center"/>
              <w:ind w:right="23"/>
              <w:spacing w:after="0" w:line="155" w:lineRule="exact"/>
              <w:rPr>
                <w:sz w:val="20"/>
                <w:szCs w:val="20"/>
                <w:color w:val="auto"/>
              </w:rPr>
            </w:pPr>
            <w:r>
              <w:rPr>
                <w:rFonts w:ascii="Arial" w:cs="Arial" w:eastAsia="Arial" w:hAnsi="Arial"/>
                <w:sz w:val="15"/>
                <w:szCs w:val="15"/>
                <w:b w:val="1"/>
                <w:bCs w:val="1"/>
                <w:color w:val="auto"/>
                <w:w w:val="90"/>
              </w:rPr>
              <w:t>Comprehensive Income</w:t>
            </w:r>
          </w:p>
        </w:tc>
        <w:tc>
          <w:tcPr>
            <w:tcW w:w="0" w:type="dxa"/>
            <w:vAlign w:val="bottom"/>
          </w:tcPr>
          <w:p>
            <w:pPr>
              <w:spacing w:after="0"/>
              <w:rPr>
                <w:sz w:val="1"/>
                <w:szCs w:val="1"/>
                <w:color w:val="auto"/>
              </w:rPr>
            </w:pPr>
          </w:p>
        </w:tc>
      </w:tr>
      <w:tr>
        <w:trPr>
          <w:trHeight w:val="204"/>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Translation Loss</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Pension Plan</w:t>
            </w: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Securities</w:t>
            </w: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right="23"/>
              <w:spacing w:after="0"/>
              <w:rPr>
                <w:sz w:val="20"/>
                <w:szCs w:val="20"/>
                <w:color w:val="auto"/>
              </w:rPr>
            </w:pPr>
            <w:r>
              <w:rPr>
                <w:rFonts w:ascii="Arial" w:cs="Arial" w:eastAsia="Arial" w:hAnsi="Arial"/>
                <w:sz w:val="15"/>
                <w:szCs w:val="15"/>
                <w:b w:val="1"/>
                <w:bCs w:val="1"/>
                <w:color w:val="auto"/>
                <w:w w:val="93"/>
              </w:rPr>
              <w:t>(Loss)</w:t>
            </w:r>
          </w:p>
        </w:tc>
        <w:tc>
          <w:tcPr>
            <w:tcW w:w="0" w:type="dxa"/>
            <w:vAlign w:val="bottom"/>
          </w:tcPr>
          <w:p>
            <w:pPr>
              <w:spacing w:after="0"/>
              <w:rPr>
                <w:sz w:val="1"/>
                <w:szCs w:val="1"/>
                <w:color w:val="auto"/>
              </w:rPr>
            </w:pPr>
          </w:p>
        </w:tc>
      </w:tr>
      <w:tr>
        <w:trPr>
          <w:trHeight w:val="20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October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13,435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center"/>
              <w:ind w:left="663"/>
              <w:spacing w:after="0"/>
              <w:rPr>
                <w:sz w:val="20"/>
                <w:szCs w:val="20"/>
                <w:color w:val="auto"/>
              </w:rPr>
            </w:pPr>
            <w:r>
              <w:rPr>
                <w:rFonts w:ascii="Arial" w:cs="Arial" w:eastAsia="Arial" w:hAnsi="Arial"/>
                <w:sz w:val="15"/>
                <w:szCs w:val="15"/>
                <w:color w:val="auto"/>
                <w:w w:val="95"/>
              </w:rPr>
              <w:t>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8,965</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5"/>
                <w:szCs w:val="15"/>
                <w:color w:val="auto"/>
              </w:rPr>
              <w:t>Adoption of ASU 2016-01</w:t>
            </w:r>
          </w:p>
        </w:tc>
        <w:tc>
          <w:tcPr>
            <w:tcW w:w="140" w:type="dxa"/>
            <w:vAlign w:val="bottom"/>
          </w:tcPr>
          <w:p>
            <w:pPr>
              <w:spacing w:after="0"/>
              <w:rPr>
                <w:sz w:val="17"/>
                <w:szCs w:val="17"/>
                <w:color w:val="auto"/>
              </w:rPr>
            </w:pPr>
          </w:p>
        </w:tc>
        <w:tc>
          <w:tcPr>
            <w:tcW w:w="1500" w:type="dxa"/>
            <w:vAlign w:val="bottom"/>
            <w:gridSpan w:val="2"/>
          </w:tcPr>
          <w:p>
            <w:pPr>
              <w:ind w:left="1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(15,921)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(15,921)</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Adoption of ASU 2018-02</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2,346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643"/>
              <w:spacing w:after="0"/>
              <w:rPr>
                <w:sz w:val="20"/>
                <w:szCs w:val="20"/>
                <w:color w:val="auto"/>
              </w:rPr>
            </w:pPr>
            <w:r>
              <w:rPr>
                <w:rFonts w:ascii="Arial" w:cs="Arial" w:eastAsia="Arial" w:hAnsi="Arial"/>
                <w:sz w:val="15"/>
                <w:szCs w:val="15"/>
                <w:color w:val="auto"/>
                <w:w w:val="97"/>
              </w:rPr>
              <w:t>(25)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1,411</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5"/>
                <w:szCs w:val="15"/>
                <w:color w:val="auto"/>
              </w:rPr>
              <w:t>Balance as of November 1, 2018</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(5,545)</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66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5"/>
                <w:szCs w:val="15"/>
                <w:color w:val="auto"/>
              </w:rPr>
              <w:t>Balance as of October 31, 2019</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(2,362)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(7,255)</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 income</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66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5"/>
                <w:szCs w:val="15"/>
                <w:color w:val="auto"/>
              </w:rPr>
              <w:t>Balance as of October 31, 2020</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(3,069)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20" w:type="dxa"/>
            <w:vAlign w:val="bottom"/>
            <w:gridSpan w:val="2"/>
          </w:tcPr>
          <w:p>
            <w:pPr>
              <w:jc w:val="center"/>
              <w:ind w:left="5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(7,548)</w:t>
            </w: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 income</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center"/>
              <w:ind w:left="66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r>
        <w:trPr>
          <w:trHeight w:val="202"/>
        </w:trPr>
        <w:tc>
          <w:tcPr>
            <w:tcW w:w="3620" w:type="dxa"/>
            <w:vAlign w:val="bottom"/>
          </w:tcPr>
          <w:p>
            <w:pPr>
              <w:ind w:left="20"/>
              <w:spacing w:after="0"/>
              <w:rPr>
                <w:sz w:val="20"/>
                <w:szCs w:val="20"/>
                <w:color w:val="auto"/>
              </w:rPr>
            </w:pPr>
            <w:r>
              <w:rPr>
                <w:rFonts w:ascii="Arial" w:cs="Arial" w:eastAsia="Arial" w:hAnsi="Arial"/>
                <w:sz w:val="15"/>
                <w:szCs w:val="15"/>
                <w:color w:val="auto"/>
              </w:rPr>
              <w:t>Balance as of October 31,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(3,754)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(1,979)</w:t>
            </w:r>
          </w:p>
        </w:tc>
        <w:tc>
          <w:tcPr>
            <w:tcW w:w="1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center"/>
              <w:ind w:left="563"/>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(5,733)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San Pablo and PDA’s functional currency is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income (loss).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Aggregate foreign exchange transaction losses realized for the Company's foreign subsidiaries was approximately $646,000 for fiscal year 2021 and are included in selling, general and administrative expenses in the consolidated statements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recognizes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recognizes revenue to depict the transfer of promised goods or services to customers in an amount that reflects the consideration to which the Company expects to be entitled in exchange for those goods or services. To achieve that core principle, the Company applies the following steps:</w:t>
      </w:r>
    </w:p>
    <w:p>
      <w:pPr>
        <w:spacing w:after="0" w:line="72" w:lineRule="exact"/>
        <w:rPr>
          <w:sz w:val="20"/>
          <w:szCs w:val="20"/>
          <w:color w:val="auto"/>
        </w:rPr>
      </w:pP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Identify the contract(s) with a customer;</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Recognize revenue when (or as) the entity satisfies a performance obligation.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determines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Agribusiness revenue - </w:t>
      </w:r>
      <w:r>
        <w:rPr>
          <w:rFonts w:ascii="Arial" w:cs="Arial" w:eastAsia="Arial" w:hAnsi="Arial"/>
          <w:sz w:val="17"/>
          <w:szCs w:val="17"/>
          <w:color w:val="auto"/>
        </w:rPr>
        <w:t>Revenue from lemon sales is generally recognized at a point in time when the customer takes control of the fruit from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which aligns with the transfer of title to the customer. The Company has elected to treat any shipping and handling costs incurred after control of the goods has been transferred to the customer as agribusiness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avocados, oranges, specialty citrus and other specialty crops are packed and sold by Calavo and other third-party packinghouses. The Company’s arrangements with its third-party packinghouses are such that the Company is the producer and supplier of the product and the third-party packinghouses are the Company’s customers. The Company controls the product until it is delivered to the third-party packinghouses at which time control of the product is transferred to the third-party packinghouses and revenue is recognized.</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from crop insurance proceeds is recorded when the amount can be reasonably determined and upon establishment of the present right to payment. The Company recorded agribusiness revenues from crop insurance proceeds of $2,311,000 in fiscal year 2019. No proceeds were received in fiscal years 2021 and 2020.</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Expense</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Advertising costs are expensed as incurred. Advertising costs were $178,000 and $239,000 in fiscal years 2021 and 2020, respectively, and were not material in fiscal year 2019.</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Accounting for Leases as a Lessee </w:t>
      </w:r>
      <w:r>
        <w:rPr>
          <w:rFonts w:ascii="Arial" w:cs="Arial" w:eastAsia="Arial" w:hAnsi="Arial"/>
          <w:sz w:val="17"/>
          <w:szCs w:val="17"/>
          <w:color w:val="auto"/>
        </w:rPr>
        <w:t>- In its ordinary course of business, the Company enters into leases as a lessee generally for agricultural land and packinghouse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The Company determines if an arrangement is a lease or contains a lease at inception. Operating and finance leases are included in other assets, accrued liabilities and other long-term liabilities on its consolidated balance sheets. Lease right-of-use (“ROU”) assets represent the right to use an underlying asset for the lease term and lease liabilities represent the obligation to make lease payments arising from the lease, measured on a discounted basis. Lease ROU assets and lease liabilities are recognized based on the present value of the future minimum lease payments over the lease term at commencement date. The Company uses either its incremental borrowing rate based on the information available at commencement date, or the rate implicit in the lease, if known, in determining the present value of future payments.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Operating 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has material leases with related parties which are further described in Note 15 - Related-Party Transactions.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spacing w:after="0" w:line="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i w:val="1"/>
          <w:iCs w:val="1"/>
          <w:color w:val="auto"/>
        </w:rPr>
        <w:t xml:space="preserve">Accounting for Leases as a Lessor </w:t>
      </w:r>
      <w:r>
        <w:rPr>
          <w:rFonts w:ascii="Arial" w:cs="Arial" w:eastAsia="Arial" w:hAnsi="Arial"/>
          <w:sz w:val="15"/>
          <w:szCs w:val="15"/>
          <w:color w:val="auto"/>
        </w:rPr>
        <w:t>- Leases in which the Company acts as the lessor include land, residential and commercial units and are all classified 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ASC 842, </w:t>
      </w:r>
      <w:r>
        <w:rPr>
          <w:rFonts w:ascii="Arial" w:cs="Arial" w:eastAsia="Arial" w:hAnsi="Arial"/>
          <w:sz w:val="15"/>
          <w:szCs w:val="15"/>
          <w:i w:val="1"/>
          <w:iCs w:val="1"/>
          <w:color w:val="auto"/>
        </w:rPr>
        <w:t>Leases</w:t>
      </w:r>
      <w:r>
        <w:rPr>
          <w:rFonts w:ascii="Arial" w:cs="Arial" w:eastAsia="Arial" w:hAnsi="Arial"/>
          <w:sz w:val="15"/>
          <w:szCs w:val="15"/>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and Diluted Net Loss per Share</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Basic net loss per common share is calculated using the weighted-average number of common shares outstanding during the period without consideration of the dilutive effect of preferred stock. Diluted net loss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ended October 31, 2021, 2020 and 2019.</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Diluted net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using the treasury stock method. The Company’s unvested, restricted stock awards qualify as participating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960" w:firstLine="3"/>
        <w:spacing w:after="0" w:line="367" w:lineRule="auto"/>
        <w:tabs>
          <w:tab w:leader="none" w:pos="172"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Defined Benefit Retirement Plan</w:t>
      </w:r>
    </w:p>
    <w:p>
      <w:pPr>
        <w:spacing w:after="0" w:line="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The Company sponsors a defined benefit retirement plan that was frozen in June 2004, and no future benefits have been accrued to participants subsequent to that time. Ongoing accounting for this plan under FASB ASC 715, </w:t>
      </w:r>
      <w:r>
        <w:rPr>
          <w:rFonts w:ascii="Arial" w:cs="Arial" w:eastAsia="Arial" w:hAnsi="Arial"/>
          <w:sz w:val="15"/>
          <w:szCs w:val="15"/>
          <w:i w:val="1"/>
          <w:iCs w:val="1"/>
          <w:color w:val="auto"/>
        </w:rPr>
        <w:t>Compensation – Retirement Benefits,</w:t>
      </w:r>
      <w:r>
        <w:rPr>
          <w:rFonts w:ascii="Arial" w:cs="Arial" w:eastAsia="Arial" w:hAnsi="Arial"/>
          <w:sz w:val="15"/>
          <w:szCs w:val="15"/>
          <w:color w:val="auto"/>
        </w:rPr>
        <w:t xml:space="preserve"> provides guidance as to, among other things, future estimated pension expense, pension liability and minimum funding requirements. This information is provided to the Company by third-party actuarial consultants. In developing this data, certain estimates and assumptions are used, including among other things, discount rate, long-term rate of return and mortality tables.</w:t>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fiscal year 2021, the Company decided to terminate the Plan effective December 31, 2021. The liabilities disclosed as of October 31, 2021, reflect an estimate of the additional cost to pay lump sums to a portion of the active and vested terminated participants and purchase annuities for all remaining participants from an insurance company.</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2021, the Society of Actuaries (SOA) released a new mortality improvement scale table, referred to as MP-2021, which is believed to better reflect mortality improvements and is to be used in calculating defined benefit pension obligations. In addition, during fiscal year 2021, the assumed discount rate to measure the pension obligation decreased to 2.6%. The Company used the latest mortality tables released by the SOA through October 2021 to measure its pension obligation as of October 31, 2021 and combined with the assumed discount rate and other demographic assumptions, its pension liability decreased by approximately $2,699,000 as of October 31, 2021. Further changes in any of these estimates could materially affect the amounts recorded that are related to the Company's defined benefit retirement plan.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2016-13, Financial Instruments-Credit Losses (Topic 326): Measurement of Credit Losses on Financial Instruments and related ASUs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ASU 2016-13 is effective for SEC filers for fiscal years, and interim periods within those fiscal years, beginning after December 15, 2019. The Company adopted this ASU effective November 1, 2020 and the adoption did not have a material impact on its consolidated financial statements.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amendment simplifies accounting for convertible instruments by removing major separation models currently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is evaluating the effect this ASU may have on its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Agriculture Property Acquisition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2019, the Company purchased land for use as a citrus orchard for a cash purchase price of $397,000. The acquisition was for 26 acres of agricultural property adjacent to the Company’s orchards in Lindsay, California. This agriculture property acquisition is included in property, plant and equipment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(continued)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Trapani Fresh Business Combination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30, 2019, the Company acquired a 51% interest in a joint venture, Trapani Fresh, formed with FGF Trapani ("FGF"), a multi-generational, family owned citrus operation in Argentina. To consummate the transaction, the Company formed a subsidiary under the name Limoneira Argentina S.A.U. (“Limoneira Argentina”) as the managing partner and acquired a 51% interest in an Argentine Trust that held a 75% interest in Finca Santa Clara (“Santa Clara”), a ranch with approximately 1,200 acres of planted lemons. Trapani Fresh controls the trust and grows fresh citrus.</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consideration paid for the Company’s interest in Trapani Fresh was $15,000,000 and transaction costs of approximately $654,000 were included in selling, general and administrative expense during fiscal year 2019. The Company consolidated Trapani Fresh and accounted for the acquisition of Trapani Fresh as a business combination, resulting in FGF’s 49% interest in Trapani Fresh being accounted for as a noncontrolling interest.</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2020, FGF agreed to a decrease in the purchase consideration of $152,000 to reflect profits that Limoneira Argentina would have received had the transaction been consummated at the beginning of the 2019 lemon export season. The Company recorded a receivable from FGF, a decrease in noncontrolling interest and a decrease in goodwill.</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Below is a summary of the fair value of the net assets acquired on the acquisition date based on a third-party valuation which was updated during the second quarter of fiscal year 2020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Cultural costs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w:t>
            </w:r>
          </w:p>
        </w:tc>
      </w:tr>
      <w:tr>
        <w:trPr>
          <w:trHeight w:val="218"/>
        </w:trPr>
        <w:tc>
          <w:tcPr>
            <w:tcW w:w="9960" w:type="dxa"/>
            <w:vAlign w:val="bottom"/>
          </w:tcPr>
          <w:p>
            <w:pPr>
              <w:ind w:left="20"/>
              <w:spacing w:after="0"/>
              <w:rPr>
                <w:sz w:val="20"/>
                <w:szCs w:val="20"/>
                <w:color w:val="auto"/>
              </w:rPr>
            </w:pPr>
            <w:r>
              <w:rPr>
                <w:rFonts w:ascii="Arial" w:cs="Arial" w:eastAsia="Arial" w:hAnsi="Arial"/>
                <w:sz w:val="17"/>
                <w:szCs w:val="17"/>
                <w:color w:val="auto"/>
              </w:rPr>
              <w:t>Land and land improvements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9,520</w:t>
            </w:r>
          </w:p>
        </w:tc>
      </w:tr>
      <w:tr>
        <w:trPr>
          <w:trHeight w:val="220"/>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building improvements</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w:t>
            </w:r>
          </w:p>
        </w:tc>
      </w:tr>
      <w:tr>
        <w:trPr>
          <w:trHeight w:val="218"/>
        </w:trPr>
        <w:tc>
          <w:tcPr>
            <w:tcW w:w="9960" w:type="dxa"/>
            <w:vAlign w:val="bottom"/>
          </w:tcPr>
          <w:p>
            <w:pPr>
              <w:ind w:left="20"/>
              <w:spacing w:after="0"/>
              <w:rPr>
                <w:sz w:val="20"/>
                <w:szCs w:val="20"/>
                <w:color w:val="auto"/>
              </w:rPr>
            </w:pPr>
            <w:r>
              <w:rPr>
                <w:rFonts w:ascii="Arial" w:cs="Arial" w:eastAsia="Arial" w:hAnsi="Arial"/>
                <w:sz w:val="17"/>
                <w:szCs w:val="17"/>
                <w:color w:val="auto"/>
              </w:rPr>
              <w:t>Orchards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8,410</w:t>
            </w:r>
          </w:p>
        </w:tc>
      </w:tr>
      <w:tr>
        <w:trPr>
          <w:trHeight w:val="220"/>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 trademarks and non-competition agreement (10 year useful life)</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6,920</w:t>
            </w:r>
          </w:p>
        </w:tc>
      </w:tr>
      <w:tr>
        <w:trPr>
          <w:trHeight w:val="218"/>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r>
      <w:tr>
        <w:trPr>
          <w:trHeight w:val="213"/>
        </w:trPr>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29,113</w:t>
            </w:r>
          </w:p>
        </w:tc>
      </w:tr>
      <w:tr>
        <w:trPr>
          <w:trHeight w:val="218"/>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(14,265)</w:t>
            </w:r>
          </w:p>
        </w:tc>
      </w:tr>
      <w:tr>
        <w:trPr>
          <w:trHeight w:val="23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paid</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14,848</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Goodwill of $123,000 relates to synergies of the operations, was allocated to the fresh lemons segment and was not deductible for tax purposes. Revenue of $14,651,000 and net income of $999,000 of Trapani Fresh were included in the Company’s consolidated statement of operations from the acquisition date to the period ended October 31, 2019. The unaudited, pro forma consolidated statement of operations as if Trapani Fresh had been included in the consolidated results of the Company for the year ended October 31, 2019 would have resulted in revenues of $177,625,000 and net loss of $6,092,000.</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June 2021, the Company entered into an agreement, effective March 1, 2021, to sell and license certain assets of Trapani Fresh to FGF. These assets consist of packing supplies and certain intangible assets related to the packing, marketing, and selling business of Trapani Fresh. The total consideration to be received is approximately $3,900,000 over an 8-year term in 16 equal installments. Payments to be received are secured by FGF’s interest in land parcels at the Santa Clara ranch and consist of a $1,200,000 note receivable and $2,700,000 of royalty payments. There was no material gain or loss recognized on the transaction. In August 2021, the Company entered into several additional agreements whereby the additional 25% interest in Santa Clara was transferred into the trust resulting in the trust now holding a 100% interest in Santa Clara. Trapani Fresh owns and operates the 1,200-acre Santa Clara ranch and now sells the lemons it grows to FGF, who packs, markets, and sells the fruit to its export customers. As a result of this transaction, Trapani Fresh now recognizes lemon revenues at the market price less packinghouse charges to harvest, pack and market the fruit.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12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Under the FASB ASC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 (continued)</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At October 31, 2019, the Company owned equity securities consisting of marketable securities in Calavo common stock of 200,000 shares representing approximately 1.1% of Calavo’s outstanding common stock at a stock price of $86.73 per share. These securities were measured at fair value by quoted market prices and changes in fair value were included in the statement of operations. In fiscal year 2020, the Company sold all 200,000 shares of Calavo common stock for a total of $11,048,000, recognizing a loss of $6,299,000. In fiscal year 2019, the Company sold 50,000 shares of Calavo common stock for a total of $4,785,000, recognizing a loss of $2,117,000.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tcPr>
          <w:p>
            <w:pPr>
              <w:spacing w:after="0"/>
              <w:rPr>
                <w:sz w:val="20"/>
                <w:szCs w:val="20"/>
                <w:color w:val="auto"/>
              </w:rPr>
            </w:pPr>
            <w:r>
              <w:rPr>
                <w:rFonts w:ascii="Arial" w:cs="Arial" w:eastAsia="Arial" w:hAnsi="Arial"/>
                <w:sz w:val="17"/>
                <w:szCs w:val="17"/>
                <w:b w:val="1"/>
                <w:bCs w:val="1"/>
                <w:color w:val="auto"/>
              </w:rPr>
              <w:t>5. Prepaid Expenses and Other Current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8340" w:type="dxa"/>
            <w:vAlign w:val="bottom"/>
          </w:tcPr>
          <w:p>
            <w:pPr>
              <w:spacing w:after="0"/>
              <w:rPr>
                <w:sz w:val="20"/>
                <w:szCs w:val="20"/>
                <w:color w:val="auto"/>
              </w:rPr>
            </w:pPr>
            <w:r>
              <w:rPr>
                <w:rFonts w:ascii="Arial" w:cs="Arial" w:eastAsia="Arial" w:hAnsi="Arial"/>
                <w:sz w:val="17"/>
                <w:szCs w:val="17"/>
                <w:color w:val="auto"/>
              </w:rPr>
              <w:t>Prepaid expenses and other current assets consist of the following at October 31 (in thousands):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3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supplies and insurance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Note receivable and related interest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2,490</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development held for sale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Sales tax receivable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Lemon supplier advances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211"/>
        </w:trPr>
        <w:tc>
          <w:tcPr>
            <w:tcW w:w="834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b w:val="1"/>
                <w:bCs w:val="1"/>
                <w:color w:val="auto"/>
              </w:rPr>
              <w:t>6.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340" w:type="dxa"/>
            <w:vAlign w:val="bottom"/>
          </w:tcPr>
          <w:p>
            <w:pPr>
              <w:spacing w:after="0"/>
              <w:rPr>
                <w:sz w:val="20"/>
                <w:szCs w:val="20"/>
                <w:color w:val="auto"/>
              </w:rPr>
            </w:pPr>
            <w:r>
              <w:rPr>
                <w:rFonts w:ascii="Arial" w:cs="Arial" w:eastAsia="Arial" w:hAnsi="Arial"/>
                <w:sz w:val="17"/>
                <w:szCs w:val="17"/>
                <w:color w:val="auto"/>
              </w:rPr>
              <w:t>Property, plant and equipment consists of the following at October 31 (in thousands):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3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96,334</w:t>
            </w: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Land improvements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33,733</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building improvements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48,441</w:t>
            </w: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Equipment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60,124</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Orchards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61,098</w:t>
            </w: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20,469</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320,199</w:t>
            </w: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(77,550)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242,649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$8,883,000, $9,098,000 and $7,944,000 for fiscal years 2021, 2020 and 2019, respectively.</w:t>
      </w:r>
    </w:p>
    <w:p>
      <w:pPr>
        <w:spacing w:after="0" w:line="1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August 2020, the Company sold property located in Lindsay, California. The Company received net proceeds of $6,011,000 after transaction and other costs, and recorded a loss of approximately $424,000, which is included in loss (gain) on disposal of assets in the consolidated statements of operations.</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September 2019, the Company sold its multi-use Mercantile property consisting of a retail convenience store, gas station, car wash and quick serve restaurant located in Santa Paula, California. The Company received net proceeds of $4,000,000 and recognized a gain of approximately $586,000, which is included in loss (gain) on disposal of assets in the consolidated statement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Real Estate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Real estate development assets are comprised primarily of land and land development costs and consist of the following at October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East Area I - Retained property</w:t>
            </w:r>
          </w:p>
        </w:tc>
        <w:tc>
          <w:tcPr>
            <w:tcW w:w="4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13,169</w:t>
            </w:r>
          </w:p>
        </w:tc>
        <w:tc>
          <w:tcPr>
            <w:tcW w:w="0" w:type="dxa"/>
            <w:vAlign w:val="bottom"/>
          </w:tcPr>
          <w:p>
            <w:pPr>
              <w:spacing w:after="0"/>
              <w:rPr>
                <w:sz w:val="1"/>
                <w:szCs w:val="1"/>
                <w:color w:val="auto"/>
              </w:rPr>
            </w:pPr>
          </w:p>
        </w:tc>
      </w:tr>
      <w:tr>
        <w:trPr>
          <w:trHeight w:val="218"/>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East Area II</w:t>
            </w:r>
          </w:p>
        </w:tc>
        <w:tc>
          <w:tcPr>
            <w:tcW w:w="4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8,467</w:t>
            </w: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554"/>
              <w:spacing w:after="0"/>
              <w:rPr>
                <w:sz w:val="20"/>
                <w:szCs w:val="20"/>
                <w:color w:val="auto"/>
              </w:rPr>
            </w:pPr>
            <w:r>
              <w:rPr>
                <w:rFonts w:ascii="Arial" w:cs="Arial" w:eastAsia="Arial" w:hAnsi="Arial"/>
                <w:sz w:val="17"/>
                <w:szCs w:val="17"/>
                <w:color w:val="auto"/>
              </w:rPr>
              <w:t>60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38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6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Real Estate Development (continued)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 Area I, Retained Property and East Area II</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in LLCB to Lewis for $20,000,000.</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$5,771,000 and $5,300,000 at October 31, 2021 and 2020, respectively, which is included in payables to related parties.</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January 2018, LLCB entered into a $45,000,000 unsecured Line of Credit Loan Agreement and Promissory Note (the “Loan”) with Bank of America, N.A. to fund early development activities. The Loan, as modified and extended, matures February 22, 2023. The interest rate on the Loan is LIBOR plus 2.85%, and is payable monthly. The Loan contains certain customary default provisions and LLCB may prepay any amounts outstanding under the Loan without penalty. The joint venture had an outstanding balance of zero as of October 31, 2021. The Loan has a one year extension option through February 22, 2024 subject to terms and conditions as defined in the agreement, with the maximum borrowing amount reduced to $35,000,000 during the extension period.</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LLCB. The $1,080,000 estimated value of the guarantee was recorded in the Company’s consolidated balance sheets and is included in other long-term liabilities with a corresponding value in equity in investments. The extension had no impact on the Company's guarantee value. Additionally, a Reimbursement Agreement was executed between the Lewis guarantors and the Company, which provides for unpaid liabilities of LLCB to be shared pro-rata by the Lewis guarantors and the Company in proportion to their percentage interest in the joint venture.</w:t>
      </w:r>
    </w:p>
    <w:p>
      <w:pPr>
        <w:spacing w:after="0" w:line="80" w:lineRule="exact"/>
        <w:rPr>
          <w:sz w:val="20"/>
          <w:szCs w:val="20"/>
          <w:color w:val="auto"/>
        </w:rPr>
      </w:pPr>
    </w:p>
    <w:p>
      <w:pPr>
        <w:ind w:right="1880"/>
        <w:spacing w:after="0" w:line="379" w:lineRule="auto"/>
        <w:rPr>
          <w:sz w:val="20"/>
          <w:szCs w:val="20"/>
          <w:color w:val="auto"/>
        </w:rPr>
      </w:pPr>
      <w:r>
        <w:rPr>
          <w:rFonts w:ascii="Arial" w:cs="Arial" w:eastAsia="Arial" w:hAnsi="Arial"/>
          <w:sz w:val="17"/>
          <w:szCs w:val="17"/>
          <w:color w:val="auto"/>
        </w:rPr>
        <w:t xml:space="preserve">In February 2020, the Company and Lewis each loaned $1,800,000 to LLCB at an interest rate of 4.6%, which was repaid in June 2020. Through October 31, 2021, the joint venture has closed sales of the initial residential lots representing 586 residential units. </w:t>
      </w:r>
      <w:r>
        <w:rPr>
          <w:rFonts w:ascii="Arial" w:cs="Arial" w:eastAsia="Arial" w:hAnsi="Arial"/>
          <w:sz w:val="17"/>
          <w:szCs w:val="17"/>
          <w:b w:val="1"/>
          <w:bCs w:val="1"/>
          <w:color w:val="auto"/>
        </w:rPr>
        <w:t>Other Real Estate Development Projects</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remaining real estate development parcel within the Templeton Santa Barbara, LLC project is described as Sevilla. In fiscal year 2020, the Company entered into an agreement to sell its Sevilla property for $2,700,000, which is expected to close in the second quarter of fiscal year 2022. After transaction and other costs, the Company expects to receive cash proceeds of approximately $2,550,000 and recognize an immaterial gain upon closing. At October 31, 2021 and 2020, the $2,543,000 carrying value of the property was classified as held for sale and included in prepaid expenses and other current assets.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has been periodically extended with principal payments totaling $400,000 received through October 31, 2021. In November 2021, the promissory note was further extended to June 30, 2022 upon making a principal paydown of $250,000, which was paid in November 2021, and revising the interest rate to 4.00% per annum, with an option to further extend the maturity date of the promissory note to September 30, 2022 upon making an additional principal paydown of $250,000. At October 31, 2021, the net carrying value of the note was $2,600,000 and classified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9460" w:firstLine="3"/>
        <w:spacing w:after="0" w:line="434" w:lineRule="auto"/>
        <w:tabs>
          <w:tab w:leader="none" w:pos="172"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Equity in Investments Limco Del Mar, Ltd.</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a 1.3% interest in Limco Del Mar, Ltd. (“Del Mar”) as a general partner and a 26.8%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provides Del Mar with farm management, orchard land development and accounting services and received expense reimbursements of $200,000, $210,000 and $159,000 in fiscal years 2021, 2020 and 2019, respectively. Del Mar markets lemons through the Company pursuant to its customary marketing agreements and the amount of lemons procured from Del Mar was $1,681,000, $1,037,000 and $1,674,000 in fiscal years 2021, 2020 and 2019, respectively. Fruit proceeds due to Del Mar were $694,000 and $334,000 at October 31, 2021 and 2020, respectively, and are included in grower’s payable in the accompanying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Romney Property Partnership</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Rosales S.A.</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currently has a 47% equity interest in Rosales S.A, (“Rosales”) of which 35% was acquired in fiscal 2014 and an additional 12% interest was acquired with the purchase of PDA in fiscal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(losses) of investments. Amortization amounted to $180,000, $180,000 and $298,000 for fiscal years 2021, 2020 and 2019, respectively, and is estimated to be approximately $118,000 $87,000 and $76,000 per year for years ending October 31, 2022 through October 31, 2024, respectively, and immaterial thereafter.</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recognized $3,405,000, $3,975,000 and $3,741,000 of lemon sales to Rosales in fiscal years 2021, 2020 and 2019, respectively. In fiscal years 2021, 2020 and 2019, the aggregate amount of lemons and oranges procured from Rosales was $5,304,000, $3,190,000 and $4,315,000, respectively. Amounts due from (to) Rosales were $1,570,000 and $(954,000) at October 31, 2021 and 2020, respectively, and are included in receivables/other from related parties and payables to related parties,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Equity in Investments (continued)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Limoneira Lewis Community Builders, LLC (“LLCB”)</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described in Note 7 – Real Estate Development, the Company has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LLCB was deemed significant for the years ended October 31, 2021 and 2019 but was not deemed significant for the year ended October 31, 2020. Therefore, the audited financial statements of LLCB for the years ended October 31, 2021, 2020 and 2019 are provided as exhibits to this document to comply with this rule. Additionally, there is a basis difference between the Company’s historical investment in the project and the amount recorded in members’ capital by LLCB of $51,416,000 as of October 31, 2021. The basis difference of $8,801,000 at October 31, 2021 is primarily comprised of capitalized interest, amounts related to the loan guarantee and certain other costs incurred by Limoneira Company during the development period. This basis difference is being amortized as lots are sold utilizing the relative sales value method and the amount amortized in fiscal years 2021, 2020 and 2019 totaled $1,434,000, $1,060,000 and $1,498,000, respectively. The Company's share of LLCB's net income for fiscal years 2021, 2020 and 2019 prior to basis amortization was $4,508,000, $1,386,000 and $4,368,000,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financial information of the equity method investees for fiscal years 2021, 2020 and 2019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Del Mar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Romney</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Rosales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LLCB</w:t>
            </w: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108,964</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Non-current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865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2,406</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4,708</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Non-current liabilities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2,083</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42,853</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1,052</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438</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9,087</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9,087</w:t>
            </w:r>
          </w:p>
        </w:tc>
      </w:tr>
      <w:tr>
        <w:trPr>
          <w:trHeight w:val="219"/>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130,171</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Non-current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2,218</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35,002</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Non-current liabilities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1,449</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25,906</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Operating (loss)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1,216</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2,615</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r>
      <w:tr>
        <w:trPr>
          <w:trHeight w:val="219"/>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2019</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37,788</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403</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10,001</w:t>
            </w: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20"/>
                <w:szCs w:val="20"/>
                <w:color w:val="auto"/>
              </w:rPr>
            </w:pPr>
            <w:r>
              <w:rPr>
                <w:rFonts w:ascii="Arial" w:cs="Arial" w:eastAsia="Arial" w:hAnsi="Arial"/>
                <w:sz w:val="17"/>
                <w:szCs w:val="17"/>
                <w:b w:val="1"/>
                <w:bCs w:val="1"/>
                <w:color w:val="auto"/>
              </w:rPr>
              <w:t>8. Equity in Investments (continued)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8640" w:type="dxa"/>
            <w:vAlign w:val="bottom"/>
            <w:gridSpan w:val="10"/>
          </w:tcPr>
          <w:p>
            <w:pPr>
              <w:spacing w:after="0"/>
              <w:rPr>
                <w:sz w:val="20"/>
                <w:szCs w:val="20"/>
                <w:color w:val="auto"/>
              </w:rPr>
            </w:pPr>
            <w:r>
              <w:rPr>
                <w:rFonts w:ascii="Arial" w:cs="Arial" w:eastAsia="Arial" w:hAnsi="Arial"/>
                <w:sz w:val="17"/>
                <w:szCs w:val="17"/>
                <w:color w:val="auto"/>
                <w:w w:val="95"/>
              </w:rPr>
              <w:t>The Company’s investment and equity in earnings (losses) of the equity method investees are as follows (in thousands):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Del Mar</w:t>
            </w:r>
          </w:p>
        </w:tc>
        <w:tc>
          <w:tcPr>
            <w:tcW w:w="28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7"/>
                <w:szCs w:val="17"/>
                <w:b w:val="1"/>
                <w:bCs w:val="1"/>
                <w:color w:val="auto"/>
              </w:rPr>
              <w:t>Romney</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b w:val="1"/>
                <w:bCs w:val="1"/>
                <w:color w:val="auto"/>
              </w:rPr>
              <w:t>Rosales</w:t>
            </w:r>
          </w:p>
        </w:tc>
        <w:tc>
          <w:tcPr>
            <w:tcW w:w="240" w:type="dxa"/>
            <w:vAlign w:val="bottom"/>
          </w:tcPr>
          <w:p>
            <w:pPr>
              <w:spacing w:after="0"/>
              <w:rPr>
                <w:sz w:val="24"/>
                <w:szCs w:val="24"/>
                <w:color w:val="auto"/>
              </w:rPr>
            </w:pPr>
          </w:p>
        </w:tc>
        <w:tc>
          <w:tcPr>
            <w:tcW w:w="1120" w:type="dxa"/>
            <w:vAlign w:val="bottom"/>
            <w:gridSpan w:val="3"/>
          </w:tcPr>
          <w:p>
            <w:pPr>
              <w:ind w:left="160"/>
              <w:spacing w:after="0"/>
              <w:rPr>
                <w:sz w:val="20"/>
                <w:szCs w:val="20"/>
                <w:color w:val="auto"/>
              </w:rPr>
            </w:pPr>
            <w:r>
              <w:rPr>
                <w:rFonts w:ascii="Arial" w:cs="Arial" w:eastAsia="Arial" w:hAnsi="Arial"/>
                <w:sz w:val="17"/>
                <w:szCs w:val="17"/>
                <w:b w:val="1"/>
                <w:bCs w:val="1"/>
                <w:color w:val="auto"/>
              </w:rPr>
              <w:t>LLCB</w:t>
            </w:r>
          </w:p>
        </w:tc>
        <w:tc>
          <w:tcPr>
            <w:tcW w:w="100" w:type="dxa"/>
            <w:vAlign w:val="bottom"/>
          </w:tcPr>
          <w:p>
            <w:pPr>
              <w:spacing w:after="0"/>
              <w:rPr>
                <w:sz w:val="24"/>
                <w:szCs w:val="24"/>
                <w:color w:val="auto"/>
              </w:rPr>
            </w:pPr>
          </w:p>
        </w:tc>
        <w:tc>
          <w:tcPr>
            <w:tcW w:w="1140" w:type="dxa"/>
            <w:vAlign w:val="bottom"/>
          </w:tcPr>
          <w:p>
            <w:pPr>
              <w:jc w:val="right"/>
              <w:ind w:right="3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balance October 31, 2018</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14,060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18,698</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Equity earnings (losses)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3,073</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distributions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Investment contributions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interest adjustment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Reclassification of sale and leaseback deferral</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33,353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33,353</w:t>
            </w:r>
          </w:p>
        </w:tc>
        <w:tc>
          <w:tcPr>
            <w:tcW w:w="0" w:type="dxa"/>
            <w:vAlign w:val="bottom"/>
          </w:tcPr>
          <w:p>
            <w:pPr>
              <w:spacing w:after="0"/>
              <w:rPr>
                <w:sz w:val="1"/>
                <w:szCs w:val="1"/>
                <w:color w:val="auto"/>
              </w:rPr>
            </w:pPr>
          </w:p>
        </w:tc>
      </w:tr>
      <w:tr>
        <w:trPr>
          <w:trHeight w:val="21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balance October 31, 2019</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54,016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58,223</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Equity earnings (losses)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contributions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Foreign currency adjustments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balance October 31, 2020</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57,142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61,214</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Equity earnings (losses)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3,074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3,203</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distributions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Foreign currency adjustments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balance October 31, 2021</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60,216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9. Goodwill and Intangible Assets,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220" w:type="dxa"/>
            <w:vAlign w:val="bottom"/>
            <w:gridSpan w:val="5"/>
          </w:tcPr>
          <w:p>
            <w:pPr>
              <w:spacing w:after="0"/>
              <w:rPr>
                <w:sz w:val="20"/>
                <w:szCs w:val="20"/>
                <w:color w:val="auto"/>
              </w:rPr>
            </w:pPr>
            <w:r>
              <w:rPr>
                <w:rFonts w:ascii="Arial" w:cs="Arial" w:eastAsia="Arial" w:hAnsi="Arial"/>
                <w:sz w:val="17"/>
                <w:szCs w:val="17"/>
                <w:color w:val="auto"/>
                <w:w w:val="93"/>
              </w:rPr>
              <w:t>A summary of the change in the carrying amount of goodwill is as follows (in thousands):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gridSpan w:val="4"/>
          </w:tcPr>
          <w:p>
            <w:pPr>
              <w:jc w:val="right"/>
              <w:ind w:right="54"/>
              <w:spacing w:after="0"/>
              <w:rPr>
                <w:sz w:val="20"/>
                <w:szCs w:val="20"/>
                <w:color w:val="auto"/>
              </w:rPr>
            </w:pPr>
            <w:r>
              <w:rPr>
                <w:rFonts w:ascii="Arial" w:cs="Arial" w:eastAsia="Arial" w:hAnsi="Arial"/>
                <w:sz w:val="17"/>
                <w:szCs w:val="17"/>
                <w:b w:val="1"/>
                <w:bCs w:val="1"/>
                <w:color w:val="auto"/>
              </w:rPr>
              <w:t>Goodwill Carrying</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w w:val="90"/>
              </w:rPr>
              <w:t>Amount</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October 31, 2019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Trapani Fresh purchase price adjustment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7"/>
                <w:szCs w:val="17"/>
                <w:color w:val="auto"/>
              </w:rPr>
              <w:t>Balance at October 31, 2020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1,535</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7"/>
                <w:szCs w:val="17"/>
                <w:color w:val="auto"/>
              </w:rPr>
              <w:t>Balance at October 31, 2021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See Note 3 - Acquisitions for additional information regarding the Trapani Fresh purchase price adjustment.</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2021 with no impairment noted. The Company did not incur any goodwill impairment losses in fiscal years 2021, 2020 or 2019, as the estimated fair values of its reporting units were in excess of their carrying values.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2021, the Company has allocated goodwill to its reportable segments as follows: Fresh Lemons $957,000 and Lemon Packing $570,000.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ended October 31, 2021, the Company acquired additional water rights in Chile for $186,000.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 Net (continued)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consisted of the following as of October 31, 2021 and 2020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October 31,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October 31, 2020</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jc w:val="center"/>
              <w:ind w:left="5"/>
              <w:spacing w:after="0" w:line="128"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Net Carrying</w:t>
            </w:r>
          </w:p>
        </w:tc>
        <w:tc>
          <w:tcPr>
            <w:tcW w:w="10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Net Carrying</w:t>
            </w:r>
          </w:p>
        </w:tc>
        <w:tc>
          <w:tcPr>
            <w:tcW w:w="1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Useful Life in</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Useful Life in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Intangible assets: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 and trademarks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960" w:type="dxa"/>
            <w:vAlign w:val="bottom"/>
            <w:shd w:val="clear" w:color="auto" w:fill="CCEEFF"/>
          </w:tcPr>
          <w:p>
            <w:pPr>
              <w:jc w:val="center"/>
              <w:ind w:left="25"/>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2,824</w:t>
            </w:r>
          </w:p>
        </w:tc>
        <w:tc>
          <w:tcPr>
            <w:tcW w:w="960" w:type="dxa"/>
            <w:vAlign w:val="bottom"/>
            <w:gridSpan w:val="2"/>
            <w:shd w:val="clear" w:color="auto" w:fill="CCEEFF"/>
          </w:tcPr>
          <w:p>
            <w:pPr>
              <w:jc w:val="center"/>
              <w:ind w:left="17"/>
              <w:spacing w:after="0"/>
              <w:rPr>
                <w:sz w:val="20"/>
                <w:szCs w:val="20"/>
                <w:color w:val="auto"/>
              </w:rPr>
            </w:pPr>
            <w:r>
              <w:rPr>
                <w:rFonts w:ascii="Arial" w:cs="Arial" w:eastAsia="Arial" w:hAnsi="Arial"/>
                <w:sz w:val="15"/>
                <w:szCs w:val="15"/>
                <w:color w:val="auto"/>
                <w:w w:val="83"/>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2,828</w:t>
            </w:r>
          </w:p>
        </w:tc>
        <w:tc>
          <w:tcPr>
            <w:tcW w:w="960" w:type="dxa"/>
            <w:vAlign w:val="bottom"/>
          </w:tcPr>
          <w:p>
            <w:pPr>
              <w:jc w:val="center"/>
              <w:ind w:left="2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4,021</w:t>
            </w:r>
          </w:p>
        </w:tc>
        <w:tc>
          <w:tcPr>
            <w:tcW w:w="960" w:type="dxa"/>
            <w:vAlign w:val="bottom"/>
            <w:gridSpan w:val="2"/>
          </w:tcPr>
          <w:p>
            <w:pPr>
              <w:jc w:val="center"/>
              <w:spacing w:after="0"/>
              <w:rPr>
                <w:sz w:val="20"/>
                <w:szCs w:val="20"/>
                <w:color w:val="auto"/>
              </w:rPr>
            </w:pPr>
            <w:r>
              <w:rPr>
                <w:rFonts w:ascii="Arial" w:cs="Arial" w:eastAsia="Arial" w:hAnsi="Arial"/>
                <w:sz w:val="15"/>
                <w:szCs w:val="15"/>
                <w:color w:val="auto"/>
                <w:w w:val="95"/>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Non-competition agreement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960" w:type="dxa"/>
            <w:vAlign w:val="bottom"/>
            <w:shd w:val="clear" w:color="auto" w:fill="CCEEFF"/>
          </w:tcPr>
          <w:p>
            <w:pPr>
              <w:jc w:val="center"/>
              <w:ind w:left="25"/>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893</w:t>
            </w:r>
          </w:p>
        </w:tc>
        <w:tc>
          <w:tcPr>
            <w:tcW w:w="960" w:type="dxa"/>
            <w:vAlign w:val="bottom"/>
            <w:gridSpan w:val="2"/>
            <w:shd w:val="clear" w:color="auto" w:fill="CCEEFF"/>
          </w:tcPr>
          <w:p>
            <w:pPr>
              <w:jc w:val="center"/>
              <w:ind w:left="17"/>
              <w:spacing w:after="0"/>
              <w:rPr>
                <w:sz w:val="20"/>
                <w:szCs w:val="20"/>
                <w:color w:val="auto"/>
              </w:rPr>
            </w:pPr>
            <w:r>
              <w:rPr>
                <w:rFonts w:ascii="Arial" w:cs="Arial" w:eastAsia="Arial" w:hAnsi="Arial"/>
                <w:sz w:val="15"/>
                <w:szCs w:val="15"/>
                <w:color w:val="auto"/>
                <w:w w:val="83"/>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00" w:type="dxa"/>
            <w:vAlign w:val="bottom"/>
          </w:tcPr>
          <w:p>
            <w:pPr>
              <w:ind w:left="20"/>
              <w:spacing w:after="0"/>
              <w:rPr>
                <w:sz w:val="20"/>
                <w:szCs w:val="20"/>
                <w:color w:val="auto"/>
              </w:rPr>
            </w:pPr>
            <w:r>
              <w:rPr>
                <w:rFonts w:ascii="Arial" w:cs="Arial" w:eastAsia="Arial" w:hAnsi="Arial"/>
                <w:sz w:val="17"/>
                <w:szCs w:val="17"/>
                <w:color w:val="auto"/>
              </w:rPr>
              <w:t>Acquired water and mineral rights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3,641</w:t>
            </w: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4"/>
              </w:rPr>
              <w:t>Indefinite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3,571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3,571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00" w:type="dxa"/>
            <w:vAlign w:val="bottom"/>
            <w:gridSpan w:val="17"/>
          </w:tcPr>
          <w:p>
            <w:pPr>
              <w:spacing w:after="0"/>
              <w:rPr>
                <w:sz w:val="20"/>
                <w:szCs w:val="20"/>
                <w:color w:val="auto"/>
              </w:rPr>
            </w:pPr>
            <w:r>
              <w:rPr>
                <w:rFonts w:ascii="Arial" w:cs="Arial" w:eastAsia="Arial" w:hAnsi="Arial"/>
                <w:sz w:val="17"/>
                <w:szCs w:val="17"/>
                <w:color w:val="auto"/>
                <w:w w:val="93"/>
              </w:rPr>
              <w:t>Amortization expense totaled $929,000, $999,000, and $689,000 for the years ended October 31, 2021, 2020 and 2019, respectively.</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580" w:type="dxa"/>
            <w:vAlign w:val="bottom"/>
            <w:gridSpan w:val="18"/>
          </w:tcPr>
          <w:p>
            <w:pPr>
              <w:spacing w:after="0"/>
              <w:rPr>
                <w:sz w:val="20"/>
                <w:szCs w:val="20"/>
                <w:color w:val="auto"/>
              </w:rPr>
            </w:pPr>
            <w:r>
              <w:rPr>
                <w:rFonts w:ascii="Arial" w:cs="Arial" w:eastAsia="Arial" w:hAnsi="Arial"/>
                <w:sz w:val="17"/>
                <w:szCs w:val="17"/>
                <w:color w:val="auto"/>
                <w:w w:val="91"/>
              </w:rPr>
              <w:t>Estimated future amortization expense of intangible assets for each of the next five fiscal years and thereafter are as follows (in thousands):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00" w:type="dxa"/>
            <w:vAlign w:val="bottom"/>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00" w:type="dxa"/>
            <w:vAlign w:val="bottom"/>
          </w:tcPr>
          <w:p>
            <w:pPr>
              <w:ind w:left="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Other Assets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Mutual Water Companies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October 31, 2021 and 2020 were $5,994,000 and $5,563,000,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Accrued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 of the following at October 31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Property taxes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683</w:t>
            </w: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Lemon and orange supplier payables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938</w:t>
            </w: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r>
      <w:tr>
        <w:trPr>
          <w:trHeight w:val="21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1,947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w:t>
            </w:r>
          </w:p>
        </w:tc>
      </w:tr>
      <w:tr>
        <w:trPr>
          <w:trHeight w:val="237"/>
        </w:trPr>
        <w:tc>
          <w:tcPr>
            <w:tcW w:w="8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6,542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spacing w:after="0"/>
              <w:rPr>
                <w:sz w:val="20"/>
                <w:szCs w:val="20"/>
                <w:color w:val="auto"/>
              </w:rPr>
            </w:pPr>
            <w:r>
              <w:rPr>
                <w:rFonts w:ascii="Arial" w:cs="Arial" w:eastAsia="Arial" w:hAnsi="Arial"/>
                <w:sz w:val="17"/>
                <w:szCs w:val="17"/>
                <w:b w:val="1"/>
                <w:bCs w:val="1"/>
                <w:color w:val="auto"/>
              </w:rPr>
              <w:t>12. Long-Term Debt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8600" w:type="dxa"/>
            <w:vAlign w:val="bottom"/>
          </w:tcPr>
          <w:p>
            <w:pPr>
              <w:spacing w:after="0"/>
              <w:rPr>
                <w:sz w:val="20"/>
                <w:szCs w:val="20"/>
                <w:color w:val="auto"/>
              </w:rPr>
            </w:pPr>
            <w:r>
              <w:rPr>
                <w:rFonts w:ascii="Arial" w:cs="Arial" w:eastAsia="Arial" w:hAnsi="Arial"/>
                <w:sz w:val="17"/>
                <w:szCs w:val="17"/>
                <w:color w:val="auto"/>
              </w:rPr>
              <w:t>Long-term debt is comprised of the following at October 31 (in thousands):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6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w w:val="97"/>
              </w:rPr>
              <w:t>Farm Credit West revolving and non-revolving lines of credit: The interest rate of the revolving line of credit is variable</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5"/>
              </w:rPr>
              <w:t>based on the one-month London Interbank Offered Rate (“LIBOR”), which was 0.09% at October 31, 2021, plus 1.85%.</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5"/>
              </w:rPr>
              <w:t>The interest rate for the $40.0 million outstanding balance of the non-revolving line of credit was fixed at 4.77% through</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4"/>
              </w:rPr>
              <w:t>July 1, 2022, 3.57% through July 1, 2025 and variable interest thereafter. Interest is payable monthly and the principal is</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111,293</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102,251</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full on July 1, 2026.</w:t>
            </w: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5"/>
              </w:rPr>
              <w:t>Farm Credit West term loan: Effective July 1, 2020, the interest rate was fixed at 2.48%. The loan is payable in quarterly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installments through November 2022.</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5"/>
              </w:rPr>
              <w:t>Farm Credit West term loan: Effective July 1, 2020, the interest rate was fixed at 3.24%. The loan is payable in monthly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installments through October 2035.</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5"/>
              </w:rPr>
              <w:t>Farm Credit West term loan: Effective July 1, 2020, the interest rate was fixed at 3.24%. The loan is payable in monthly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8,433</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installments through March 2036.</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8"/>
              </w:rPr>
              <w:t>Farm Credit West term loan: Effective July 1, 2020, the interest rate was fixed at 2.77% until July 1, 2025, becoming</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5,892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6,220</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for the remainder of the loan. The loan is payable in monthly installments though March 2036.</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Wells Fargo term loan: The loan was repaid in August 2021 with proceeds from the Farm Credit West term loan.</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3,491</w:t>
            </w: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3"/>
              </w:rPr>
              <w:t>Farm Credit West term loan: Effective August 2, 2021, the interest rate was fixed at 3.19%. The loan is payable in monthly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installments through September 2026.</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4"/>
              </w:rPr>
              <w:t>Banco de Chile term loan: The interest rate is fixed at 6.48%. The loan is payable in annual installments through January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1"/>
              </w:rPr>
              <w:t>Note Payable: The interest rate ranges from 5.00% to 7.00% and was 6.50% at October 31, 2021. The loan includes interest-</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only monthly payments and principal is due in February 2023.</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Banco de Chile COVID-19 loans: The interest rates are fixed at 3.48%. The loans are payable in monthly installments</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February 2021 through September 2024.</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8"/>
              </w:rPr>
              <w:t>Banco de Chile COVID-19 loans: The interest rates are fixed at 3.48% and 4.26%. The loans are payable in monthly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installments beginning September 2021 through September 2026.</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00" w:type="dxa"/>
            <w:vAlign w:val="bottom"/>
          </w:tcPr>
          <w:p>
            <w:pPr>
              <w:ind w:left="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132,956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126,024</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deferred financing costs, net of accumulated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11"/>
        </w:trPr>
        <w:tc>
          <w:tcPr>
            <w:tcW w:w="8600" w:type="dxa"/>
            <w:vAlign w:val="bottom"/>
          </w:tcPr>
          <w:p>
            <w:pPr>
              <w:ind w:left="20"/>
              <w:spacing w:after="0"/>
              <w:rPr>
                <w:sz w:val="20"/>
                <w:szCs w:val="20"/>
                <w:color w:val="auto"/>
              </w:rPr>
            </w:pPr>
            <w:r>
              <w:rPr>
                <w:rFonts w:ascii="Arial" w:cs="Arial" w:eastAsia="Arial" w:hAnsi="Arial"/>
                <w:sz w:val="17"/>
                <w:szCs w:val="17"/>
                <w:color w:val="auto"/>
              </w:rPr>
              <w:t>Total long-term debt,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132,825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125,848</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3,277</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130,353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122,571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August 2021, the Company entered into an equipment finance agreement (the "FCW term loan") with Farm Credit West, PCA (the “Lender”) and used the proceeds to pay off the Wells Fargo term loan. The FCW term loan has a fixed interest rate of 3.19% and is payable in monthly installments through September 2026. There were no unamortized debt financing costs related to the Wells Fargo term loan and no capitalized financing costs related to the FCW term loan.</w:t>
      </w:r>
    </w:p>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June 2021, the Company entered into a Master Loan Agreement (the “MLA”) with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 Debt financing costs related to the MLA agreement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Long-Term Debt (continued)</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June 2020, the Company and Farm Credit West entered into a Conversion Agreement to convert the term loans noted above to fixed interest rate loans effective July 1, 2020. No changes were made to the outstanding principal balances on the term loans and the Company made no cash repayments of principal. The rates were subject to a prepayment restriction period for a portion of the fixed rate term that expired on January 1, 2021. The Company may prepay any amounts without penalty.</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March 2020, the Company entered into a revolving equity line of credit promissory note and loan agreement with Farm Credit West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Supplements and RELOC provide aggregate borrowing capacity of $130,000,000 comprised of $75,000,000 under the Revolving Credit Supplement, $40,000,000 under the Non-Revolving Credit Supplement and $15,000,000 under the RELOC. As of October 31, 2021, the Company's outstanding borrowings under the revolving and non-revolving lines of credit were $111,293,000 and it had $18,707,000 of availability. For amounts outstanding under both Supplements, interest will begin to be charged on the date the Lender disburses principal and will continue until the outstanding indebtedness under the Supplements is paid in full with interest.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initial interest rate in effect under the Revolving Credit Supplement was 1.69% per annum, and was automatically adjusted commencing July 1, 2021 and on the first day of each month thereafter. The interest rate for any amount outstanding under the Revolving Credit Supplement will be based on the one-month LIBOR rate plus or minus an applicable margin. The applicable margin will range from 1.75% to 2.35% depending on the ratio of current assets, plus the remaining available commitment divided by current liabilities. On July 1, 2022, and on each one-year anniversary thereafter, the Company has the option to convert the interest rate in use under the Revolving Credit Supplement from the preceding LIBOR-based calculation to a variable interest rate. Any amounts outstanding under the Revolving Credit Supplement will be due and payable in full on July 1, 2026. The Company may prepay any amounts outstanding under the Revolving Credit Supplement without penalty.</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initial interest rate in effect under the Non-Revolving Credit Supplement is a fixed interest rate of 4.77% through July 1, 2022 and then will convert to a fixed interest rate of 3.57% per year until July 1, 2025 (the “Fixed Rate Term”). Thereafter, the interest rate will convert to a variable interest rate established by the Lender corresponding to the corresponding interest rate group. Any amount outstanding under the Non-Revolving Credit Supplement is due and payable in full on July 1, 2026.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All indebtedness under the MLA and RELOC, including any indebtedness under the Supplements, is secured by a first lien on Company-owned stock or participation certificates, Company funds maintained with Lender,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specified debt service coverage ratio on an annual basis. In December 2021, the Lender modified the covenant to defer measurement at October 31, 2021 and revert to a debt service coverage ratio of 1.25:1.0 measured as of October 31, 2022.</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received annual cash patronage dividends from Farm Credit West of $1,170,000, $1,566,000 and $853,000 in fiscal years 2021, 2020 and 2019, respectively.</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2021, PDA and San Pablo entered into term loan agreements for an aggregate amount of approximately $652,000. These small business loans are guaranteed by the Chilean government in response to economic instability caused by the COVID-19 pandemic. The unsecured loans mature in August 2025 and September 2026, bear interest at fixed rates of 3.48% and 4.26%, respectively, and are payable in monthly installments beginning September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Long-Term Debt (continued)</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July and September 2020, PDA and San Pablo entered into term loan agreements for an aggregate amount of approximately $522,000. These small business loans are guaranteed by the Chilean government in response to economic instability caused by the COVID-19 pandemic. The unsecured loans mature in July 2024 and September 2024, bear interest at fixed rates of 3.48% and are payable in monthly installments beginning February 2021 and April 2021, respectively.</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is capitalized on non-bearing orchards, real estate development projects and significant construction in progress. The Company capitalized interest of $1,110,000, $921,000 and $1,369,000 during the fiscal years ended 2021, 2020 and 2019, respectively. Capitalized interest is included in property, plant and equipment and real estate development assets in the Company’s consolidated balance sheets.</w:t>
      </w:r>
    </w:p>
    <w:p>
      <w:pPr>
        <w:spacing w:after="0" w:line="7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was $131,000 and $176,000, net of amortization at October 31, 2021 and 2020, respectively, and was included in long-term debt on the Company’s consolidated balance sheet.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20" w:type="dxa"/>
            <w:vAlign w:val="bottom"/>
          </w:tcPr>
          <w:p>
            <w:pPr>
              <w:spacing w:after="0"/>
              <w:rPr>
                <w:sz w:val="20"/>
                <w:szCs w:val="20"/>
                <w:color w:val="auto"/>
              </w:rPr>
            </w:pPr>
            <w:r>
              <w:rPr>
                <w:rFonts w:ascii="Arial" w:cs="Arial" w:eastAsia="Arial" w:hAnsi="Arial"/>
                <w:sz w:val="17"/>
                <w:szCs w:val="17"/>
                <w:color w:val="auto"/>
              </w:rPr>
              <w:t>Principal payments on the Company’s long-term debt are due as follows (in thousands):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30"/>
        </w:trPr>
        <w:tc>
          <w:tcPr>
            <w:tcW w:w="9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2023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3,385</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2025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2,092</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112,749</w:t>
            </w: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10,443</w:t>
            </w:r>
          </w:p>
        </w:tc>
      </w:tr>
      <w:tr>
        <w:trPr>
          <w:trHeight w:val="237"/>
        </w:trPr>
        <w:tc>
          <w:tcPr>
            <w:tcW w:w="9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132,956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Leases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Lessor Arrangements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enters into leasing transactions in which it rents certain of its assets and the Company is the lessor. These lease contracts are typically classified as operating leases with remaining terms ranging from one month to 21 years, with various renewal terms available. All of the residential rentals have month-to-month lease terms.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the components of the Company’s operating lease portfolio included in property, plant and equipment, net as of October 31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w:t>
            </w:r>
          </w:p>
        </w:tc>
      </w:tr>
      <w:tr>
        <w:trPr>
          <w:trHeight w:val="218"/>
        </w:trPr>
        <w:tc>
          <w:tcPr>
            <w:tcW w:w="8520" w:type="dxa"/>
            <w:vAlign w:val="bottom"/>
          </w:tcPr>
          <w:p>
            <w:pPr>
              <w:ind w:left="20"/>
              <w:spacing w:after="0"/>
              <w:rPr>
                <w:sz w:val="20"/>
                <w:szCs w:val="20"/>
                <w:color w:val="auto"/>
              </w:rPr>
            </w:pPr>
            <w:r>
              <w:rPr>
                <w:rFonts w:ascii="Arial" w:cs="Arial" w:eastAsia="Arial" w:hAnsi="Arial"/>
                <w:sz w:val="17"/>
                <w:szCs w:val="17"/>
                <w:color w:val="auto"/>
              </w:rPr>
              <w:t>Buildings, equipment and building improvements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18,516</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(5,691)</w:t>
            </w:r>
          </w:p>
        </w:tc>
      </w:tr>
      <w:tr>
        <w:trPr>
          <w:trHeight w:val="213"/>
        </w:trPr>
        <w:tc>
          <w:tcPr>
            <w:tcW w:w="8520" w:type="dxa"/>
            <w:vAlign w:val="bottom"/>
          </w:tcPr>
          <w:p>
            <w:pPr>
              <w:ind w:left="20"/>
              <w:spacing w:after="0"/>
              <w:rPr>
                <w:sz w:val="20"/>
                <w:szCs w:val="20"/>
                <w:color w:val="auto"/>
              </w:rPr>
            </w:pPr>
            <w:r>
              <w:rPr>
                <w:rFonts w:ascii="Arial" w:cs="Arial" w:eastAsia="Arial" w:hAnsi="Arial"/>
                <w:sz w:val="17"/>
                <w:szCs w:val="17"/>
                <w:color w:val="auto"/>
              </w:rPr>
              <w:t>Property, plant and equipment, net under operating leases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15,897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16,347</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assets under operating leases was approximately $669,000 and $664,000 for the fiscal years 2021 and 2020, respectively.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7"/>
                <w:szCs w:val="17"/>
                <w:color w:val="auto"/>
              </w:rPr>
              <w:t>The Company’s rental operations revenue consists of the following (in thousands):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49"/>
        </w:trPr>
        <w:tc>
          <w:tcPr>
            <w:tcW w:w="8520" w:type="dxa"/>
            <w:vAlign w:val="bottom"/>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October 31,</w:t>
            </w:r>
          </w:p>
        </w:tc>
        <w:tc>
          <w:tcPr>
            <w:tcW w:w="460" w:type="dxa"/>
            <w:vAlign w:val="bottom"/>
            <w:tcBorders>
              <w:bottom w:val="single" w:sz="8" w:color="auto"/>
            </w:tcBorders>
          </w:tcPr>
          <w:p>
            <w:pPr>
              <w:spacing w:after="0"/>
              <w:rPr>
                <w:sz w:val="24"/>
                <w:szCs w:val="24"/>
                <w:color w:val="auto"/>
              </w:rPr>
            </w:pPr>
          </w:p>
        </w:tc>
      </w:tr>
      <w:tr>
        <w:trPr>
          <w:trHeight w:val="213"/>
        </w:trPr>
        <w:tc>
          <w:tcPr>
            <w:tcW w:w="85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60" w:type="dxa"/>
            <w:vAlign w:val="bottom"/>
            <w:tcBorders>
              <w:bottom w:val="single" w:sz="8" w:color="auto"/>
            </w:tcBorders>
          </w:tcPr>
          <w:p>
            <w:pPr>
              <w:spacing w:after="0"/>
              <w:rPr>
                <w:sz w:val="18"/>
                <w:szCs w:val="18"/>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revenue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4,329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4,287</w:t>
            </w:r>
          </w:p>
        </w:tc>
      </w:tr>
      <w:tr>
        <w:trPr>
          <w:trHeight w:val="21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revenue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revenue</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4,646</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4,622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Leases (continued)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Lessor Arrangements (continued)</w:t>
      </w:r>
    </w:p>
    <w:p>
      <w:pPr>
        <w:spacing w:after="0" w:line="120"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color w:val="auto"/>
        </w:rPr>
        <w:t>The future minimum lease payments to be received by the Company related to these operating lease agreements as of October 31, 2021 are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2023</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1,100</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2025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823</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r>
      <w:tr>
        <w:trPr>
          <w:trHeight w:val="23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rental operations revenue included contingent rental revenue of $355,000 for fiscal year 2019.</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Lessee Arrangements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enters into leasing transactions in which the Company is the lessee. These lease contracts are classified as either operating or finance leases. The Company’s lease contracts are generally for agricultural land and packinghouse equipment with remaining lease terms ranging from one to 16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Operating lease costs were $606,000 and $559,000 and variable lease costs were $288,000 and immaterial, for the fiscal years 2021 and 2020, respectively, which are primarily included in agribusiness costs and expenses in the Company’s consolidated statements of operations. Finance lease costs and short term lease costs were immaterial for both years.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leases consists of the following as of October 31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20" w:type="dxa"/>
            <w:vAlign w:val="bottom"/>
          </w:tcPr>
          <w:p>
            <w:pPr>
              <w:spacing w:after="0"/>
              <w:rPr>
                <w:sz w:val="19"/>
                <w:szCs w:val="19"/>
                <w:color w:val="auto"/>
              </w:rPr>
            </w:pPr>
          </w:p>
        </w:tc>
        <w:tc>
          <w:tcPr>
            <w:tcW w:w="4380" w:type="dxa"/>
            <w:vAlign w:val="bottom"/>
            <w:gridSpan w:val="2"/>
          </w:tcPr>
          <w:p>
            <w:pPr>
              <w:ind w:left="20"/>
              <w:spacing w:after="0"/>
              <w:rPr>
                <w:sz w:val="20"/>
                <w:szCs w:val="20"/>
                <w:color w:val="auto"/>
              </w:rPr>
            </w:pPr>
            <w:r>
              <w:rPr>
                <w:rFonts w:ascii="Arial" w:cs="Arial" w:eastAsia="Arial" w:hAnsi="Arial"/>
                <w:sz w:val="17"/>
                <w:szCs w:val="17"/>
                <w:b w:val="1"/>
                <w:bCs w:val="1"/>
                <w:color w:val="auto"/>
              </w:rPr>
              <w:t>Classification</w:t>
            </w:r>
          </w:p>
        </w:tc>
        <w:tc>
          <w:tcPr>
            <w:tcW w:w="320" w:type="dxa"/>
            <w:vAlign w:val="bottom"/>
          </w:tcPr>
          <w:p>
            <w:pPr>
              <w:spacing w:after="0"/>
              <w:rPr>
                <w:sz w:val="19"/>
                <w:szCs w:val="19"/>
                <w:color w:val="auto"/>
              </w:rPr>
            </w:pPr>
          </w:p>
        </w:tc>
        <w:tc>
          <w:tcPr>
            <w:tcW w:w="1100" w:type="dxa"/>
            <w:vAlign w:val="bottom"/>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0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Operating lease ROU assets</w:t>
            </w:r>
          </w:p>
        </w:tc>
        <w:tc>
          <w:tcPr>
            <w:tcW w:w="438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2,041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2,053</w:t>
            </w: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assets</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2"/>
        </w:trPr>
        <w:tc>
          <w:tcPr>
            <w:tcW w:w="39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3,183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2,053</w:t>
            </w:r>
          </w:p>
        </w:tc>
      </w:tr>
      <w:tr>
        <w:trPr>
          <w:trHeight w:val="259"/>
        </w:trPr>
        <w:tc>
          <w:tcPr>
            <w:tcW w:w="3920" w:type="dxa"/>
            <w:vAlign w:val="bottom"/>
            <w:shd w:val="clear" w:color="auto" w:fill="CCEEFF"/>
          </w:tcPr>
          <w:p>
            <w:pPr>
              <w:spacing w:after="0"/>
              <w:rPr>
                <w:sz w:val="22"/>
                <w:szCs w:val="22"/>
                <w:color w:val="auto"/>
              </w:rPr>
            </w:pPr>
          </w:p>
        </w:tc>
        <w:tc>
          <w:tcPr>
            <w:tcW w:w="4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operating lease liabilities</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liabilities and payables to related parties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521</w:t>
            </w: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Current finance lease liabilities</w:t>
            </w:r>
          </w:p>
        </w:tc>
        <w:tc>
          <w:tcPr>
            <w:tcW w:w="4380" w:type="dxa"/>
            <w:vAlign w:val="bottom"/>
            <w:gridSpan w:val="2"/>
          </w:tcPr>
          <w:p>
            <w:pPr>
              <w:ind w:left="2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1,610</w:t>
            </w:r>
          </w:p>
        </w:tc>
      </w:tr>
      <w:tr>
        <w:trPr>
          <w:trHeight w:val="21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Non-current finance lease liabilities</w:t>
            </w:r>
          </w:p>
        </w:tc>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r>
      <w:tr>
        <w:trPr>
          <w:trHeight w:val="23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lease liabilities</w:t>
            </w:r>
          </w:p>
        </w:tc>
        <w:tc>
          <w:tcPr>
            <w:tcW w:w="4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3,269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2,131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9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20" w:type="dxa"/>
            <w:vAlign w:val="bottom"/>
          </w:tcPr>
          <w:p>
            <w:pPr>
              <w:spacing w:after="0"/>
              <w:rPr>
                <w:sz w:val="20"/>
                <w:szCs w:val="20"/>
                <w:color w:val="auto"/>
              </w:rPr>
            </w:pPr>
            <w:r>
              <w:rPr>
                <w:rFonts w:ascii="Arial" w:cs="Arial" w:eastAsia="Arial" w:hAnsi="Arial"/>
                <w:sz w:val="17"/>
                <w:szCs w:val="17"/>
                <w:b w:val="1"/>
                <w:bCs w:val="1"/>
                <w:color w:val="auto"/>
              </w:rPr>
              <w:t>13. Leases (continued)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09"/>
        </w:trPr>
        <w:tc>
          <w:tcPr>
            <w:tcW w:w="8520" w:type="dxa"/>
            <w:vAlign w:val="bottom"/>
          </w:tcPr>
          <w:p>
            <w:pPr>
              <w:spacing w:after="0"/>
              <w:rPr>
                <w:sz w:val="20"/>
                <w:szCs w:val="20"/>
                <w:color w:val="auto"/>
              </w:rPr>
            </w:pPr>
            <w:r>
              <w:rPr>
                <w:rFonts w:ascii="Arial" w:cs="Arial" w:eastAsia="Arial" w:hAnsi="Arial"/>
                <w:sz w:val="17"/>
                <w:szCs w:val="17"/>
                <w:b w:val="1"/>
                <w:bCs w:val="1"/>
                <w:color w:val="auto"/>
              </w:rPr>
              <w:t>Lessee Arrangements (continued)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9"/>
        </w:trPr>
        <w:tc>
          <w:tcPr>
            <w:tcW w:w="8520" w:type="dxa"/>
            <w:vAlign w:val="bottom"/>
          </w:tcPr>
          <w:p>
            <w:pPr>
              <w:spacing w:after="0"/>
              <w:rPr>
                <w:sz w:val="20"/>
                <w:szCs w:val="20"/>
                <w:color w:val="auto"/>
              </w:rPr>
            </w:pPr>
            <w:r>
              <w:rPr>
                <w:rFonts w:ascii="Arial" w:cs="Arial" w:eastAsia="Arial" w:hAnsi="Arial"/>
                <w:sz w:val="17"/>
                <w:szCs w:val="17"/>
                <w:color w:val="auto"/>
              </w:rPr>
              <w:t>Supplemental cash flow information related to leases consists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9"/>
        </w:trPr>
        <w:tc>
          <w:tcPr>
            <w:tcW w:w="8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7"/>
                <w:szCs w:val="17"/>
                <w:b w:val="1"/>
                <w:bCs w:val="1"/>
                <w:color w:val="auto"/>
              </w:rPr>
              <w:t>Year ended October 31,</w:t>
            </w:r>
          </w:p>
        </w:tc>
      </w:tr>
      <w:tr>
        <w:trPr>
          <w:trHeight w:val="213"/>
        </w:trPr>
        <w:tc>
          <w:tcPr>
            <w:tcW w:w="8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199"/>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8"/>
        </w:trPr>
        <w:tc>
          <w:tcPr>
            <w:tcW w:w="8520" w:type="dxa"/>
            <w:vAlign w:val="bottom"/>
          </w:tcPr>
          <w:p>
            <w:pPr>
              <w:ind w:left="20"/>
              <w:spacing w:after="0"/>
              <w:rPr>
                <w:sz w:val="20"/>
                <w:szCs w:val="20"/>
                <w:color w:val="auto"/>
              </w:rPr>
            </w:pPr>
            <w:r>
              <w:rPr>
                <w:rFonts w:ascii="Arial" w:cs="Arial" w:eastAsia="Arial" w:hAnsi="Arial"/>
                <w:sz w:val="17"/>
                <w:szCs w:val="17"/>
                <w:color w:val="auto"/>
              </w:rPr>
              <w:t>Operating cash outflows from operating leases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603</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559</w:t>
            </w:r>
          </w:p>
        </w:tc>
      </w:tr>
      <w:tr>
        <w:trPr>
          <w:trHeight w:val="220"/>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cash outflows from finance leases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520" w:type="dxa"/>
            <w:vAlign w:val="bottom"/>
          </w:tcPr>
          <w:p>
            <w:pPr>
              <w:ind w:left="20"/>
              <w:spacing w:after="0"/>
              <w:rPr>
                <w:sz w:val="20"/>
                <w:szCs w:val="20"/>
                <w:color w:val="auto"/>
              </w:rPr>
            </w:pPr>
            <w:r>
              <w:rPr>
                <w:rFonts w:ascii="Arial" w:cs="Arial" w:eastAsia="Arial" w:hAnsi="Arial"/>
                <w:sz w:val="17"/>
                <w:szCs w:val="17"/>
                <w:color w:val="auto"/>
              </w:rPr>
              <w:t>Financing cash outflows from finance leases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 obtained in exchange for new operating lease liabilities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8520" w:type="dxa"/>
            <w:vAlign w:val="bottom"/>
          </w:tcPr>
          <w:p>
            <w:pPr>
              <w:ind w:left="20"/>
              <w:spacing w:after="0"/>
              <w:rPr>
                <w:sz w:val="20"/>
                <w:szCs w:val="20"/>
                <w:color w:val="auto"/>
              </w:rPr>
            </w:pPr>
            <w:r>
              <w:rPr>
                <w:rFonts w:ascii="Arial" w:cs="Arial" w:eastAsia="Arial" w:hAnsi="Arial"/>
                <w:sz w:val="17"/>
                <w:szCs w:val="17"/>
                <w:color w:val="auto"/>
              </w:rPr>
              <w:t>Leased assets obtained in exchange for new finance lease liabilities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1,151</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minimum lease payments under non-cancellable leases for each of the subsequent five fiscal years and thereafter are as follows (in thousands), which excludes $448,000 of operating lease payments for leases that have been signed but not commenced: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b w:val="1"/>
                <w:bCs w:val="1"/>
                <w:color w:val="auto"/>
              </w:rPr>
              <w:t>Finance</w:t>
            </w:r>
          </w:p>
        </w:tc>
        <w:tc>
          <w:tcPr>
            <w:tcW w:w="280" w:type="dxa"/>
            <w:vAlign w:val="bottom"/>
          </w:tcPr>
          <w:p>
            <w:pPr>
              <w:spacing w:after="0"/>
              <w:rPr>
                <w:sz w:val="19"/>
                <w:szCs w:val="19"/>
                <w:color w:val="auto"/>
              </w:rPr>
            </w:pPr>
          </w:p>
        </w:tc>
        <w:tc>
          <w:tcPr>
            <w:tcW w:w="1040" w:type="dxa"/>
            <w:vAlign w:val="bottom"/>
          </w:tcPr>
          <w:p>
            <w:pPr>
              <w:jc w:val="right"/>
              <w:ind w:right="394"/>
              <w:spacing w:after="0"/>
              <w:rPr>
                <w:sz w:val="20"/>
                <w:szCs w:val="20"/>
                <w:color w:val="auto"/>
              </w:rPr>
            </w:pPr>
            <w:r>
              <w:rPr>
                <w:rFonts w:ascii="Arial" w:cs="Arial" w:eastAsia="Arial" w:hAnsi="Arial"/>
                <w:sz w:val="17"/>
                <w:szCs w:val="17"/>
                <w:b w:val="1"/>
                <w:bCs w:val="1"/>
                <w:color w:val="auto"/>
              </w:rPr>
              <w:t>Total</w:t>
            </w:r>
          </w:p>
        </w:tc>
      </w:tr>
      <w:tr>
        <w:trPr>
          <w:trHeight w:val="213"/>
        </w:trPr>
        <w:tc>
          <w:tcPr>
            <w:tcW w:w="708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737</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r>
      <w:tr>
        <w:trPr>
          <w:trHeight w:val="218"/>
        </w:trPr>
        <w:tc>
          <w:tcPr>
            <w:tcW w:w="7080" w:type="dxa"/>
            <w:vAlign w:val="bottom"/>
          </w:tcPr>
          <w:p>
            <w:pPr>
              <w:ind w:left="20"/>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530</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r>
      <w:tr>
        <w:trPr>
          <w:trHeight w:val="218"/>
        </w:trPr>
        <w:tc>
          <w:tcPr>
            <w:tcW w:w="7080" w:type="dxa"/>
            <w:vAlign w:val="bottom"/>
          </w:tcPr>
          <w:p>
            <w:pPr>
              <w:ind w:left="20"/>
              <w:spacing w:after="0"/>
              <w:rPr>
                <w:sz w:val="20"/>
                <w:szCs w:val="20"/>
                <w:color w:val="auto"/>
              </w:rPr>
            </w:pPr>
            <w:r>
              <w:rPr>
                <w:rFonts w:ascii="Arial" w:cs="Arial" w:eastAsia="Arial" w:hAnsi="Arial"/>
                <w:sz w:val="17"/>
                <w:szCs w:val="17"/>
                <w:color w:val="auto"/>
              </w:rPr>
              <w:t>2026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r>
      <w:tr>
        <w:trPr>
          <w:trHeight w:val="211"/>
        </w:trPr>
        <w:tc>
          <w:tcPr>
            <w:tcW w:w="708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2,617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3,842</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r>
      <w:tr>
        <w:trPr>
          <w:trHeight w:val="213"/>
        </w:trPr>
        <w:tc>
          <w:tcPr>
            <w:tcW w:w="7080" w:type="dxa"/>
            <w:vAlign w:val="bottom"/>
          </w:tcPr>
          <w:p>
            <w:pPr>
              <w:ind w:left="20"/>
              <w:spacing w:after="0"/>
              <w:rPr>
                <w:sz w:val="20"/>
                <w:szCs w:val="20"/>
                <w:color w:val="auto"/>
              </w:rPr>
            </w:pPr>
            <w:r>
              <w:rPr>
                <w:rFonts w:ascii="Arial" w:cs="Arial" w:eastAsia="Arial" w:hAnsi="Arial"/>
                <w:sz w:val="17"/>
                <w:szCs w:val="17"/>
                <w:color w:val="auto"/>
              </w:rPr>
              <w:t>Present value of lease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3,269</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operating and finance lease commitments, the Company also has a contract for pollination services which does not meet the definition of a lease, with minimum future payments of $307,000 and $51,000 in fiscal years 2022 and 2023, respectively.</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lease expense for fiscal year 2019 was $733,000, which was included in agribusiness costs and expenses in the Company’s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Earnings Per Share</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Basic net loss per common share is calculated using the weighted-average number of common shares outstanding during the period without consideration of the dilutive effect of conversion of preferred stock. Diluted net loss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ended October 31, 2021, 2020 and 2019. The computations for basic and diluted net loss per common share are as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40" w:type="dxa"/>
            <w:vAlign w:val="bottom"/>
          </w:tcPr>
          <w:p>
            <w:pPr>
              <w:spacing w:after="0"/>
              <w:rPr>
                <w:sz w:val="20"/>
                <w:szCs w:val="20"/>
                <w:color w:val="auto"/>
              </w:rPr>
            </w:pPr>
            <w:r>
              <w:rPr>
                <w:rFonts w:ascii="Arial" w:cs="Arial" w:eastAsia="Arial" w:hAnsi="Arial"/>
                <w:sz w:val="17"/>
                <w:szCs w:val="17"/>
                <w:b w:val="1"/>
                <w:bCs w:val="1"/>
                <w:color w:val="auto"/>
              </w:rPr>
              <w:t>14. Earnings Per Share (continued)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9"/>
        </w:trPr>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7"/>
                <w:szCs w:val="17"/>
                <w:b w:val="1"/>
                <w:bCs w:val="1"/>
                <w:color w:val="auto"/>
              </w:rPr>
              <w:t>Year ended October 31,</w:t>
            </w:r>
          </w:p>
        </w:tc>
        <w:tc>
          <w:tcPr>
            <w:tcW w:w="1040" w:type="dxa"/>
            <w:vAlign w:val="bottom"/>
            <w:tcBorders>
              <w:bottom w:val="single" w:sz="8" w:color="auto"/>
            </w:tcBorders>
          </w:tcPr>
          <w:p>
            <w:pPr>
              <w:spacing w:after="0"/>
              <w:rPr>
                <w:sz w:val="24"/>
                <w:szCs w:val="24"/>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2019</w:t>
            </w:r>
          </w:p>
        </w:tc>
      </w:tr>
      <w:tr>
        <w:trPr>
          <w:trHeight w:val="212"/>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net loss per common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7040" w:type="dxa"/>
            <w:vAlign w:val="bottom"/>
          </w:tcPr>
          <w:p>
            <w:pPr>
              <w:ind w:left="20"/>
              <w:spacing w:after="0"/>
              <w:rPr>
                <w:sz w:val="20"/>
                <w:szCs w:val="20"/>
                <w:color w:val="auto"/>
              </w:rPr>
            </w:pPr>
            <w:r>
              <w:rPr>
                <w:rFonts w:ascii="Arial" w:cs="Arial" w:eastAsia="Arial" w:hAnsi="Arial"/>
                <w:sz w:val="17"/>
                <w:szCs w:val="17"/>
                <w:color w:val="auto"/>
              </w:rPr>
              <w:t>Net loss applicable to common stock</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(3,942)</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(16,936)</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(6,444)</w:t>
            </w:r>
          </w:p>
        </w:tc>
      </w:tr>
      <w:tr>
        <w:trPr>
          <w:trHeight w:val="22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1"/>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Numerator: Net loss for basic EPS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(16,980)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(6,495)</w:t>
            </w:r>
          </w:p>
        </w:tc>
      </w:tr>
      <w:tr>
        <w:trPr>
          <w:trHeight w:val="212"/>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 Weighted average common shares-basic</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17,580</w:t>
            </w:r>
          </w:p>
        </w:tc>
      </w:tr>
      <w:tr>
        <w:trPr>
          <w:trHeight w:val="213"/>
        </w:trPr>
        <w:tc>
          <w:tcPr>
            <w:tcW w:w="7040" w:type="dxa"/>
            <w:vAlign w:val="bottom"/>
          </w:tcPr>
          <w:p>
            <w:pPr>
              <w:ind w:left="20"/>
              <w:spacing w:after="0"/>
              <w:rPr>
                <w:sz w:val="20"/>
                <w:szCs w:val="20"/>
                <w:color w:val="auto"/>
              </w:rPr>
            </w:pPr>
            <w:r>
              <w:rPr>
                <w:rFonts w:ascii="Arial" w:cs="Arial" w:eastAsia="Arial" w:hAnsi="Arial"/>
                <w:sz w:val="17"/>
                <w:szCs w:val="17"/>
                <w:color w:val="auto"/>
              </w:rPr>
              <w:t>Basic net loss per common share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(0.37)</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Diluted net loss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Net loss for diluted EPS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(6,495)</w:t>
            </w:r>
          </w:p>
        </w:tc>
      </w:tr>
      <w:tr>
        <w:trPr>
          <w:trHeight w:val="211"/>
        </w:trPr>
        <w:tc>
          <w:tcPr>
            <w:tcW w:w="7040" w:type="dxa"/>
            <w:vAlign w:val="bottom"/>
          </w:tcPr>
          <w:p>
            <w:pPr>
              <w:ind w:left="20"/>
              <w:spacing w:after="0"/>
              <w:rPr>
                <w:sz w:val="20"/>
                <w:szCs w:val="20"/>
                <w:color w:val="auto"/>
              </w:rPr>
            </w:pPr>
            <w:r>
              <w:rPr>
                <w:rFonts w:ascii="Arial" w:cs="Arial" w:eastAsia="Arial" w:hAnsi="Arial"/>
                <w:sz w:val="17"/>
                <w:szCs w:val="17"/>
                <w:color w:val="auto"/>
              </w:rPr>
              <w:t>Weighted average common shares-basic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17,580</w:t>
            </w:r>
          </w:p>
        </w:tc>
      </w:tr>
      <w:tr>
        <w:trPr>
          <w:trHeight w:val="22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unvested, restricted stock and preferred stock</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Denominator: Weighted average common shares-diluted</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17,555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17,666</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17,580</w:t>
            </w:r>
          </w:p>
        </w:tc>
      </w:tr>
      <w:tr>
        <w:trPr>
          <w:trHeight w:val="23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loss per common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Diluted net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117,000, 164,000 and 119,000, unvested, restricted shares, as calculated under the treasury stock method, from its computation of diluted losses per share for the fiscal years ended October 31, 2021, 2020 and 2019,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Related-Party Transactions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transactions with equity method investments and various related-parties summarized in Note 8 - Equity in Investments and in the tables below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2"/>
                <w:szCs w:val="12"/>
                <w:b w:val="1"/>
                <w:bCs w:val="1"/>
                <w:color w:val="auto"/>
              </w:rPr>
              <w:t>October 31, 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2"/>
                <w:szCs w:val="12"/>
                <w:b w:val="1"/>
                <w:bCs w:val="1"/>
                <w:color w:val="auto"/>
              </w:rPr>
              <w:t>October 31, 2020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b w:val="1"/>
                <w:bCs w:val="1"/>
                <w:color w:val="auto"/>
              </w:rPr>
              <w:t>Balance Sheet</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2"/>
                <w:szCs w:val="12"/>
                <w:b w:val="1"/>
                <w:bCs w:val="1"/>
                <w:color w:val="auto"/>
              </w:rPr>
              <w:t>Balance Sheet</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ind w:left="20"/>
              <w:spacing w:after="0" w:line="114" w:lineRule="exact"/>
              <w:rPr>
                <w:sz w:val="20"/>
                <w:szCs w:val="20"/>
                <w:color w:val="auto"/>
              </w:rPr>
            </w:pPr>
            <w:r>
              <w:rPr>
                <w:rFonts w:ascii="Arial" w:cs="Arial" w:eastAsia="Arial" w:hAnsi="Arial"/>
                <w:sz w:val="12"/>
                <w:szCs w:val="12"/>
                <w:b w:val="1"/>
                <w:bCs w:val="1"/>
                <w:color w:val="auto"/>
                <w:w w:val="99"/>
              </w:rPr>
              <w:t>Receivables/Other</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6"/>
              </w:rPr>
              <w:t>Payables to</w:t>
            </w:r>
          </w:p>
        </w:tc>
        <w:tc>
          <w:tcPr>
            <w:tcW w:w="100" w:type="dxa"/>
            <w:vAlign w:val="bottom"/>
          </w:tcPr>
          <w:p>
            <w:pPr>
              <w:spacing w:after="0"/>
              <w:rPr>
                <w:sz w:val="9"/>
                <w:szCs w:val="9"/>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3"/>
              </w:rPr>
              <w:t>Other Long-</w:t>
            </w:r>
          </w:p>
        </w:tc>
        <w:tc>
          <w:tcPr>
            <w:tcW w:w="1080" w:type="dxa"/>
            <w:vAlign w:val="bottom"/>
            <w:gridSpan w:val="3"/>
          </w:tcPr>
          <w:p>
            <w:pPr>
              <w:ind w:left="20"/>
              <w:spacing w:after="0" w:line="114" w:lineRule="exact"/>
              <w:rPr>
                <w:sz w:val="20"/>
                <w:szCs w:val="20"/>
                <w:color w:val="auto"/>
              </w:rPr>
            </w:pPr>
            <w:r>
              <w:rPr>
                <w:rFonts w:ascii="Arial" w:cs="Arial" w:eastAsia="Arial" w:hAnsi="Arial"/>
                <w:sz w:val="12"/>
                <w:szCs w:val="12"/>
                <w:b w:val="1"/>
                <w:bCs w:val="1"/>
                <w:color w:val="auto"/>
                <w:w w:val="99"/>
              </w:rPr>
              <w:t>Receivables/Other</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89"/>
              </w:rPr>
              <w:t>Payables to</w:t>
            </w:r>
          </w:p>
        </w:tc>
        <w:tc>
          <w:tcPr>
            <w:tcW w:w="100" w:type="dxa"/>
            <w:vAlign w:val="bottom"/>
          </w:tcPr>
          <w:p>
            <w:pPr>
              <w:spacing w:after="0"/>
              <w:rPr>
                <w:sz w:val="9"/>
                <w:szCs w:val="9"/>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w w:val="96"/>
              </w:rPr>
              <w:t>Other Long-</w:t>
            </w:r>
          </w:p>
        </w:tc>
        <w:tc>
          <w:tcPr>
            <w:tcW w:w="0" w:type="dxa"/>
            <w:vAlign w:val="bottom"/>
          </w:tcPr>
          <w:p>
            <w:pPr>
              <w:spacing w:after="0"/>
              <w:rPr>
                <w:sz w:val="1"/>
                <w:szCs w:val="1"/>
                <w:color w:val="auto"/>
              </w:rPr>
            </w:pPr>
          </w:p>
        </w:tc>
      </w:tr>
      <w:tr>
        <w:trPr>
          <w:trHeight w:val="116"/>
        </w:trPr>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Ref</w:t>
            </w:r>
          </w:p>
        </w:tc>
        <w:tc>
          <w:tcPr>
            <w:tcW w:w="2740" w:type="dxa"/>
            <w:vAlign w:val="bottom"/>
            <w:gridSpan w:val="2"/>
            <w:vMerge w:val="restart"/>
          </w:tcPr>
          <w:p>
            <w:pPr>
              <w:ind w:left="960"/>
              <w:spacing w:after="0"/>
              <w:rPr>
                <w:sz w:val="20"/>
                <w:szCs w:val="20"/>
                <w:color w:val="auto"/>
              </w:rPr>
            </w:pPr>
            <w:r>
              <w:rPr>
                <w:rFonts w:ascii="Arial" w:cs="Arial" w:eastAsia="Arial" w:hAnsi="Arial"/>
                <w:sz w:val="12"/>
                <w:szCs w:val="12"/>
                <w:b w:val="1"/>
                <w:bCs w:val="1"/>
                <w:color w:val="auto"/>
              </w:rPr>
              <w:t>Related Party</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9"/>
              </w:rPr>
              <w:t>from Related</w:t>
            </w: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Other Assets</w:t>
            </w:r>
          </w:p>
        </w:tc>
        <w:tc>
          <w:tcPr>
            <w:tcW w:w="10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2"/>
              </w:rPr>
              <w:t>from Related</w:t>
            </w:r>
          </w:p>
        </w:tc>
        <w:tc>
          <w:tcPr>
            <w:tcW w:w="12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Other Assets</w:t>
            </w:r>
          </w:p>
        </w:tc>
        <w:tc>
          <w:tcPr>
            <w:tcW w:w="10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 w:type="dxa"/>
            <w:vAlign w:val="bottom"/>
            <w:gridSpan w:val="2"/>
            <w:vMerge w:val="continue"/>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Parties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Related Parties</w:t>
            </w: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3"/>
              </w:rPr>
              <w:t>Term Liabilities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Parties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2"/>
              </w:rPr>
              <w:t>Related Parties</w:t>
            </w:r>
          </w:p>
        </w:tc>
        <w:tc>
          <w:tcPr>
            <w:tcW w:w="90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Term Liabilities</w:t>
            </w:r>
          </w:p>
        </w:tc>
        <w:tc>
          <w:tcPr>
            <w:tcW w:w="0" w:type="dxa"/>
            <w:vAlign w:val="bottom"/>
          </w:tcPr>
          <w:p>
            <w:pPr>
              <w:spacing w:after="0"/>
              <w:rPr>
                <w:sz w:val="1"/>
                <w:szCs w:val="1"/>
                <w:color w:val="auto"/>
              </w:rPr>
            </w:pPr>
          </w:p>
        </w:tc>
      </w:tr>
      <w:tr>
        <w:trPr>
          <w:trHeight w:val="179"/>
        </w:trPr>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Mutual water companies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5"/>
                <w:szCs w:val="15"/>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Cooperative association</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93"/>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Cadiz / Fenner / WAM</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77"/>
        </w:trPr>
        <w:tc>
          <w:tcPr>
            <w:tcW w:w="36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5"/>
                <w:szCs w:val="15"/>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Colorado River Growers</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93"/>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FGF</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5"/>
                <w:szCs w:val="15"/>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LLCB</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93"/>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5,771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5,300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party growers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Related-Party Transactions (continued)</w:t>
      </w:r>
    </w:p>
    <w:p>
      <w:pPr>
        <w:sectPr>
          <w:pgSz w:w="11900" w:h="16838" w:orient="portrait"/>
          <w:cols w:equalWidth="0" w:num="1">
            <w:col w:w="11240"/>
          </w:cols>
          <w:pgMar w:left="320" w:top="353" w:right="339" w:bottom="1440" w:gutter="0" w:footer="0" w:header="0"/>
        </w:sectPr>
      </w:pPr>
    </w:p>
    <w:p>
      <w:pPr>
        <w:spacing w:after="0" w:line="153" w:lineRule="exact"/>
        <w:rPr>
          <w:sz w:val="20"/>
          <w:szCs w:val="20"/>
          <w:color w:val="auto"/>
        </w:rPr>
      </w:pPr>
    </w:p>
    <w:p>
      <w:pPr>
        <w:ind w:left="3780"/>
        <w:spacing w:after="0"/>
        <w:rPr>
          <w:sz w:val="20"/>
          <w:szCs w:val="20"/>
          <w:color w:val="auto"/>
        </w:rPr>
      </w:pPr>
      <w:r>
        <w:rPr>
          <w:rFonts w:ascii="Arial" w:cs="Arial" w:eastAsia="Arial" w:hAnsi="Arial"/>
          <w:sz w:val="11"/>
          <w:szCs w:val="11"/>
          <w:b w:val="1"/>
          <w:bCs w:val="1"/>
          <w:color w:val="auto"/>
        </w:rPr>
        <w:t>Year Ended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29210</wp:posOffset>
            </wp:positionV>
            <wp:extent cx="2456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34" w:lineRule="exact"/>
        <w:rPr>
          <w:sz w:val="20"/>
          <w:szCs w:val="20"/>
          <w:color w:val="auto"/>
        </w:rPr>
      </w:pPr>
    </w:p>
    <w:p>
      <w:pPr>
        <w:ind w:left="3180"/>
        <w:spacing w:after="0"/>
        <w:rPr>
          <w:sz w:val="20"/>
          <w:szCs w:val="20"/>
          <w:color w:val="auto"/>
        </w:rPr>
      </w:pPr>
      <w:r>
        <w:rPr>
          <w:rFonts w:ascii="Arial" w:cs="Arial" w:eastAsia="Arial" w:hAnsi="Arial"/>
          <w:sz w:val="11"/>
          <w:szCs w:val="11"/>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color w:val="auto"/>
        </w:rPr>
        <w:t>Year Ended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22225</wp:posOffset>
            </wp:positionV>
            <wp:extent cx="29718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2" w:lineRule="exact"/>
        <w:rPr>
          <w:sz w:val="20"/>
          <w:szCs w:val="20"/>
          <w:color w:val="auto"/>
        </w:rPr>
      </w:pPr>
    </w:p>
    <w:p>
      <w:pPr>
        <w:jc w:val="center"/>
        <w:ind w:right="1360"/>
        <w:spacing w:after="0"/>
        <w:rPr>
          <w:sz w:val="20"/>
          <w:szCs w:val="20"/>
          <w:color w:val="auto"/>
        </w:rPr>
      </w:pPr>
      <w:r>
        <w:rPr>
          <w:rFonts w:ascii="Arial" w:cs="Arial" w:eastAsia="Arial" w:hAnsi="Arial"/>
          <w:sz w:val="10"/>
          <w:szCs w:val="10"/>
          <w:b w:val="1"/>
          <w:bCs w:val="1"/>
          <w:color w:val="auto"/>
        </w:rPr>
        <w:t>Consolidated Statement of Operations</w:t>
      </w:r>
    </w:p>
    <w:p>
      <w:pPr>
        <w:spacing w:after="0" w:line="42" w:lineRule="exact"/>
        <w:rPr>
          <w:sz w:val="20"/>
          <w:szCs w:val="20"/>
          <w:color w:val="auto"/>
        </w:rPr>
      </w:pPr>
    </w:p>
    <w:p>
      <w:pPr>
        <w:sectPr>
          <w:pgSz w:w="11900" w:h="16838" w:orient="portrait"/>
          <w:cols w:equalWidth="0" w:num="2">
            <w:col w:w="7200" w:space="720"/>
            <w:col w:w="3320"/>
          </w:cols>
          <w:pgMar w:left="320" w:top="353" w:right="33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2"/>
                <w:szCs w:val="12"/>
                <w:b w:val="1"/>
                <w:bCs w:val="1"/>
                <w:color w:val="auto"/>
              </w:rPr>
              <w:t>Net Revenue</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87"/>
              </w:rPr>
              <w:t>Net Revenue</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6"/>
              </w:rPr>
              <w:t>Agribusiness</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0"/>
              </w:rPr>
              <w:t>Dividends</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2"/>
                <w:szCs w:val="12"/>
                <w:b w:val="1"/>
                <w:bCs w:val="1"/>
                <w:color w:val="auto"/>
              </w:rPr>
              <w:t>Net Revenue</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Net Revenue</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6"/>
              </w:rPr>
              <w:t>Agribusiness</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Other</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2"/>
                <w:szCs w:val="12"/>
                <w:b w:val="1"/>
                <w:bCs w:val="1"/>
                <w:color w:val="auto"/>
                <w:w w:val="90"/>
              </w:rPr>
              <w:t>Dividends</w:t>
            </w:r>
          </w:p>
        </w:tc>
        <w:tc>
          <w:tcPr>
            <w:tcW w:w="0" w:type="dxa"/>
            <w:vAlign w:val="bottom"/>
          </w:tcPr>
          <w:p>
            <w:pPr>
              <w:spacing w:after="0"/>
              <w:rPr>
                <w:sz w:val="1"/>
                <w:szCs w:val="1"/>
                <w:color w:val="auto"/>
              </w:rPr>
            </w:pPr>
          </w:p>
        </w:tc>
      </w:tr>
      <w:tr>
        <w:trPr>
          <w:trHeight w:val="116"/>
        </w:trPr>
        <w:tc>
          <w:tcPr>
            <w:tcW w:w="360" w:type="dxa"/>
            <w:vAlign w:val="bottom"/>
            <w:vMerge w:val="restart"/>
          </w:tcPr>
          <w:p>
            <w:pPr>
              <w:jc w:val="right"/>
              <w:ind w:right="108"/>
              <w:spacing w:after="0"/>
              <w:rPr>
                <w:sz w:val="20"/>
                <w:szCs w:val="20"/>
                <w:color w:val="auto"/>
              </w:rPr>
            </w:pPr>
            <w:r>
              <w:rPr>
                <w:rFonts w:ascii="Arial" w:cs="Arial" w:eastAsia="Arial" w:hAnsi="Arial"/>
                <w:sz w:val="12"/>
                <w:szCs w:val="12"/>
                <w:b w:val="1"/>
                <w:bCs w:val="1"/>
                <w:color w:val="auto"/>
                <w:w w:val="92"/>
              </w:rPr>
              <w:t>Ref</w:t>
            </w:r>
          </w:p>
        </w:tc>
        <w:tc>
          <w:tcPr>
            <w:tcW w:w="2240" w:type="dxa"/>
            <w:vAlign w:val="bottom"/>
            <w:gridSpan w:val="2"/>
            <w:vMerge w:val="restart"/>
          </w:tcPr>
          <w:p>
            <w:pPr>
              <w:ind w:left="740"/>
              <w:spacing w:after="0"/>
              <w:rPr>
                <w:sz w:val="20"/>
                <w:szCs w:val="20"/>
                <w:color w:val="auto"/>
              </w:rPr>
            </w:pPr>
            <w:r>
              <w:rPr>
                <w:rFonts w:ascii="Arial" w:cs="Arial" w:eastAsia="Arial" w:hAnsi="Arial"/>
                <w:sz w:val="12"/>
                <w:szCs w:val="12"/>
                <w:b w:val="1"/>
                <w:bCs w:val="1"/>
                <w:color w:val="auto"/>
              </w:rPr>
              <w:t>Related-Party</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2"/>
              </w:rPr>
              <w:t>Rental</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89"/>
              </w:rPr>
              <w:t>Expense and</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2"/>
              </w:rPr>
              <w:t>Rental</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89"/>
              </w:rPr>
              <w:t>Expense and</w:t>
            </w: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60" w:type="dxa"/>
            <w:vAlign w:val="bottom"/>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Operations</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Paid</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Agribusiness</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Operations</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Other</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Income, Net</w:t>
            </w:r>
          </w:p>
        </w:tc>
        <w:tc>
          <w:tcPr>
            <w:tcW w:w="10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2"/>
                <w:szCs w:val="12"/>
                <w:b w:val="1"/>
                <w:bCs w:val="1"/>
                <w:color w:val="auto"/>
              </w:rPr>
              <w:t>Paid</w:t>
            </w:r>
          </w:p>
        </w:tc>
        <w:tc>
          <w:tcPr>
            <w:tcW w:w="0" w:type="dxa"/>
            <w:vAlign w:val="bottom"/>
          </w:tcPr>
          <w:p>
            <w:pPr>
              <w:spacing w:after="0"/>
              <w:rPr>
                <w:sz w:val="1"/>
                <w:szCs w:val="1"/>
                <w:color w:val="auto"/>
              </w:rPr>
            </w:pPr>
          </w:p>
        </w:tc>
      </w:tr>
      <w:tr>
        <w:trPr>
          <w:trHeight w:val="179"/>
        </w:trPr>
        <w:tc>
          <w:tcPr>
            <w:tcW w:w="3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1</w:t>
            </w:r>
          </w:p>
        </w:tc>
        <w:tc>
          <w:tcPr>
            <w:tcW w:w="2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Employees</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0" w:type="dxa"/>
            <w:vAlign w:val="bottom"/>
          </w:tcPr>
          <w:p>
            <w:pPr>
              <w:jc w:val="right"/>
              <w:ind w:right="28"/>
              <w:spacing w:after="0"/>
              <w:rPr>
                <w:sz w:val="20"/>
                <w:szCs w:val="20"/>
                <w:color w:val="auto"/>
              </w:rPr>
            </w:pPr>
            <w:r>
              <w:rPr>
                <w:rFonts w:ascii="Arial" w:cs="Arial" w:eastAsia="Arial" w:hAnsi="Arial"/>
                <w:sz w:val="10"/>
                <w:szCs w:val="10"/>
                <w:color w:val="auto"/>
              </w:rPr>
              <w:t>2</w:t>
            </w: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w:t>
            </w: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0" w:type="dxa"/>
            <w:vAlign w:val="bottom"/>
          </w:tcPr>
          <w:p>
            <w:pPr>
              <w:jc w:val="right"/>
              <w:ind w:right="28"/>
              <w:spacing w:after="0"/>
              <w:rPr>
                <w:sz w:val="20"/>
                <w:szCs w:val="20"/>
                <w:color w:val="auto"/>
              </w:rPr>
            </w:pPr>
            <w:r>
              <w:rPr>
                <w:rFonts w:ascii="Arial" w:cs="Arial" w:eastAsia="Arial" w:hAnsi="Arial"/>
                <w:sz w:val="10"/>
                <w:szCs w:val="10"/>
                <w:color w:val="auto"/>
              </w:rPr>
              <w:t>4</w:t>
            </w: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Calavo</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6,594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8,806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5</w:t>
            </w: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Cadiz / Fenner / WAM</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0" w:type="dxa"/>
            <w:vAlign w:val="bottom"/>
          </w:tcPr>
          <w:p>
            <w:pPr>
              <w:jc w:val="right"/>
              <w:ind w:right="28"/>
              <w:spacing w:after="0"/>
              <w:rPr>
                <w:sz w:val="20"/>
                <w:szCs w:val="20"/>
                <w:color w:val="auto"/>
              </w:rPr>
            </w:pPr>
            <w:r>
              <w:rPr>
                <w:rFonts w:ascii="Arial" w:cs="Arial" w:eastAsia="Arial" w:hAnsi="Arial"/>
                <w:sz w:val="10"/>
                <w:szCs w:val="10"/>
                <w:color w:val="auto"/>
              </w:rPr>
              <w:t>6</w:t>
            </w: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Colorado River Growers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6,613</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w:t>
            </w: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YMIDD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0" w:type="dxa"/>
            <w:vAlign w:val="bottom"/>
          </w:tcPr>
          <w:p>
            <w:pPr>
              <w:jc w:val="right"/>
              <w:ind w:right="28"/>
              <w:spacing w:after="0"/>
              <w:rPr>
                <w:sz w:val="20"/>
                <w:szCs w:val="20"/>
                <w:color w:val="auto"/>
              </w:rPr>
            </w:pPr>
            <w:r>
              <w:rPr>
                <w:rFonts w:ascii="Arial" w:cs="Arial" w:eastAsia="Arial" w:hAnsi="Arial"/>
                <w:sz w:val="10"/>
                <w:szCs w:val="10"/>
                <w:color w:val="auto"/>
              </w:rPr>
              <w:t>8</w:t>
            </w: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FGF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4,129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10,338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13,478</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10</w:t>
            </w: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Freska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60" w:type="dxa"/>
            <w:vAlign w:val="bottom"/>
          </w:tcPr>
          <w:p>
            <w:pPr>
              <w:jc w:val="right"/>
              <w:ind w:right="28"/>
              <w:spacing w:after="0"/>
              <w:rPr>
                <w:sz w:val="20"/>
                <w:szCs w:val="20"/>
                <w:color w:val="auto"/>
              </w:rPr>
            </w:pPr>
            <w:r>
              <w:rPr>
                <w:rFonts w:ascii="Arial" w:cs="Arial" w:eastAsia="Arial" w:hAnsi="Arial"/>
                <w:sz w:val="10"/>
                <w:szCs w:val="10"/>
                <w:color w:val="auto"/>
              </w:rPr>
              <w:t>11</w:t>
            </w: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Third party growers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2"/>
                <w:szCs w:val="12"/>
                <w:b w:val="1"/>
                <w:bCs w:val="1"/>
                <w:color w:val="auto"/>
              </w:rPr>
              <w:t>Year Ended October 31, 2019</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Consolidated Statement of Operations</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3"/>
              </w:rPr>
              <w:t>Net Revenue</w:t>
            </w:r>
          </w:p>
        </w:tc>
        <w:tc>
          <w:tcPr>
            <w:tcW w:w="180" w:type="dxa"/>
            <w:vAlign w:val="bottom"/>
          </w:tcPr>
          <w:p>
            <w:pPr>
              <w:spacing w:after="0"/>
              <w:rPr>
                <w:sz w:val="9"/>
                <w:szCs w:val="9"/>
                <w:color w:val="auto"/>
              </w:rPr>
            </w:pPr>
          </w:p>
        </w:tc>
        <w:tc>
          <w:tcPr>
            <w:tcW w:w="880" w:type="dxa"/>
            <w:vAlign w:val="bottom"/>
          </w:tcPr>
          <w:p>
            <w:pPr>
              <w:jc w:val="center"/>
              <w:ind w:right="74"/>
              <w:spacing w:after="0" w:line="114" w:lineRule="exact"/>
              <w:rPr>
                <w:sz w:val="20"/>
                <w:szCs w:val="20"/>
                <w:color w:val="auto"/>
              </w:rPr>
            </w:pPr>
            <w:r>
              <w:rPr>
                <w:rFonts w:ascii="Arial" w:cs="Arial" w:eastAsia="Arial" w:hAnsi="Arial"/>
                <w:sz w:val="12"/>
                <w:szCs w:val="12"/>
                <w:b w:val="1"/>
                <w:bCs w:val="1"/>
                <w:color w:val="auto"/>
                <w:w w:val="90"/>
              </w:rPr>
              <w:t>Net Revenue</w:t>
            </w:r>
          </w:p>
        </w:tc>
        <w:tc>
          <w:tcPr>
            <w:tcW w:w="180" w:type="dxa"/>
            <w:vAlign w:val="bottom"/>
          </w:tcPr>
          <w:p>
            <w:pPr>
              <w:spacing w:after="0"/>
              <w:rPr>
                <w:sz w:val="9"/>
                <w:szCs w:val="9"/>
                <w:color w:val="auto"/>
              </w:rPr>
            </w:pPr>
          </w:p>
        </w:tc>
        <w:tc>
          <w:tcPr>
            <w:tcW w:w="880" w:type="dxa"/>
            <w:vAlign w:val="bottom"/>
          </w:tcPr>
          <w:p>
            <w:pPr>
              <w:jc w:val="center"/>
              <w:ind w:right="73"/>
              <w:spacing w:after="0" w:line="114" w:lineRule="exact"/>
              <w:rPr>
                <w:sz w:val="20"/>
                <w:szCs w:val="20"/>
                <w:color w:val="auto"/>
              </w:rPr>
            </w:pPr>
            <w:r>
              <w:rPr>
                <w:rFonts w:ascii="Arial" w:cs="Arial" w:eastAsia="Arial" w:hAnsi="Arial"/>
                <w:sz w:val="12"/>
                <w:szCs w:val="12"/>
                <w:b w:val="1"/>
                <w:bCs w:val="1"/>
                <w:color w:val="auto"/>
                <w:w w:val="86"/>
              </w:rPr>
              <w:t>Agribusiness</w:t>
            </w:r>
          </w:p>
        </w:tc>
        <w:tc>
          <w:tcPr>
            <w:tcW w:w="98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4"/>
              </w:rPr>
              <w:t>Other Income,</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Ref</w:t>
            </w:r>
          </w:p>
        </w:tc>
        <w:tc>
          <w:tcPr>
            <w:tcW w:w="5840" w:type="dxa"/>
            <w:vAlign w:val="bottom"/>
            <w:vMerge w:val="restart"/>
          </w:tcPr>
          <w:p>
            <w:pPr>
              <w:ind w:left="680"/>
              <w:spacing w:after="0"/>
              <w:rPr>
                <w:sz w:val="20"/>
                <w:szCs w:val="20"/>
                <w:color w:val="auto"/>
              </w:rPr>
            </w:pPr>
            <w:r>
              <w:rPr>
                <w:rFonts w:ascii="Arial" w:cs="Arial" w:eastAsia="Arial" w:hAnsi="Arial"/>
                <w:sz w:val="12"/>
                <w:szCs w:val="12"/>
                <w:b w:val="1"/>
                <w:bCs w:val="1"/>
                <w:color w:val="auto"/>
              </w:rPr>
              <w:t>Related Party</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74"/>
              <w:spacing w:after="0" w:line="116" w:lineRule="exact"/>
              <w:rPr>
                <w:sz w:val="20"/>
                <w:szCs w:val="20"/>
                <w:color w:val="auto"/>
              </w:rPr>
            </w:pPr>
            <w:r>
              <w:rPr>
                <w:rFonts w:ascii="Arial" w:cs="Arial" w:eastAsia="Arial" w:hAnsi="Arial"/>
                <w:sz w:val="12"/>
                <w:szCs w:val="12"/>
                <w:b w:val="1"/>
                <w:bCs w:val="1"/>
                <w:color w:val="auto"/>
                <w:w w:val="92"/>
              </w:rPr>
              <w:t>Rental</w:t>
            </w:r>
          </w:p>
        </w:tc>
        <w:tc>
          <w:tcPr>
            <w:tcW w:w="180" w:type="dxa"/>
            <w:vAlign w:val="bottom"/>
          </w:tcPr>
          <w:p>
            <w:pPr>
              <w:spacing w:after="0"/>
              <w:rPr>
                <w:sz w:val="10"/>
                <w:szCs w:val="10"/>
                <w:color w:val="auto"/>
              </w:rPr>
            </w:pPr>
          </w:p>
        </w:tc>
        <w:tc>
          <w:tcPr>
            <w:tcW w:w="880" w:type="dxa"/>
            <w:vAlign w:val="bottom"/>
          </w:tcPr>
          <w:p>
            <w:pPr>
              <w:jc w:val="center"/>
              <w:ind w:right="73"/>
              <w:spacing w:after="0" w:line="116" w:lineRule="exact"/>
              <w:rPr>
                <w:sz w:val="20"/>
                <w:szCs w:val="20"/>
                <w:color w:val="auto"/>
              </w:rPr>
            </w:pPr>
            <w:r>
              <w:rPr>
                <w:rFonts w:ascii="Arial" w:cs="Arial" w:eastAsia="Arial" w:hAnsi="Arial"/>
                <w:sz w:val="12"/>
                <w:szCs w:val="12"/>
                <w:b w:val="1"/>
                <w:bCs w:val="1"/>
                <w:color w:val="auto"/>
                <w:w w:val="89"/>
              </w:rPr>
              <w:t>Expense and</w:t>
            </w:r>
          </w:p>
        </w:tc>
        <w:tc>
          <w:tcPr>
            <w:tcW w:w="980" w:type="dxa"/>
            <w:vAlign w:val="bottom"/>
            <w:gridSpan w:val="3"/>
            <w:vMerge w:val="continue"/>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0"/>
              </w:rPr>
              <w:t>Dividends Paid</w:t>
            </w:r>
          </w:p>
        </w:tc>
        <w:tc>
          <w:tcPr>
            <w:tcW w:w="0" w:type="dxa"/>
            <w:vAlign w:val="bottom"/>
          </w:tcPr>
          <w:p>
            <w:pPr>
              <w:spacing w:after="0"/>
              <w:rPr>
                <w:sz w:val="1"/>
                <w:szCs w:val="1"/>
                <w:color w:val="auto"/>
              </w:rPr>
            </w:pPr>
          </w:p>
        </w:tc>
      </w:tr>
      <w:tr>
        <w:trPr>
          <w:trHeight w:val="162"/>
        </w:trPr>
        <w:tc>
          <w:tcPr>
            <w:tcW w:w="460" w:type="dxa"/>
            <w:vAlign w:val="bottom"/>
            <w:gridSpan w:val="2"/>
            <w:vMerge w:val="continue"/>
          </w:tcPr>
          <w:p>
            <w:pPr>
              <w:spacing w:after="0"/>
              <w:rPr>
                <w:sz w:val="14"/>
                <w:szCs w:val="14"/>
                <w:color w:val="auto"/>
              </w:rPr>
            </w:pPr>
          </w:p>
        </w:tc>
        <w:tc>
          <w:tcPr>
            <w:tcW w:w="5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3"/>
              <w:spacing w:after="0"/>
              <w:rPr>
                <w:sz w:val="20"/>
                <w:szCs w:val="20"/>
                <w:color w:val="auto"/>
              </w:rPr>
            </w:pPr>
            <w:r>
              <w:rPr>
                <w:rFonts w:ascii="Arial" w:cs="Arial" w:eastAsia="Arial" w:hAnsi="Arial"/>
                <w:sz w:val="12"/>
                <w:szCs w:val="12"/>
                <w:b w:val="1"/>
                <w:bCs w:val="1"/>
                <w:color w:val="auto"/>
                <w:w w:val="89"/>
              </w:rPr>
              <w:t>Agribusiness</w:t>
            </w:r>
          </w:p>
        </w:tc>
        <w:tc>
          <w:tcPr>
            <w:tcW w:w="180" w:type="dxa"/>
            <w:vAlign w:val="bottom"/>
          </w:tcPr>
          <w:p>
            <w:pPr>
              <w:spacing w:after="0"/>
              <w:rPr>
                <w:sz w:val="14"/>
                <w:szCs w:val="14"/>
                <w:color w:val="auto"/>
              </w:rPr>
            </w:pPr>
          </w:p>
        </w:tc>
        <w:tc>
          <w:tcPr>
            <w:tcW w:w="880" w:type="dxa"/>
            <w:vAlign w:val="bottom"/>
          </w:tcPr>
          <w:p>
            <w:pPr>
              <w:jc w:val="center"/>
              <w:ind w:right="74"/>
              <w:spacing w:after="0"/>
              <w:rPr>
                <w:sz w:val="20"/>
                <w:szCs w:val="20"/>
                <w:color w:val="auto"/>
              </w:rPr>
            </w:pPr>
            <w:r>
              <w:rPr>
                <w:rFonts w:ascii="Arial" w:cs="Arial" w:eastAsia="Arial" w:hAnsi="Arial"/>
                <w:sz w:val="12"/>
                <w:szCs w:val="12"/>
                <w:b w:val="1"/>
                <w:bCs w:val="1"/>
                <w:color w:val="auto"/>
                <w:w w:val="91"/>
              </w:rPr>
              <w:t>Operations</w:t>
            </w:r>
          </w:p>
        </w:tc>
        <w:tc>
          <w:tcPr>
            <w:tcW w:w="180" w:type="dxa"/>
            <w:vAlign w:val="bottom"/>
          </w:tcPr>
          <w:p>
            <w:pPr>
              <w:spacing w:after="0"/>
              <w:rPr>
                <w:sz w:val="14"/>
                <w:szCs w:val="14"/>
                <w:color w:val="auto"/>
              </w:rPr>
            </w:pPr>
          </w:p>
        </w:tc>
        <w:tc>
          <w:tcPr>
            <w:tcW w:w="880" w:type="dxa"/>
            <w:vAlign w:val="bottom"/>
          </w:tcPr>
          <w:p>
            <w:pPr>
              <w:jc w:val="center"/>
              <w:ind w:right="73"/>
              <w:spacing w:after="0"/>
              <w:rPr>
                <w:sz w:val="20"/>
                <w:szCs w:val="20"/>
                <w:color w:val="auto"/>
              </w:rPr>
            </w:pPr>
            <w:r>
              <w:rPr>
                <w:rFonts w:ascii="Arial" w:cs="Arial" w:eastAsia="Arial" w:hAnsi="Arial"/>
                <w:sz w:val="12"/>
                <w:szCs w:val="12"/>
                <w:b w:val="1"/>
                <w:bCs w:val="1"/>
                <w:color w:val="auto"/>
                <w:w w:val="93"/>
              </w:rPr>
              <w:t>Other</w:t>
            </w:r>
          </w:p>
        </w:tc>
        <w:tc>
          <w:tcPr>
            <w:tcW w:w="360" w:type="dxa"/>
            <w:vAlign w:val="bottom"/>
          </w:tcPr>
          <w:p>
            <w:pPr>
              <w:spacing w:after="0"/>
              <w:rPr>
                <w:sz w:val="14"/>
                <w:szCs w:val="14"/>
                <w:color w:val="auto"/>
              </w:rPr>
            </w:pPr>
          </w:p>
        </w:tc>
        <w:tc>
          <w:tcPr>
            <w:tcW w:w="6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Net</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5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Employees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744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80" w:type="dxa"/>
            <w:vAlign w:val="bottom"/>
          </w:tcPr>
          <w:p>
            <w:pPr>
              <w:jc w:val="right"/>
              <w:ind w:right="8"/>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5"/>
                <w:szCs w:val="15"/>
                <w:color w:val="auto"/>
              </w:rPr>
            </w:pPr>
          </w:p>
        </w:tc>
        <w:tc>
          <w:tcPr>
            <w:tcW w:w="5840" w:type="dxa"/>
            <w:vAlign w:val="bottom"/>
          </w:tcPr>
          <w:p>
            <w:pPr>
              <w:ind w:left="20"/>
              <w:spacing w:after="0"/>
              <w:rPr>
                <w:sz w:val="20"/>
                <w:szCs w:val="20"/>
                <w:color w:val="auto"/>
              </w:rPr>
            </w:pPr>
            <w:r>
              <w:rPr>
                <w:rFonts w:ascii="Arial" w:cs="Arial" w:eastAsia="Arial" w:hAnsi="Arial"/>
                <w:sz w:val="14"/>
                <w:szCs w:val="14"/>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838</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5"/>
                <w:szCs w:val="15"/>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1,687</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80" w:type="dxa"/>
            <w:vAlign w:val="bottom"/>
          </w:tcPr>
          <w:p>
            <w:pPr>
              <w:jc w:val="right"/>
              <w:ind w:right="8"/>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5"/>
                <w:szCs w:val="15"/>
                <w:color w:val="auto"/>
              </w:rPr>
            </w:pPr>
          </w:p>
        </w:tc>
        <w:tc>
          <w:tcPr>
            <w:tcW w:w="5840" w:type="dxa"/>
            <w:vAlign w:val="bottom"/>
          </w:tcPr>
          <w:p>
            <w:pPr>
              <w:ind w:left="20"/>
              <w:spacing w:after="0"/>
              <w:rPr>
                <w:sz w:val="20"/>
                <w:szCs w:val="20"/>
                <w:color w:val="auto"/>
              </w:rPr>
            </w:pPr>
            <w:r>
              <w:rPr>
                <w:rFonts w:ascii="Arial" w:cs="Arial" w:eastAsia="Arial" w:hAnsi="Arial"/>
                <w:sz w:val="14"/>
                <w:szCs w:val="14"/>
                <w:color w:val="auto"/>
              </w:rPr>
              <w:t>Calavo</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3,080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400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1,096</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84"/>
        </w:trPr>
        <w:tc>
          <w:tcPr>
            <w:tcW w:w="3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5"/>
                <w:szCs w:val="15"/>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Cadiz / Fenner / WAM</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186</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80" w:type="dxa"/>
            <w:vAlign w:val="bottom"/>
          </w:tcPr>
          <w:p>
            <w:pPr>
              <w:jc w:val="right"/>
              <w:ind w:right="8"/>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5"/>
                <w:szCs w:val="15"/>
                <w:color w:val="auto"/>
              </w:rPr>
            </w:pPr>
          </w:p>
        </w:tc>
        <w:tc>
          <w:tcPr>
            <w:tcW w:w="5840" w:type="dxa"/>
            <w:vAlign w:val="bottom"/>
          </w:tcPr>
          <w:p>
            <w:pPr>
              <w:ind w:left="20"/>
              <w:spacing w:after="0"/>
              <w:rPr>
                <w:sz w:val="20"/>
                <w:szCs w:val="20"/>
                <w:color w:val="auto"/>
              </w:rPr>
            </w:pPr>
            <w:r>
              <w:rPr>
                <w:rFonts w:ascii="Arial" w:cs="Arial" w:eastAsia="Arial" w:hAnsi="Arial"/>
                <w:sz w:val="14"/>
                <w:szCs w:val="14"/>
                <w:color w:val="auto"/>
              </w:rPr>
              <w:t>Colorado River Growers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306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5,476</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5"/>
                <w:szCs w:val="15"/>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YMIDD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80" w:type="dxa"/>
            <w:vAlign w:val="bottom"/>
          </w:tcPr>
          <w:p>
            <w:pPr>
              <w:jc w:val="right"/>
              <w:ind w:right="8"/>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5"/>
                <w:szCs w:val="15"/>
                <w:color w:val="auto"/>
              </w:rPr>
            </w:pPr>
          </w:p>
        </w:tc>
        <w:tc>
          <w:tcPr>
            <w:tcW w:w="5840" w:type="dxa"/>
            <w:vAlign w:val="bottom"/>
          </w:tcPr>
          <w:p>
            <w:pPr>
              <w:ind w:left="20"/>
              <w:spacing w:after="0"/>
              <w:rPr>
                <w:sz w:val="20"/>
                <w:szCs w:val="20"/>
                <w:color w:val="auto"/>
              </w:rPr>
            </w:pPr>
            <w:r>
              <w:rPr>
                <w:rFonts w:ascii="Arial" w:cs="Arial" w:eastAsia="Arial" w:hAnsi="Arial"/>
                <w:sz w:val="14"/>
                <w:szCs w:val="14"/>
                <w:color w:val="auto"/>
              </w:rPr>
              <w:t>FGF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14,471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10,300</w:t>
            </w: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5"/>
                <w:szCs w:val="15"/>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Third party growers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3"/>
        <w:spacing w:after="0" w:line="279" w:lineRule="auto"/>
        <w:tabs>
          <w:tab w:leader="none" w:pos="170" w:val="left"/>
        </w:tabs>
        <w:numPr>
          <w:ilvl w:val="0"/>
          <w:numId w:val="44"/>
        </w:numPr>
        <w:rPr>
          <w:rFonts w:ascii="Arial" w:cs="Arial" w:eastAsia="Arial" w:hAnsi="Arial"/>
          <w:sz w:val="10"/>
          <w:szCs w:val="10"/>
          <w:color w:val="auto"/>
        </w:rPr>
      </w:pPr>
      <w:r>
        <w:rPr>
          <w:rFonts w:ascii="Arial" w:cs="Arial" w:eastAsia="Arial" w:hAnsi="Arial"/>
          <w:sz w:val="17"/>
          <w:szCs w:val="17"/>
          <w:color w:val="auto"/>
        </w:rPr>
        <w:t>Employees - The Company rents certain of its residential housing assets to employees on a month-to-month basis and recorded rental income from employees. There were no rental payments due from employees at October 31, 2021 and 2020.</w:t>
      </w:r>
    </w:p>
    <w:p>
      <w:pPr>
        <w:spacing w:after="0" w:line="61" w:lineRule="exact"/>
        <w:rPr>
          <w:rFonts w:ascii="Arial" w:cs="Arial" w:eastAsia="Arial" w:hAnsi="Arial"/>
          <w:sz w:val="10"/>
          <w:szCs w:val="10"/>
          <w:color w:val="auto"/>
        </w:rPr>
      </w:pPr>
    </w:p>
    <w:p>
      <w:pPr>
        <w:jc w:val="both"/>
        <w:ind w:firstLine="3"/>
        <w:spacing w:after="0" w:line="266" w:lineRule="auto"/>
        <w:tabs>
          <w:tab w:leader="none" w:pos="172" w:val="left"/>
        </w:tabs>
        <w:numPr>
          <w:ilvl w:val="0"/>
          <w:numId w:val="44"/>
        </w:numPr>
        <w:rPr>
          <w:rFonts w:ascii="Arial" w:cs="Arial" w:eastAsia="Arial" w:hAnsi="Arial"/>
          <w:sz w:val="10"/>
          <w:szCs w:val="10"/>
          <w:color w:val="auto"/>
        </w:rPr>
      </w:pPr>
      <w:r>
        <w:rPr>
          <w:rFonts w:ascii="Arial" w:cs="Arial" w:eastAsia="Arial" w:hAnsi="Arial"/>
          <w:sz w:val="17"/>
          <w:szCs w:val="17"/>
          <w:color w:val="auto"/>
        </w:rPr>
        <w:t>Mutual water companies - The Company has representation on the boards of directors of the mutual water companies in which the Company has investments, refer to Note 10 - Other Assets. The Company recorded capital contributions, purchased water and water delivery services and had water payments due to the mutual water companies.</w:t>
      </w:r>
    </w:p>
    <w:p>
      <w:pPr>
        <w:spacing w:after="0" w:line="71" w:lineRule="exact"/>
        <w:rPr>
          <w:rFonts w:ascii="Arial" w:cs="Arial" w:eastAsia="Arial" w:hAnsi="Arial"/>
          <w:sz w:val="10"/>
          <w:szCs w:val="10"/>
          <w:color w:val="auto"/>
        </w:rPr>
      </w:pPr>
    </w:p>
    <w:p>
      <w:pPr>
        <w:ind w:firstLine="3"/>
        <w:spacing w:after="0" w:line="312" w:lineRule="auto"/>
        <w:tabs>
          <w:tab w:leader="none" w:pos="173" w:val="left"/>
        </w:tabs>
        <w:numPr>
          <w:ilvl w:val="0"/>
          <w:numId w:val="44"/>
        </w:numPr>
        <w:rPr>
          <w:rFonts w:ascii="Arial" w:cs="Arial" w:eastAsia="Arial" w:hAnsi="Arial"/>
          <w:sz w:val="10"/>
          <w:szCs w:val="10"/>
          <w:color w:val="auto"/>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37" w:lineRule="exact"/>
        <w:rPr>
          <w:rFonts w:ascii="Arial" w:cs="Arial" w:eastAsia="Arial" w:hAnsi="Arial"/>
          <w:sz w:val="10"/>
          <w:szCs w:val="10"/>
          <w:color w:val="auto"/>
        </w:rPr>
      </w:pPr>
    </w:p>
    <w:p>
      <w:pPr>
        <w:jc w:val="both"/>
        <w:ind w:firstLine="3"/>
        <w:spacing w:after="0" w:line="266" w:lineRule="auto"/>
        <w:tabs>
          <w:tab w:leader="none" w:pos="169" w:val="left"/>
        </w:tabs>
        <w:numPr>
          <w:ilvl w:val="0"/>
          <w:numId w:val="44"/>
        </w:numPr>
        <w:rPr>
          <w:rFonts w:ascii="Arial" w:cs="Arial" w:eastAsia="Arial" w:hAnsi="Arial"/>
          <w:sz w:val="10"/>
          <w:szCs w:val="10"/>
          <w:color w:val="auto"/>
        </w:rPr>
      </w:pPr>
      <w:r>
        <w:rPr>
          <w:rFonts w:ascii="Arial" w:cs="Arial" w:eastAsia="Arial" w:hAnsi="Arial"/>
          <w:sz w:val="17"/>
          <w:szCs w:val="17"/>
          <w:color w:val="auto"/>
        </w:rPr>
        <w:t>Calavo - The Company had an investment in Calavo through March 2020 and has representation on the board of directors and Calavo has an investment in the Company. The Company recorded dividend income on its investment in Calavo, paid dividends to Calavo and had avocado sales to Calavo. Additionally, the Company leases office space to Calavo and purchases storage services from Calavo.</w:t>
      </w:r>
    </w:p>
    <w:p>
      <w:pPr>
        <w:spacing w:after="0" w:line="71" w:lineRule="exact"/>
        <w:rPr>
          <w:rFonts w:ascii="Arial" w:cs="Arial" w:eastAsia="Arial" w:hAnsi="Arial"/>
          <w:sz w:val="10"/>
          <w:szCs w:val="10"/>
          <w:color w:val="auto"/>
        </w:rPr>
      </w:pPr>
    </w:p>
    <w:p>
      <w:pPr>
        <w:jc w:val="both"/>
        <w:ind w:firstLine="3"/>
        <w:spacing w:after="0" w:line="299" w:lineRule="auto"/>
        <w:tabs>
          <w:tab w:leader="none" w:pos="169" w:val="left"/>
        </w:tabs>
        <w:numPr>
          <w:ilvl w:val="0"/>
          <w:numId w:val="44"/>
        </w:numPr>
        <w:rPr>
          <w:rFonts w:ascii="Arial" w:cs="Arial" w:eastAsia="Arial" w:hAnsi="Arial"/>
          <w:sz w:val="9"/>
          <w:szCs w:val="9"/>
          <w:color w:val="auto"/>
        </w:rPr>
      </w:pPr>
      <w:r>
        <w:rPr>
          <w:rFonts w:ascii="Arial" w:cs="Arial" w:eastAsia="Arial" w:hAnsi="Arial"/>
          <w:sz w:val="15"/>
          <w:szCs w:val="15"/>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Limoneira Company Series B-2 convertible preferred stock. Upon the adoption of ASC 842, the Company recorded a ROU asset and corresponding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Related-Party Transactions (continued)</w:t>
      </w:r>
    </w:p>
    <w:p>
      <w:pPr>
        <w:spacing w:after="0" w:line="120" w:lineRule="exact"/>
        <w:rPr>
          <w:sz w:val="20"/>
          <w:szCs w:val="20"/>
          <w:color w:val="auto"/>
        </w:rPr>
      </w:pPr>
    </w:p>
    <w:p>
      <w:pPr>
        <w:jc w:val="both"/>
        <w:ind w:firstLine="3"/>
        <w:spacing w:after="0" w:line="266" w:lineRule="auto"/>
        <w:tabs>
          <w:tab w:leader="none" w:pos="187" w:val="left"/>
        </w:tabs>
        <w:numPr>
          <w:ilvl w:val="0"/>
          <w:numId w:val="45"/>
        </w:numPr>
        <w:rPr>
          <w:rFonts w:ascii="Arial" w:cs="Arial" w:eastAsia="Arial" w:hAnsi="Arial"/>
          <w:sz w:val="10"/>
          <w:szCs w:val="10"/>
          <w:color w:val="auto"/>
        </w:rPr>
      </w:pPr>
      <w:r>
        <w:rPr>
          <w:rFonts w:ascii="Arial" w:cs="Arial" w:eastAsia="Arial" w:hAnsi="Arial"/>
          <w:sz w:val="17"/>
          <w:szCs w:val="17"/>
          <w:color w:val="auto"/>
        </w:rPr>
        <w:t>Colorado River Growers, Inc. (“CRG”) - The Company had representation on the board of directors of CRG, a non-profit cooperative association of fruit growers engaged in the agricultural harvesting business in Yuma County, Arizona. CRG was dissolved in August 2021. The Company paid harvest expense to CRG and provided harvest management and administrative services to CRG.</w:t>
      </w:r>
    </w:p>
    <w:p>
      <w:pPr>
        <w:spacing w:after="0" w:line="71" w:lineRule="exact"/>
        <w:rPr>
          <w:rFonts w:ascii="Arial" w:cs="Arial" w:eastAsia="Arial" w:hAnsi="Arial"/>
          <w:sz w:val="10"/>
          <w:szCs w:val="10"/>
          <w:color w:val="auto"/>
        </w:rPr>
      </w:pPr>
    </w:p>
    <w:p>
      <w:pPr>
        <w:ind w:firstLine="3"/>
        <w:spacing w:after="0" w:line="279" w:lineRule="auto"/>
        <w:tabs>
          <w:tab w:leader="none" w:pos="181" w:val="left"/>
        </w:tabs>
        <w:numPr>
          <w:ilvl w:val="0"/>
          <w:numId w:val="45"/>
        </w:numPr>
        <w:rPr>
          <w:rFonts w:ascii="Arial" w:cs="Arial" w:eastAsia="Arial" w:hAnsi="Arial"/>
          <w:sz w:val="10"/>
          <w:szCs w:val="10"/>
          <w:color w:val="auto"/>
        </w:rPr>
      </w:pPr>
      <w:r>
        <w:rPr>
          <w:rFonts w:ascii="Arial" w:cs="Arial" w:eastAsia="Arial" w:hAnsi="Arial"/>
          <w:sz w:val="17"/>
          <w:szCs w:val="17"/>
          <w:color w:val="auto"/>
        </w:rPr>
        <w:t>Yuma Mesa Irrigation and Drainage District (“YMIDD”) - The Company has representation on the board of directors of YMIDD. The Company purchased water from YMIDD and had amounts payable to them for such purchases.</w:t>
      </w:r>
    </w:p>
    <w:p>
      <w:pPr>
        <w:spacing w:after="0" w:line="61" w:lineRule="exact"/>
        <w:rPr>
          <w:rFonts w:ascii="Arial" w:cs="Arial" w:eastAsia="Arial" w:hAnsi="Arial"/>
          <w:sz w:val="10"/>
          <w:szCs w:val="10"/>
          <w:color w:val="auto"/>
        </w:rPr>
      </w:pPr>
    </w:p>
    <w:p>
      <w:pPr>
        <w:jc w:val="both"/>
        <w:ind w:firstLine="3"/>
        <w:spacing w:after="0" w:line="307" w:lineRule="auto"/>
        <w:tabs>
          <w:tab w:leader="none" w:pos="168" w:val="left"/>
        </w:tabs>
        <w:numPr>
          <w:ilvl w:val="0"/>
          <w:numId w:val="45"/>
        </w:numPr>
        <w:rPr>
          <w:rFonts w:ascii="Arial" w:cs="Arial" w:eastAsia="Arial" w:hAnsi="Arial"/>
          <w:sz w:val="9"/>
          <w:szCs w:val="9"/>
          <w:color w:val="auto"/>
        </w:rPr>
      </w:pPr>
      <w:r>
        <w:rPr>
          <w:rFonts w:ascii="Arial" w:cs="Arial" w:eastAsia="Arial" w:hAnsi="Arial"/>
          <w:sz w:val="15"/>
          <w:szCs w:val="15"/>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the sale of packing supplies and a payable due to FGF for fruit purchases and services. Effective March 1, 2021, Trapani Fresh sells the lemons it grows to FGF, who packs, markets, and sells the fruit to its customers. The Company also records revenue related to the licensing of intangible assets to FGF.</w:t>
      </w:r>
    </w:p>
    <w:p>
      <w:pPr>
        <w:spacing w:after="0" w:line="45" w:lineRule="exact"/>
        <w:rPr>
          <w:rFonts w:ascii="Arial" w:cs="Arial" w:eastAsia="Arial" w:hAnsi="Arial"/>
          <w:sz w:val="9"/>
          <w:szCs w:val="9"/>
          <w:color w:val="auto"/>
        </w:rPr>
      </w:pPr>
    </w:p>
    <w:p>
      <w:pPr>
        <w:ind w:left="160" w:hanging="157"/>
        <w:spacing w:after="0"/>
        <w:tabs>
          <w:tab w:leader="none" w:pos="160" w:val="left"/>
        </w:tabs>
        <w:numPr>
          <w:ilvl w:val="0"/>
          <w:numId w:val="45"/>
        </w:numPr>
        <w:rPr>
          <w:rFonts w:ascii="Arial" w:cs="Arial" w:eastAsia="Arial" w:hAnsi="Arial"/>
          <w:sz w:val="10"/>
          <w:szCs w:val="10"/>
          <w:color w:val="auto"/>
        </w:rPr>
      </w:pPr>
      <w:r>
        <w:rPr>
          <w:rFonts w:ascii="Arial" w:cs="Arial" w:eastAsia="Arial" w:hAnsi="Arial"/>
          <w:sz w:val="17"/>
          <w:szCs w:val="17"/>
          <w:color w:val="auto"/>
        </w:rPr>
        <w:t>LLCB - Refer to Note 7 - Real Estate Development.</w:t>
      </w:r>
    </w:p>
    <w:p>
      <w:pPr>
        <w:spacing w:after="0" w:line="113" w:lineRule="exact"/>
        <w:rPr>
          <w:rFonts w:ascii="Arial" w:cs="Arial" w:eastAsia="Arial" w:hAnsi="Arial"/>
          <w:sz w:val="10"/>
          <w:szCs w:val="10"/>
          <w:color w:val="auto"/>
        </w:rPr>
      </w:pPr>
    </w:p>
    <w:p>
      <w:pPr>
        <w:ind w:firstLine="3"/>
        <w:spacing w:after="0" w:line="279" w:lineRule="auto"/>
        <w:tabs>
          <w:tab w:leader="none" w:pos="218" w:val="left"/>
        </w:tabs>
        <w:numPr>
          <w:ilvl w:val="0"/>
          <w:numId w:val="45"/>
        </w:numPr>
        <w:rPr>
          <w:rFonts w:ascii="Arial" w:cs="Arial" w:eastAsia="Arial" w:hAnsi="Arial"/>
          <w:sz w:val="10"/>
          <w:szCs w:val="10"/>
          <w:color w:val="auto"/>
        </w:rPr>
      </w:pPr>
      <w:r>
        <w:rPr>
          <w:rFonts w:ascii="Arial" w:cs="Arial" w:eastAsia="Arial" w:hAnsi="Arial"/>
          <w:sz w:val="17"/>
          <w:szCs w:val="17"/>
          <w:color w:val="auto"/>
        </w:rPr>
        <w:t>Freska - A member of the Company's board of directors is a majority shareholder of Freska Produce International, LLC ("Freska"). The Company had avocado sales to Freska.</w:t>
      </w:r>
    </w:p>
    <w:p>
      <w:pPr>
        <w:spacing w:after="0" w:line="61" w:lineRule="exact"/>
        <w:rPr>
          <w:rFonts w:ascii="Arial" w:cs="Arial" w:eastAsia="Arial" w:hAnsi="Arial"/>
          <w:sz w:val="10"/>
          <w:szCs w:val="10"/>
          <w:color w:val="auto"/>
        </w:rPr>
      </w:pPr>
    </w:p>
    <w:p>
      <w:pPr>
        <w:ind w:firstLine="3"/>
        <w:spacing w:after="0" w:line="279" w:lineRule="auto"/>
        <w:tabs>
          <w:tab w:leader="none" w:pos="211" w:val="left"/>
        </w:tabs>
        <w:numPr>
          <w:ilvl w:val="0"/>
          <w:numId w:val="45"/>
        </w:numPr>
        <w:rPr>
          <w:rFonts w:ascii="Arial" w:cs="Arial" w:eastAsia="Arial" w:hAnsi="Arial"/>
          <w:sz w:val="10"/>
          <w:szCs w:val="10"/>
          <w:color w:val="auto"/>
        </w:rPr>
      </w:pPr>
      <w:r>
        <w:rPr>
          <w:rFonts w:ascii="Arial" w:cs="Arial" w:eastAsia="Arial" w:hAnsi="Arial"/>
          <w:sz w:val="17"/>
          <w:szCs w:val="17"/>
          <w:color w:val="auto"/>
        </w:rPr>
        <w:t>Third party growers - A member of the Company’s board of directors markets lemons through the Company and the Company had payments due to the member of such lemon procurement.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reconciliation of income before income taxes for domestic and foreign locations for the years ended October 31, 2021, 2020 and 2019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3"/>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w:t>
            </w:r>
          </w:p>
        </w:tc>
      </w:tr>
      <w:tr>
        <w:trPr>
          <w:trHeight w:val="21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r>
      <w:tr>
        <w:trPr>
          <w:trHeight w:val="23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70"/>
        </w:trPr>
        <w:tc>
          <w:tcPr>
            <w:tcW w:w="8520" w:type="dxa"/>
            <w:vAlign w:val="bottom"/>
            <w:gridSpan w:val="4"/>
          </w:tcPr>
          <w:p>
            <w:pPr>
              <w:spacing w:after="0"/>
              <w:rPr>
                <w:sz w:val="20"/>
                <w:szCs w:val="20"/>
                <w:color w:val="auto"/>
              </w:rPr>
            </w:pPr>
            <w:r>
              <w:rPr>
                <w:rFonts w:ascii="Arial" w:cs="Arial" w:eastAsia="Arial" w:hAnsi="Arial"/>
                <w:sz w:val="17"/>
                <w:szCs w:val="17"/>
                <w:color w:val="auto"/>
                <w:w w:val="95"/>
              </w:rPr>
              <w:t>The components of the provisions for income taxes for fiscal years 2021, 2020 and 2019 are as follows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9"/>
        </w:trPr>
        <w:tc>
          <w:tcPr>
            <w:tcW w:w="7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3"/>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7120" w:type="dxa"/>
            <w:vAlign w:val="bottom"/>
          </w:tcPr>
          <w:p>
            <w:pPr>
              <w:ind w:left="140"/>
              <w:spacing w:after="0"/>
              <w:rPr>
                <w:sz w:val="20"/>
                <w:szCs w:val="20"/>
                <w:color w:val="auto"/>
              </w:rPr>
            </w:pPr>
            <w:r>
              <w:rPr>
                <w:rFonts w:ascii="Arial" w:cs="Arial" w:eastAsia="Arial" w:hAnsi="Arial"/>
                <w:sz w:val="17"/>
                <w:szCs w:val="17"/>
                <w:color w:val="auto"/>
              </w:rPr>
              <w:t>Federal</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5,835</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7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r>
      <w:tr>
        <w:trPr>
          <w:trHeight w:val="218"/>
        </w:trPr>
        <w:tc>
          <w:tcPr>
            <w:tcW w:w="7120" w:type="dxa"/>
            <w:vAlign w:val="bottom"/>
          </w:tcPr>
          <w:p>
            <w:pPr>
              <w:ind w:left="140"/>
              <w:spacing w:after="0"/>
              <w:rPr>
                <w:sz w:val="20"/>
                <w:szCs w:val="20"/>
                <w:color w:val="auto"/>
              </w:rPr>
            </w:pPr>
            <w:r>
              <w:rPr>
                <w:rFonts w:ascii="Arial" w:cs="Arial" w:eastAsia="Arial" w:hAnsi="Arial"/>
                <w:sz w:val="17"/>
                <w:szCs w:val="17"/>
                <w:color w:val="auto"/>
              </w:rPr>
              <w:t>Foreign</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(232)</w:t>
            </w:r>
          </w:p>
        </w:tc>
      </w:tr>
      <w:tr>
        <w:trPr>
          <w:trHeight w:val="21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benefit (provision)</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r>
      <w:tr>
        <w:trPr>
          <w:trHeight w:val="245"/>
        </w:trPr>
        <w:tc>
          <w:tcPr>
            <w:tcW w:w="7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7120" w:type="dxa"/>
            <w:vAlign w:val="bottom"/>
          </w:tcPr>
          <w:p>
            <w:pPr>
              <w:ind w:left="140"/>
              <w:spacing w:after="0"/>
              <w:rPr>
                <w:sz w:val="20"/>
                <w:szCs w:val="20"/>
                <w:color w:val="auto"/>
              </w:rPr>
            </w:pPr>
            <w:r>
              <w:rPr>
                <w:rFonts w:ascii="Arial" w:cs="Arial" w:eastAsia="Arial" w:hAnsi="Arial"/>
                <w:sz w:val="17"/>
                <w:szCs w:val="17"/>
                <w:color w:val="auto"/>
              </w:rPr>
              <w:t>Federal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998</w:t>
            </w:r>
          </w:p>
        </w:tc>
      </w:tr>
      <w:tr>
        <w:trPr>
          <w:trHeight w:val="220"/>
        </w:trPr>
        <w:tc>
          <w:tcPr>
            <w:tcW w:w="7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18"/>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12"/>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benefit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w:t>
            </w:r>
          </w:p>
        </w:tc>
      </w:tr>
      <w:tr>
        <w:trPr>
          <w:trHeight w:val="213"/>
        </w:trPr>
        <w:tc>
          <w:tcPr>
            <w:tcW w:w="7120" w:type="dxa"/>
            <w:vAlign w:val="bottom"/>
          </w:tcPr>
          <w:p>
            <w:pPr>
              <w:ind w:left="20"/>
              <w:spacing w:after="0"/>
              <w:rPr>
                <w:sz w:val="20"/>
                <w:szCs w:val="20"/>
                <w:color w:val="auto"/>
              </w:rPr>
            </w:pPr>
            <w:r>
              <w:rPr>
                <w:rFonts w:ascii="Arial" w:cs="Arial" w:eastAsia="Arial" w:hAnsi="Arial"/>
                <w:sz w:val="17"/>
                <w:szCs w:val="17"/>
                <w:color w:val="auto"/>
              </w:rPr>
              <w:t>Total income tax benefit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income taxes reflect the net of temporary differences between the carrying amount of the assets and liabilities for financial reporting and income tax purposes. The components of deferred income tax assets at October 31, 2021 and 2020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20" w:type="dxa"/>
            <w:vAlign w:val="bottom"/>
          </w:tcPr>
          <w:p>
            <w:pPr>
              <w:spacing w:after="0"/>
              <w:rPr>
                <w:sz w:val="20"/>
                <w:szCs w:val="20"/>
                <w:color w:val="auto"/>
              </w:rPr>
            </w:pPr>
            <w:r>
              <w:rPr>
                <w:rFonts w:ascii="Arial" w:cs="Arial" w:eastAsia="Arial" w:hAnsi="Arial"/>
                <w:sz w:val="17"/>
                <w:szCs w:val="17"/>
                <w:b w:val="1"/>
                <w:bCs w:val="1"/>
                <w:color w:val="auto"/>
              </w:rPr>
              <w:t>16. Income Taxes (continued)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9"/>
        </w:trPr>
        <w:tc>
          <w:tcPr>
            <w:tcW w:w="85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Reserve and other accruals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646</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643</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4,983</w:t>
            </w: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Right-of-use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578</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Minimum pension liability adjustment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w:t>
            </w: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Amortization</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Interest expense limitation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r>
      <w:tr>
        <w:trPr>
          <w:trHeight w:val="211"/>
        </w:trPr>
        <w:tc>
          <w:tcPr>
            <w:tcW w:w="8520" w:type="dxa"/>
            <w:vAlign w:val="bottom"/>
          </w:tcPr>
          <w:p>
            <w:pPr>
              <w:ind w:left="20"/>
              <w:spacing w:after="0"/>
              <w:rPr>
                <w:sz w:val="20"/>
                <w:szCs w:val="20"/>
                <w:color w:val="auto"/>
              </w:rPr>
            </w:pPr>
            <w:r>
              <w:rPr>
                <w:rFonts w:ascii="Arial" w:cs="Arial" w:eastAsia="Arial" w:hAnsi="Arial"/>
                <w:sz w:val="17"/>
                <w:szCs w:val="17"/>
                <w:color w:val="auto"/>
              </w:rPr>
              <w:t>Total deferred income tax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8,346</w:t>
            </w:r>
          </w:p>
        </w:tc>
      </w:tr>
      <w:tr>
        <w:trPr>
          <w:trHeight w:val="220"/>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r>
      <w:tr>
        <w:trPr>
          <w:trHeight w:val="244"/>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net deferred income tax assets</w:t>
            </w: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7,131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7,806</w:t>
            </w:r>
          </w:p>
        </w:tc>
      </w:tr>
      <w:tr>
        <w:trPr>
          <w:trHeight w:val="218"/>
        </w:trPr>
        <w:tc>
          <w:tcPr>
            <w:tcW w:w="8520" w:type="dxa"/>
            <w:vAlign w:val="bottom"/>
          </w:tcPr>
          <w:p>
            <w:pPr>
              <w:ind w:left="20"/>
              <w:spacing w:after="0"/>
              <w:rPr>
                <w:sz w:val="20"/>
                <w:szCs w:val="20"/>
                <w:color w:val="auto"/>
              </w:rPr>
            </w:pPr>
            <w:r>
              <w:rPr>
                <w:rFonts w:ascii="Arial" w:cs="Arial" w:eastAsia="Arial" w:hAnsi="Arial"/>
                <w:sz w:val="17"/>
                <w:szCs w:val="17"/>
                <w:color w:val="auto"/>
              </w:rPr>
              <w:t>Deferred income tax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(18,665)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(16,930)</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Land and other indefinite life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(6,905)</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joint ventures and other basis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w:t>
            </w:r>
          </w:p>
        </w:tc>
      </w:tr>
      <w:tr>
        <w:trPr>
          <w:trHeight w:val="218"/>
        </w:trPr>
        <w:tc>
          <w:tcPr>
            <w:tcW w:w="8520" w:type="dxa"/>
            <w:vAlign w:val="bottom"/>
          </w:tcPr>
          <w:p>
            <w:pPr>
              <w:ind w:left="140"/>
              <w:spacing w:after="0"/>
              <w:rPr>
                <w:sz w:val="20"/>
                <w:szCs w:val="20"/>
                <w:color w:val="auto"/>
              </w:rPr>
            </w:pPr>
            <w:r>
              <w:rPr>
                <w:rFonts w:ascii="Arial" w:cs="Arial" w:eastAsia="Arial" w:hAnsi="Arial"/>
                <w:sz w:val="17"/>
                <w:szCs w:val="17"/>
                <w:color w:val="auto"/>
              </w:rPr>
              <w:t>Right-of-use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(557)</w:t>
            </w:r>
          </w:p>
        </w:tc>
      </w:tr>
      <w:tr>
        <w:trPr>
          <w:trHeight w:val="220"/>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Prepaids and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(29,903)</w:t>
            </w:r>
          </w:p>
        </w:tc>
      </w:tr>
      <w:tr>
        <w:trPr>
          <w:trHeight w:val="213"/>
        </w:trPr>
        <w:tc>
          <w:tcPr>
            <w:tcW w:w="8520" w:type="dxa"/>
            <w:vAlign w:val="bottom"/>
          </w:tcPr>
          <w:p>
            <w:pPr>
              <w:ind w:left="20"/>
              <w:spacing w:after="0"/>
              <w:rPr>
                <w:sz w:val="20"/>
                <w:szCs w:val="20"/>
                <w:color w:val="auto"/>
              </w:rPr>
            </w:pPr>
            <w:r>
              <w:rPr>
                <w:rFonts w:ascii="Arial" w:cs="Arial" w:eastAsia="Arial" w:hAnsi="Arial"/>
                <w:sz w:val="17"/>
                <w:szCs w:val="17"/>
                <w:color w:val="auto"/>
              </w:rPr>
              <w:t>Net deferred income tax liabilities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(22,097)</w:t>
            </w:r>
          </w:p>
        </w:tc>
      </w:tr>
      <w:tr>
        <w:trPr>
          <w:trHeight w:val="37"/>
        </w:trPr>
        <w:tc>
          <w:tcPr>
            <w:tcW w:w="8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8"/>
        </w:trPr>
        <w:tc>
          <w:tcPr>
            <w:tcW w:w="8520" w:type="dxa"/>
            <w:vAlign w:val="bottom"/>
          </w:tcPr>
          <w:p>
            <w:pPr>
              <w:ind w:left="20"/>
              <w:spacing w:after="0"/>
              <w:rPr>
                <w:sz w:val="20"/>
                <w:szCs w:val="20"/>
                <w:color w:val="auto"/>
              </w:rPr>
            </w:pPr>
            <w:r>
              <w:rPr>
                <w:rFonts w:ascii="Arial" w:cs="Arial" w:eastAsia="Arial" w:hAnsi="Arial"/>
                <w:sz w:val="17"/>
                <w:szCs w:val="17"/>
                <w:color w:val="auto"/>
              </w:rPr>
              <w:t>Deferred income taxes — noncurrent assets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20"/>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 noncurrent liabilities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(22,430)</w:t>
            </w:r>
          </w:p>
        </w:tc>
      </w:tr>
    </w:tbl>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periodically evaluates the recoverability of the deferred tax assets. The Company recognized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has recorded a valuation allowance of $1,324,000 on the net deferred tax assets of its subsidiaries in Argentina and Chile as of October 31, 2021 as the Company does not believe it is more likely than not that these deferred tax assets will be realized due to the recent history of cumulative pre-tax book losses and lack of objectively verifiable future source of taxable income.</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October 31, 2021, the Company has recorded a deferred tax asset of $6,312,000 related to its federal, state, and foreign net operating loss carryforwards. The entire federal net operating loss is subject to the 80% taxable income limitation. The net operating losses begin to expire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Jurisdiction</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Gross Amount</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Begin to Expire</w:t>
            </w:r>
          </w:p>
        </w:tc>
      </w:tr>
      <w:tr>
        <w:trPr>
          <w:trHeight w:val="21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17,443</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Indefinite</w:t>
            </w:r>
          </w:p>
        </w:tc>
      </w:tr>
      <w:tr>
        <w:trPr>
          <w:trHeight w:val="218"/>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State</w:t>
            </w:r>
          </w:p>
        </w:tc>
        <w:tc>
          <w:tcPr>
            <w:tcW w:w="2220" w:type="dxa"/>
            <w:vAlign w:val="bottom"/>
          </w:tcPr>
          <w:p>
            <w:pPr>
              <w:jc w:val="right"/>
              <w:spacing w:after="0"/>
              <w:rPr>
                <w:sz w:val="20"/>
                <w:szCs w:val="20"/>
                <w:color w:val="auto"/>
              </w:rPr>
            </w:pPr>
            <w:r>
              <w:rPr>
                <w:rFonts w:ascii="Arial" w:cs="Arial" w:eastAsia="Arial" w:hAnsi="Arial"/>
                <w:sz w:val="17"/>
                <w:szCs w:val="17"/>
                <w:color w:val="auto"/>
              </w:rPr>
              <w:t>21,277</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10/31/2039</w:t>
            </w:r>
          </w:p>
        </w:tc>
      </w:tr>
      <w:tr>
        <w:trPr>
          <w:trHeight w:val="22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Chile</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Indefinite</w:t>
            </w:r>
          </w:p>
        </w:tc>
      </w:tr>
      <w:tr>
        <w:trPr>
          <w:trHeight w:val="218"/>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Holland</w:t>
            </w:r>
          </w:p>
        </w:tc>
        <w:tc>
          <w:tcPr>
            <w:tcW w:w="222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10/31/2025</w:t>
            </w:r>
          </w:p>
        </w:tc>
      </w:tr>
      <w:tr>
        <w:trPr>
          <w:trHeight w:val="22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Argentina</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 (continued)</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October 31, 2021, the Company had disallowed federal and state interest expense carryforwards of approximately zero and $2,065,000, respectively, that do not expire. Because of the change of ownership provisions of the Tax Reform Act of 1986, use of a portion of the domestic net operating loss and disallowed interest expense carryforwards may be limited in future periods. Further, a portion of the carryforwards may expire before being applied to reduce future income tax liabilities.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7"/>
                <w:szCs w:val="17"/>
                <w:b w:val="1"/>
                <w:bCs w:val="1"/>
                <w:color w:val="auto"/>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2020</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2019</w:t>
            </w:r>
          </w:p>
        </w:tc>
        <w:tc>
          <w:tcPr>
            <w:tcW w:w="840" w:type="dxa"/>
            <w:vAlign w:val="bottom"/>
            <w:tcBorders>
              <w:bottom w:val="single" w:sz="8" w:color="auto"/>
            </w:tcBorders>
          </w:tcPr>
          <w:p>
            <w:pPr>
              <w:spacing w:after="0"/>
              <w:rPr>
                <w:sz w:val="19"/>
                <w:szCs w:val="19"/>
                <w:color w:val="auto"/>
              </w:rPr>
            </w:pPr>
          </w:p>
        </w:tc>
      </w:tr>
      <w:tr>
        <w:trPr>
          <w:trHeight w:val="213"/>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Amount</w:t>
            </w:r>
          </w:p>
        </w:tc>
        <w:tc>
          <w:tcPr>
            <w:tcW w:w="840" w:type="dxa"/>
            <w:vAlign w:val="bottom"/>
          </w:tcPr>
          <w:p>
            <w:pPr>
              <w:jc w:val="right"/>
              <w:ind w:right="43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Amount</w:t>
            </w:r>
          </w:p>
        </w:tc>
        <w:tc>
          <w:tcPr>
            <w:tcW w:w="840" w:type="dxa"/>
            <w:vAlign w:val="bottom"/>
          </w:tcPr>
          <w:p>
            <w:pPr>
              <w:jc w:val="right"/>
              <w:ind w:right="414"/>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7"/>
                <w:szCs w:val="17"/>
                <w:b w:val="1"/>
                <w:bCs w:val="1"/>
                <w:color w:val="auto"/>
                <w:w w:val="99"/>
              </w:rPr>
              <w:t>Amount</w:t>
            </w:r>
          </w:p>
        </w:tc>
        <w:tc>
          <w:tcPr>
            <w:tcW w:w="840" w:type="dxa"/>
            <w:vAlign w:val="bottom"/>
          </w:tcPr>
          <w:p>
            <w:pPr>
              <w:jc w:val="right"/>
              <w:ind w:right="414"/>
              <w:spacing w:after="0"/>
              <w:rPr>
                <w:sz w:val="20"/>
                <w:szCs w:val="20"/>
                <w:color w:val="auto"/>
              </w:rPr>
            </w:pPr>
            <w:r>
              <w:rPr>
                <w:rFonts w:ascii="Arial" w:cs="Arial" w:eastAsia="Arial" w:hAnsi="Arial"/>
                <w:sz w:val="17"/>
                <w:szCs w:val="17"/>
                <w:b w:val="1"/>
                <w:bCs w:val="1"/>
                <w:color w:val="auto"/>
              </w:rPr>
              <w:t>%</w:t>
            </w: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at statutory rates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State income tax, net of federal benefit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exclusion</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Meals and entertainment</w:t>
            </w:r>
          </w:p>
        </w:tc>
        <w:tc>
          <w:tcPr>
            <w:tcW w:w="16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costs</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Shared-based compensation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compensation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Tax law change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rate adjustment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6.1 %</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permanent items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3"/>
        </w:trPr>
        <w:tc>
          <w:tcPr>
            <w:tcW w:w="3940" w:type="dxa"/>
            <w:vAlign w:val="bottom"/>
          </w:tcPr>
          <w:p>
            <w:pPr>
              <w:ind w:left="20"/>
              <w:spacing w:after="0"/>
              <w:rPr>
                <w:sz w:val="20"/>
                <w:szCs w:val="20"/>
                <w:color w:val="auto"/>
              </w:rPr>
            </w:pPr>
            <w:r>
              <w:rPr>
                <w:rFonts w:ascii="Arial" w:cs="Arial" w:eastAsia="Arial" w:hAnsi="Arial"/>
                <w:sz w:val="17"/>
                <w:szCs w:val="17"/>
                <w:color w:val="auto"/>
              </w:rPr>
              <w:t>Total income tax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At October 31, 2021 and 2020, the Company had no unrecognized tax benefits. The Company files income tax returns in the U.S., California, Arizona, Chile, Argentina and Holland.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2021.</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The CARES Act includes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The Company evaluated the impact of the CARES Act and recorded a tax benefit of $1,948,000 and an income tax refund of $5,801,000 due to its ability to carryback and obtain federal tax refund by utilizing net operating losses under the provisions of the CARES Act at October 31, 2021, of which $841,000 and $4,960,000 were received in October 2020 and December 2020, respectively. An additional $948,000 of California state refunds were received in the third quarter of fiscal year 2021.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Retirement Plans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 In fiscal year 2021, the Company decided to terminate the Plan effective December 31, 2021. The liabilities disclosed as of October 31, 2021, reflect an estimate of the additional cost to pay lump sums to a portion of the active and vested terminated participants and purchase annuities for all remaining participants from an insurance company.</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The Plan is funded consistent with the funding requirements of federal law and regulations. There were no funding contributions during fiscal years 2021 or 2020.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Plan assets are invested in a group trust consisting primarily of pooled funds, mutual funds, short-term investment funds and cash.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Retirement Plans (continued)</w:t>
      </w:r>
    </w:p>
    <w:p>
      <w:pPr>
        <w:spacing w:after="0" w:line="12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investment policy and strategy has been established to provide a total investment return that will, over time, maintain purchasing power parity for the Plan’s variable benefits and keep the Plan funding at a reasonable level. The long-term target asset allocations are Cash 1% and Fixed Income 99%.</w:t>
      </w:r>
    </w:p>
    <w:p>
      <w:pPr>
        <w:spacing w:after="0" w:line="2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following tables set forth the Plan’s net periodic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benefit cost for the Plan for fiscal years 2021 and 2020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Administrative expenses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2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7"/>
                <w:szCs w:val="17"/>
                <w:color w:val="auto"/>
              </w:rPr>
              <w:t>Prior service cost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net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13"/>
        </w:trPr>
        <w:tc>
          <w:tcPr>
            <w:tcW w:w="8540" w:type="dxa"/>
            <w:vAlign w:val="bottom"/>
            <w:gridSpan w:val="2"/>
          </w:tcPr>
          <w:p>
            <w:pPr>
              <w:ind w:left="20"/>
              <w:spacing w:after="0"/>
              <w:rPr>
                <w:sz w:val="20"/>
                <w:szCs w:val="20"/>
                <w:color w:val="auto"/>
              </w:rPr>
            </w:pPr>
            <w:r>
              <w:rPr>
                <w:rFonts w:ascii="Arial" w:cs="Arial" w:eastAsia="Arial" w:hAnsi="Arial"/>
                <w:sz w:val="17"/>
                <w:szCs w:val="17"/>
                <w:color w:val="auto"/>
              </w:rPr>
              <w:t>Net periodic benefit cost</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7"/>
                <w:szCs w:val="17"/>
                <w:color w:val="auto"/>
              </w:rPr>
              <w:t>Following is a summary of the Plan’s funded status as of October 31 (in thousands):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5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benefit obligation: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Benefit obligation at beginning of year</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22,898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22,267</w:t>
            </w:r>
          </w:p>
        </w:tc>
        <w:tc>
          <w:tcPr>
            <w:tcW w:w="0" w:type="dxa"/>
            <w:vAlign w:val="bottom"/>
          </w:tcPr>
          <w:p>
            <w:pPr>
              <w:spacing w:after="0"/>
              <w:rPr>
                <w:sz w:val="1"/>
                <w:szCs w:val="1"/>
                <w:color w:val="auto"/>
              </w:rPr>
            </w:pPr>
          </w:p>
        </w:tc>
      </w:tr>
      <w:tr>
        <w:trPr>
          <w:trHeight w:val="22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Administrative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8"/>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2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Actuarial (gain) loss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33"/>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Benefit obligation at end of year</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8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plan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Fair value of plan assets at beginning of year</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19,352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19,229</w:t>
            </w:r>
          </w:p>
        </w:tc>
        <w:tc>
          <w:tcPr>
            <w:tcW w:w="0" w:type="dxa"/>
            <w:vAlign w:val="bottom"/>
          </w:tcPr>
          <w:p>
            <w:pPr>
              <w:spacing w:after="0"/>
              <w:rPr>
                <w:sz w:val="1"/>
                <w:szCs w:val="1"/>
                <w:color w:val="auto"/>
              </w:rPr>
            </w:pPr>
          </w:p>
        </w:tc>
      </w:tr>
      <w:tr>
        <w:trPr>
          <w:trHeight w:val="22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Actual return on plan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233"/>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Fair value of plan assets at end of year</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8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Reconciliation of funded status: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Fair value of plan assets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20,570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19,352</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 obligations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22,898</w:t>
            </w:r>
          </w:p>
        </w:tc>
        <w:tc>
          <w:tcPr>
            <w:tcW w:w="0" w:type="dxa"/>
            <w:vAlign w:val="bottom"/>
          </w:tcPr>
          <w:p>
            <w:pPr>
              <w:spacing w:after="0"/>
              <w:rPr>
                <w:sz w:val="1"/>
                <w:szCs w:val="1"/>
                <w:color w:val="auto"/>
              </w:rPr>
            </w:pPr>
          </w:p>
        </w:tc>
      </w:tr>
      <w:tr>
        <w:trPr>
          <w:trHeight w:val="213"/>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Net plan obligations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81"/>
        </w:trPr>
        <w:tc>
          <w:tcPr>
            <w:tcW w:w="852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854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color w:val="auto"/>
              </w:rPr>
              <w:t>Amounts recognized in statements of financial position:</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213"/>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Net obligation recognized in statements of financial position</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81"/>
        </w:trPr>
        <w:tc>
          <w:tcPr>
            <w:tcW w:w="852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854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color w:val="auto"/>
              </w:rPr>
              <w:t>Reconciliation of amounts recognized in statements of financial position:</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Prior service cost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(6,162)</w:t>
            </w:r>
          </w:p>
        </w:tc>
        <w:tc>
          <w:tcPr>
            <w:tcW w:w="0" w:type="dxa"/>
            <w:vAlign w:val="bottom"/>
          </w:tcPr>
          <w:p>
            <w:pPr>
              <w:spacing w:after="0"/>
              <w:rPr>
                <w:sz w:val="1"/>
                <w:szCs w:val="1"/>
                <w:color w:val="auto"/>
              </w:rPr>
            </w:pPr>
          </w:p>
        </w:tc>
      </w:tr>
      <w:tr>
        <w:trPr>
          <w:trHeight w:val="213"/>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contributions in excess of net periodic benefit cost</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2,760</w:t>
            </w:r>
          </w:p>
        </w:tc>
        <w:tc>
          <w:tcPr>
            <w:tcW w:w="0" w:type="dxa"/>
            <w:vAlign w:val="bottom"/>
          </w:tcPr>
          <w:p>
            <w:pPr>
              <w:spacing w:after="0"/>
              <w:rPr>
                <w:sz w:val="1"/>
                <w:szCs w:val="1"/>
                <w:color w:val="auto"/>
              </w:rPr>
            </w:pPr>
          </w:p>
        </w:tc>
      </w:tr>
      <w:tr>
        <w:trPr>
          <w:trHeight w:val="233"/>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deficit recognized in statements of financial position</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40" w:type="dxa"/>
            <w:vAlign w:val="bottom"/>
          </w:tcPr>
          <w:p>
            <w:pPr>
              <w:spacing w:after="0"/>
              <w:rPr>
                <w:sz w:val="20"/>
                <w:szCs w:val="20"/>
                <w:color w:val="auto"/>
              </w:rPr>
            </w:pPr>
            <w:r>
              <w:rPr>
                <w:rFonts w:ascii="Arial" w:cs="Arial" w:eastAsia="Arial" w:hAnsi="Arial"/>
                <w:sz w:val="17"/>
                <w:szCs w:val="17"/>
                <w:b w:val="1"/>
                <w:bCs w:val="1"/>
                <w:color w:val="auto"/>
              </w:rPr>
              <w:t>17. Retirement Plans (continued)</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09"/>
        </w:trPr>
        <w:tc>
          <w:tcPr>
            <w:tcW w:w="9000" w:type="dxa"/>
            <w:vAlign w:val="bottom"/>
            <w:gridSpan w:val="2"/>
          </w:tcPr>
          <w:p>
            <w:pPr>
              <w:spacing w:after="0"/>
              <w:rPr>
                <w:sz w:val="20"/>
                <w:szCs w:val="20"/>
                <w:color w:val="auto"/>
              </w:rPr>
            </w:pPr>
            <w:r>
              <w:rPr>
                <w:rFonts w:ascii="Arial" w:cs="Arial" w:eastAsia="Arial" w:hAnsi="Arial"/>
                <w:sz w:val="17"/>
                <w:szCs w:val="17"/>
                <w:color w:val="auto"/>
                <w:w w:val="90"/>
              </w:rPr>
              <w:t>Presented below are changes in accumulated other comprehensive income, before tax, in the Plan as of October 31, (in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9"/>
        </w:trPr>
        <w:tc>
          <w:tcPr>
            <w:tcW w:w="85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213"/>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recognized in other comprehensive income:</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8"/>
        </w:trPr>
        <w:tc>
          <w:tcPr>
            <w:tcW w:w="8540" w:type="dxa"/>
            <w:vAlign w:val="bottom"/>
          </w:tcPr>
          <w:p>
            <w:pPr>
              <w:ind w:left="20"/>
              <w:spacing w:after="0"/>
              <w:rPr>
                <w:sz w:val="20"/>
                <w:szCs w:val="20"/>
                <w:color w:val="auto"/>
              </w:rPr>
            </w:pPr>
            <w:r>
              <w:rPr>
                <w:rFonts w:ascii="Arial" w:cs="Arial" w:eastAsia="Arial" w:hAnsi="Arial"/>
                <w:sz w:val="17"/>
                <w:szCs w:val="17"/>
                <w:color w:val="auto"/>
              </w:rPr>
              <w:t>Net (gain) loss arising during the year</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(2,658)</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579</w:t>
            </w:r>
          </w:p>
        </w:tc>
      </w:tr>
      <w:tr>
        <w:trPr>
          <w:trHeight w:val="220"/>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prior service cost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8"/>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net loss</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r>
      <w:tr>
        <w:trPr>
          <w:trHeight w:val="23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recognized in other comprehensive income</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recognized in net periodic benefit and other comprehensive income</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60" w:type="dxa"/>
            <w:vAlign w:val="bottom"/>
            <w:gridSpan w:val="2"/>
          </w:tcPr>
          <w:p>
            <w:pPr>
              <w:spacing w:after="0"/>
              <w:rPr>
                <w:sz w:val="20"/>
                <w:szCs w:val="20"/>
                <w:color w:val="auto"/>
              </w:rPr>
            </w:pPr>
            <w:r>
              <w:rPr>
                <w:rFonts w:ascii="Arial" w:cs="Arial" w:eastAsia="Arial" w:hAnsi="Arial"/>
                <w:sz w:val="17"/>
                <w:szCs w:val="17"/>
                <w:color w:val="auto"/>
                <w:w w:val="92"/>
              </w:rPr>
              <w:t>The following assumptions, as of October 31, were used in determining benefit obligations and net periodic benefit cost ($</w:t>
            </w: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in thousands):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49"/>
        </w:trPr>
        <w:tc>
          <w:tcPr>
            <w:tcW w:w="82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assumptions used to determine benefit obligations: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2.50 %</w:t>
            </w:r>
          </w:p>
        </w:tc>
      </w:tr>
      <w:tr>
        <w:trPr>
          <w:trHeight w:val="246"/>
        </w:trPr>
        <w:tc>
          <w:tcPr>
            <w:tcW w:w="8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Assumptions used to determine net periodic benefit cost: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3.00 %</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5.66 %</w:t>
            </w:r>
          </w:p>
        </w:tc>
      </w:tr>
      <w:tr>
        <w:trPr>
          <w:trHeight w:val="246"/>
        </w:trPr>
        <w:tc>
          <w:tcPr>
            <w:tcW w:w="8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Additional year-end information: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21,417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22,898</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21,417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22,898</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20,570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19,352</w:t>
            </w:r>
          </w:p>
        </w:tc>
      </w:tr>
      <w:tr>
        <w:trPr>
          <w:trHeight w:val="385"/>
        </w:trPr>
        <w:tc>
          <w:tcPr>
            <w:tcW w:w="8260" w:type="dxa"/>
            <w:vAlign w:val="bottom"/>
          </w:tcPr>
          <w:p>
            <w:pPr>
              <w:spacing w:after="0"/>
              <w:rPr>
                <w:sz w:val="20"/>
                <w:szCs w:val="20"/>
                <w:color w:val="auto"/>
              </w:rPr>
            </w:pPr>
            <w:r>
              <w:rPr>
                <w:rFonts w:ascii="Arial" w:cs="Arial" w:eastAsia="Arial" w:hAnsi="Arial"/>
                <w:sz w:val="17"/>
                <w:szCs w:val="17"/>
                <w:color w:val="auto"/>
              </w:rPr>
              <w:t>Benefit payments are expected to be paid over the next 10 fiscal years as follows (in thousands):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0"/>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20,835</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2024 - 2026</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Next five years</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the Plan’s assets as of October 31, 2021, segregated by level using the hierarchy established by FASB ASC 820, Fair Value Measurements and Disclosures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Level 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Level 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Level 3</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Total</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1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Pooled funds</w:t>
            </w: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20,320</w:t>
            </w:r>
          </w:p>
        </w:tc>
      </w:tr>
      <w:tr>
        <w:trPr>
          <w:trHeight w:val="232"/>
        </w:trPr>
        <w:tc>
          <w:tcPr>
            <w:tcW w:w="56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has a 401(k) plan in which an employee can participate after one year of employment. Employees may elect to defer up to 100% of their annual earnings subject to Internal Revenue Code limits. The Company makes a matching contribution on these deferrals up to 4% of the employee’s annual earnings. Participants vest in any matching contribution at a rate of 20% per year beginning after one year of employment. During fiscal years 2021, 2020 and 2019, the Company contributed to the plan and recognized expenses of $546,000, $1,107,000 and $927,000,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8540" w:firstLine="3"/>
        <w:spacing w:after="0" w:line="434" w:lineRule="auto"/>
        <w:tabs>
          <w:tab w:leader="none" w:pos="258"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Litigation and Legal Proceedings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69" w:lineRule="exact"/>
        <w:rPr>
          <w:sz w:val="20"/>
          <w:szCs w:val="20"/>
          <w:color w:val="auto"/>
        </w:rPr>
      </w:pPr>
    </w:p>
    <w:p>
      <w:pPr>
        <w:ind w:right="8080" w:firstLine="3"/>
        <w:spacing w:after="0" w:line="434" w:lineRule="auto"/>
        <w:tabs>
          <w:tab w:leader="none" w:pos="258"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Series B and Series B-2 Preferred Stock Series B Convertible Preferred Stock</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1997, in connection with the acquisition of Ronald Michaelis Ranches, Inc., the Company issued 30,000 shares of Series B Convertible Preferred Stock at $100.00 par value (the “Series B Stock”).</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Dividends: The holders of shares of Series B Stock are entitled to receive cumulative cash dividends at an annual rate of 8.75% of par value. Such dividends are payable quarterly on the first day of January, April, July and October in each year.</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holder of Series B Stock is entitled to ten votes on all matters submitted to a vote of the stockholders of the Company.</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6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Put: The holders of Series B Stock may at any time after July 1, 2017 and before June 30,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Series B Stock may be redeemed by holders of the shares at their discretion beginning July 1, 2017, the redemption is outside the control of the Company and accordingly, the Series B Stock has been classified as temporary equity.</w:t>
      </w:r>
    </w:p>
    <w:p>
      <w:pPr>
        <w:spacing w:after="0" w:line="61" w:lineRule="exact"/>
        <w:rPr>
          <w:sz w:val="20"/>
          <w:szCs w:val="20"/>
          <w:color w:val="auto"/>
        </w:rPr>
      </w:pPr>
    </w:p>
    <w:p>
      <w:pPr>
        <w:ind w:right="1500"/>
        <w:spacing w:after="0" w:line="379" w:lineRule="auto"/>
        <w:rPr>
          <w:sz w:val="20"/>
          <w:szCs w:val="20"/>
          <w:color w:val="auto"/>
        </w:rPr>
      </w:pPr>
      <w:r>
        <w:rPr>
          <w:rFonts w:ascii="Arial" w:cs="Arial" w:eastAsia="Arial" w:hAnsi="Arial"/>
          <w:sz w:val="17"/>
          <w:szCs w:val="17"/>
          <w:color w:val="auto"/>
        </w:rPr>
        <w:t xml:space="preserve">During fiscal years 2015 thru 2017, a total of 15,210 shares of Series B preferred stock were converted into 190,124 shares of common stock. </w:t>
      </w:r>
      <w:r>
        <w:rPr>
          <w:rFonts w:ascii="Arial" w:cs="Arial" w:eastAsia="Arial" w:hAnsi="Arial"/>
          <w:sz w:val="17"/>
          <w:szCs w:val="17"/>
          <w:b w:val="1"/>
          <w:bCs w:val="1"/>
          <w:color w:val="auto"/>
        </w:rPr>
        <w:t>Series B-2 Convertible Preferred Stock</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Conversion: Each share of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be trading or (b) $15.00 per share of common stock. Shares of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7200" w:firstLine="3"/>
        <w:spacing w:after="0" w:line="407" w:lineRule="auto"/>
        <w:tabs>
          <w:tab w:leader="none" w:pos="25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spacing w:after="0" w:line="6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Stockholders’ Equity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A Junior Participating Preferred Stock</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20,000 shares of preferred stock authorized as Series A Junior Participating Preferred Stock at $0.01 par value (the “Series A Stock”). No shares are issued or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 The Stock Plan has 156,036 remaining shares available to be issued as of October 31, 2021.</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During December 2021, 2020 and 2019, there were no Performance Awards of restricted stock granted for fiscal year 2021, 2020 or 2019 performance because the financial performance and other criteria were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8540" w:firstLine="3"/>
        <w:spacing w:after="0" w:line="434" w:lineRule="auto"/>
        <w:tabs>
          <w:tab w:leader="none" w:pos="258"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(continued) Stock-based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Awards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restricted stock grants are made to key executives under the Stock Plan (“Executive Awards”). These grants generally vest over a three to five-year period as service is provided. During December 2021, subsequent to fiscal year 2021, the Company granted 70,000 shares of common stock with a per share price of $14.96 to key executives under the Stock Plan. The related compensation expense of approximately $1,047,000 will be recognized equally over the next three years as the shares vest.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Awards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Performance, Executive, and Director awards granted under the Stock Plan during fiscal years 2021, 2020 and 2019, and the weighted average grant price is as follows: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ind w:left="580"/>
              <w:spacing w:after="0"/>
              <w:rPr>
                <w:sz w:val="20"/>
                <w:szCs w:val="20"/>
                <w:color w:val="auto"/>
              </w:rPr>
            </w:pPr>
            <w:r>
              <w:rPr>
                <w:rFonts w:ascii="Arial" w:cs="Arial" w:eastAsia="Arial" w:hAnsi="Arial"/>
                <w:sz w:val="17"/>
                <w:szCs w:val="17"/>
                <w:b w:val="1"/>
                <w:bCs w:val="1"/>
                <w:color w:val="auto"/>
              </w:rPr>
              <w:t>Year Ended October 31,</w:t>
            </w:r>
          </w:p>
        </w:tc>
        <w:tc>
          <w:tcPr>
            <w:tcW w:w="1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7"/>
                <w:szCs w:val="17"/>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2"/>
          </w:tcPr>
          <w:p>
            <w:pPr>
              <w:jc w:val="center"/>
              <w:ind w:left="977"/>
              <w:spacing w:after="0"/>
              <w:rPr>
                <w:sz w:val="20"/>
                <w:szCs w:val="20"/>
                <w:color w:val="auto"/>
              </w:rPr>
            </w:pPr>
            <w:r>
              <w:rPr>
                <w:rFonts w:ascii="Arial" w:cs="Arial" w:eastAsia="Arial" w:hAnsi="Arial"/>
                <w:sz w:val="17"/>
                <w:szCs w:val="17"/>
                <w:b w:val="1"/>
                <w:bCs w:val="1"/>
                <w:color w:val="auto"/>
                <w:w w:val="89"/>
              </w:rPr>
              <w:t>2019</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13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9"/>
              </w:rPr>
              <w:t>Number of Shares</w:t>
            </w:r>
          </w:p>
        </w:tc>
        <w:tc>
          <w:tcPr>
            <w:tcW w:w="15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1"/>
              </w:rPr>
              <w:t>Weighted-Average Grant</w:t>
            </w:r>
          </w:p>
        </w:tc>
        <w:tc>
          <w:tcPr>
            <w:tcW w:w="100" w:type="dxa"/>
            <w:vAlign w:val="bottom"/>
          </w:tcPr>
          <w:p>
            <w:pPr>
              <w:spacing w:after="0"/>
              <w:rPr>
                <w:sz w:val="10"/>
                <w:szCs w:val="10"/>
                <w:color w:val="auto"/>
              </w:rPr>
            </w:pPr>
          </w:p>
        </w:tc>
        <w:tc>
          <w:tcPr>
            <w:tcW w:w="13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Number of Shares</w:t>
            </w:r>
          </w:p>
        </w:tc>
        <w:tc>
          <w:tcPr>
            <w:tcW w:w="15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1"/>
              </w:rPr>
              <w:t>Weighted-Average Grant</w:t>
            </w:r>
          </w:p>
        </w:tc>
        <w:tc>
          <w:tcPr>
            <w:tcW w:w="120" w:type="dxa"/>
            <w:vAlign w:val="bottom"/>
          </w:tcPr>
          <w:p>
            <w:pPr>
              <w:spacing w:after="0"/>
              <w:rPr>
                <w:sz w:val="10"/>
                <w:szCs w:val="10"/>
                <w:color w:val="auto"/>
              </w:rPr>
            </w:pPr>
          </w:p>
        </w:tc>
        <w:tc>
          <w:tcPr>
            <w:tcW w:w="13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9"/>
              </w:rPr>
              <w:t>Number of Shares</w:t>
            </w:r>
          </w:p>
        </w:tc>
        <w:tc>
          <w:tcPr>
            <w:tcW w:w="15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0"/>
              </w:rPr>
              <w:t>Weighted-Average Grant</w:t>
            </w:r>
          </w:p>
        </w:tc>
        <w:tc>
          <w:tcPr>
            <w:tcW w:w="0" w:type="dxa"/>
            <w:vAlign w:val="bottom"/>
          </w:tcPr>
          <w:p>
            <w:pPr>
              <w:spacing w:after="0"/>
              <w:rPr>
                <w:sz w:val="1"/>
                <w:szCs w:val="1"/>
                <w:color w:val="auto"/>
              </w:rPr>
            </w:pPr>
          </w:p>
        </w:tc>
      </w:tr>
      <w:tr>
        <w:trPr>
          <w:trHeight w:val="179"/>
        </w:trPr>
        <w:tc>
          <w:tcPr>
            <w:tcW w:w="23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Awards</w:t>
            </w:r>
          </w:p>
        </w:tc>
        <w:tc>
          <w:tcPr>
            <w:tcW w:w="1780" w:type="dxa"/>
            <w:vAlign w:val="bottom"/>
            <w:gridSpan w:val="2"/>
            <w:shd w:val="clear" w:color="auto" w:fill="CCEEFF"/>
          </w:tcPr>
          <w:p>
            <w:pPr>
              <w:jc w:val="right"/>
              <w:ind w:right="218"/>
              <w:spacing w:after="0"/>
              <w:rPr>
                <w:sz w:val="20"/>
                <w:szCs w:val="20"/>
                <w:color w:val="auto"/>
              </w:rPr>
            </w:pPr>
            <w:r>
              <w:rPr>
                <w:rFonts w:ascii="Arial" w:cs="Arial" w:eastAsia="Arial" w:hAnsi="Arial"/>
                <w:sz w:val="17"/>
                <w:szCs w:val="17"/>
                <w:color w:val="auto"/>
              </w:rPr>
              <w:t>— $</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218"/>
              <w:spacing w:after="0"/>
              <w:rPr>
                <w:sz w:val="20"/>
                <w:szCs w:val="20"/>
                <w:color w:val="auto"/>
              </w:rPr>
            </w:pPr>
            <w:r>
              <w:rPr>
                <w:rFonts w:ascii="Arial" w:cs="Arial" w:eastAsia="Arial" w:hAnsi="Arial"/>
                <w:sz w:val="17"/>
                <w:szCs w:val="17"/>
                <w:color w:val="auto"/>
              </w:rPr>
              <w:t>— $</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40,095</w:t>
            </w:r>
          </w:p>
        </w:tc>
        <w:tc>
          <w:tcPr>
            <w:tcW w:w="44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7"/>
                <w:szCs w:val="17"/>
                <w:color w:val="auto"/>
              </w:rPr>
              <w:t>Executive Awards</w:t>
            </w:r>
          </w:p>
        </w:tc>
        <w:tc>
          <w:tcPr>
            <w:tcW w:w="1340" w:type="dxa"/>
            <w:vAlign w:val="bottom"/>
          </w:tcPr>
          <w:p>
            <w:pPr>
              <w:jc w:val="right"/>
              <w:spacing w:after="0"/>
              <w:rPr>
                <w:sz w:val="20"/>
                <w:szCs w:val="20"/>
                <w:color w:val="auto"/>
              </w:rPr>
            </w:pPr>
            <w:r>
              <w:rPr>
                <w:rFonts w:ascii="Arial" w:cs="Arial" w:eastAsia="Arial" w:hAnsi="Arial"/>
                <w:sz w:val="17"/>
                <w:szCs w:val="17"/>
                <w:color w:val="auto"/>
              </w:rPr>
              <w:t>95,000</w:t>
            </w:r>
          </w:p>
        </w:tc>
        <w:tc>
          <w:tcPr>
            <w:tcW w:w="44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15.26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95,000</w:t>
            </w:r>
          </w:p>
        </w:tc>
        <w:tc>
          <w:tcPr>
            <w:tcW w:w="44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18.87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90,000</w:t>
            </w:r>
          </w:p>
        </w:tc>
        <w:tc>
          <w:tcPr>
            <w:tcW w:w="440" w:type="dxa"/>
            <w:vAlign w:val="bottom"/>
          </w:tcPr>
          <w:p>
            <w:pPr>
              <w:jc w:val="center"/>
              <w:ind w:right="198"/>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19.84</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 Awards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30,663</w:t>
            </w:r>
          </w:p>
        </w:tc>
        <w:tc>
          <w:tcPr>
            <w:tcW w:w="44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17,841</w:t>
            </w:r>
          </w:p>
        </w:tc>
        <w:tc>
          <w:tcPr>
            <w:tcW w:w="44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15,642</w:t>
            </w:r>
          </w:p>
        </w:tc>
        <w:tc>
          <w:tcPr>
            <w:tcW w:w="440" w:type="dxa"/>
            <w:vAlign w:val="bottom"/>
            <w:tcBorders>
              <w:bottom w:val="single" w:sz="8" w:color="auto"/>
            </w:tcBorders>
            <w:shd w:val="clear" w:color="auto" w:fill="CCEEFF"/>
          </w:tcPr>
          <w:p>
            <w:pPr>
              <w:jc w:val="center"/>
              <w:ind w:right="198"/>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Arial" w:cs="Arial" w:eastAsia="Arial" w:hAnsi="Arial"/>
                <w:sz w:val="17"/>
                <w:szCs w:val="17"/>
                <w:color w:val="auto"/>
              </w:rPr>
              <w:t>Total</w:t>
            </w:r>
          </w:p>
        </w:tc>
        <w:tc>
          <w:tcPr>
            <w:tcW w:w="1340" w:type="dxa"/>
            <w:vAlign w:val="bottom"/>
          </w:tcPr>
          <w:p>
            <w:pPr>
              <w:jc w:val="right"/>
              <w:spacing w:after="0"/>
              <w:rPr>
                <w:sz w:val="20"/>
                <w:szCs w:val="20"/>
                <w:color w:val="auto"/>
              </w:rPr>
            </w:pPr>
            <w:r>
              <w:rPr>
                <w:rFonts w:ascii="Arial" w:cs="Arial" w:eastAsia="Arial" w:hAnsi="Arial"/>
                <w:sz w:val="17"/>
                <w:szCs w:val="17"/>
                <w:color w:val="auto"/>
              </w:rPr>
              <w:t>125,663</w:t>
            </w:r>
          </w:p>
        </w:tc>
        <w:tc>
          <w:tcPr>
            <w:tcW w:w="44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15.65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112,841</w:t>
            </w:r>
          </w:p>
        </w:tc>
        <w:tc>
          <w:tcPr>
            <w:tcW w:w="44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19.06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145,737</w:t>
            </w:r>
          </w:p>
        </w:tc>
        <w:tc>
          <w:tcPr>
            <w:tcW w:w="440" w:type="dxa"/>
            <w:vAlign w:val="bottom"/>
          </w:tcPr>
          <w:p>
            <w:pPr>
              <w:jc w:val="center"/>
              <w:ind w:right="198"/>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19.73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recognized $2,582,000, $2,044,000 and $1,791,000 of stock-based compensation in fiscal years 2021, 2020 and 2019, respectively, of which substantially all of the expense has been included in selling, general and administrative expenses for all years presented. Forfeitures are accounted for in the period that the forfeiture occurs. The income tax benefit recognized in the income statement for stock-based compensation arrangements was $476,000, $400,000 and $324,000 for fiscal years 2021, 2020 and 2019, respectively. The total fair value of shares vested during the years ended October 31, 2021, 2020 and 2019 was $2,951,000, $2,365,000 and $1,788,000 respectively. The Company has unrecognized stock-based compensation expense of $1,963,000 as of October 31, 2021, which is expected to be recognized over the next two years as the shares vest. All unvested shares are expected to vest.</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fiscal years 2021, 2020 and 2019, respectively, members of management exchanged 46,993, 11,314 and 36,627 shares of common stock with fair values of $701,000, $213,000 and $606,000, at the dates of the exchanges, for the payment of payroll taxes associated with the vesting of shares under the Company’s stock-based compensation programs.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status of the Company’s nonvested shares as of October 31, 2021, and changes during the year ended October 31, 2021, is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186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Number of 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234"/>
              <w:spacing w:after="0"/>
              <w:rPr>
                <w:sz w:val="20"/>
                <w:szCs w:val="20"/>
                <w:color w:val="auto"/>
              </w:rPr>
            </w:pPr>
            <w:r>
              <w:rPr>
                <w:rFonts w:ascii="Arial" w:cs="Arial" w:eastAsia="Arial" w:hAnsi="Arial"/>
                <w:sz w:val="17"/>
                <w:szCs w:val="17"/>
                <w:b w:val="1"/>
                <w:bCs w:val="1"/>
                <w:color w:val="auto"/>
                <w:w w:val="95"/>
              </w:rPr>
              <w:t>Weighted-Average</w:t>
            </w:r>
          </w:p>
        </w:tc>
        <w:tc>
          <w:tcPr>
            <w:tcW w:w="0" w:type="dxa"/>
            <w:vAlign w:val="bottom"/>
          </w:tcPr>
          <w:p>
            <w:pPr>
              <w:spacing w:after="0"/>
              <w:rPr>
                <w:sz w:val="1"/>
                <w:szCs w:val="1"/>
                <w:color w:val="auto"/>
              </w:rPr>
            </w:pPr>
          </w:p>
        </w:tc>
      </w:tr>
      <w:tr>
        <w:trPr>
          <w:trHeight w:val="219"/>
        </w:trPr>
        <w:tc>
          <w:tcPr>
            <w:tcW w:w="72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Grant Price</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October 31, 2020</w:t>
            </w:r>
          </w:p>
        </w:tc>
        <w:tc>
          <w:tcPr>
            <w:tcW w:w="1860" w:type="dxa"/>
            <w:vAlign w:val="bottom"/>
            <w:shd w:val="clear" w:color="auto" w:fill="CCEEFF"/>
          </w:tcPr>
          <w:p>
            <w:pPr>
              <w:jc w:val="center"/>
              <w:ind w:left="1094"/>
              <w:spacing w:after="0"/>
              <w:rPr>
                <w:sz w:val="20"/>
                <w:szCs w:val="20"/>
                <w:color w:val="auto"/>
              </w:rPr>
            </w:pPr>
            <w:r>
              <w:rPr>
                <w:rFonts w:ascii="Arial" w:cs="Arial" w:eastAsia="Arial" w:hAnsi="Arial"/>
                <w:sz w:val="17"/>
                <w:szCs w:val="17"/>
                <w:color w:val="auto"/>
                <w:w w:val="91"/>
              </w:rPr>
              <w:t>148,460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0" w:type="dxa"/>
            <w:vAlign w:val="bottom"/>
          </w:tcPr>
          <w:p>
            <w:pPr>
              <w:spacing w:after="0"/>
              <w:rPr>
                <w:sz w:val="1"/>
                <w:szCs w:val="1"/>
                <w:color w:val="auto"/>
              </w:rPr>
            </w:pPr>
          </w:p>
        </w:tc>
      </w:tr>
      <w:tr>
        <w:trPr>
          <w:trHeight w:val="218"/>
        </w:trPr>
        <w:tc>
          <w:tcPr>
            <w:tcW w:w="7280" w:type="dxa"/>
            <w:vAlign w:val="bottom"/>
          </w:tcPr>
          <w:p>
            <w:pPr>
              <w:ind w:left="20"/>
              <w:spacing w:after="0"/>
              <w:rPr>
                <w:sz w:val="20"/>
                <w:szCs w:val="20"/>
                <w:color w:val="auto"/>
              </w:rPr>
            </w:pPr>
            <w:r>
              <w:rPr>
                <w:rFonts w:ascii="Arial" w:cs="Arial" w:eastAsia="Arial" w:hAnsi="Arial"/>
                <w:sz w:val="17"/>
                <w:szCs w:val="17"/>
                <w:color w:val="auto"/>
              </w:rPr>
              <w:t>Granted</w:t>
            </w:r>
          </w:p>
        </w:tc>
        <w:tc>
          <w:tcPr>
            <w:tcW w:w="1860" w:type="dxa"/>
            <w:vAlign w:val="bottom"/>
          </w:tcPr>
          <w:p>
            <w:pPr>
              <w:jc w:val="center"/>
              <w:ind w:left="1094"/>
              <w:spacing w:after="0"/>
              <w:rPr>
                <w:sz w:val="20"/>
                <w:szCs w:val="20"/>
                <w:color w:val="auto"/>
              </w:rPr>
            </w:pPr>
            <w:r>
              <w:rPr>
                <w:rFonts w:ascii="Arial" w:cs="Arial" w:eastAsia="Arial" w:hAnsi="Arial"/>
                <w:sz w:val="17"/>
                <w:szCs w:val="17"/>
                <w:color w:val="auto"/>
                <w:w w:val="91"/>
              </w:rPr>
              <w:t>125,663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15.65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860" w:type="dxa"/>
            <w:vAlign w:val="bottom"/>
            <w:tcBorders>
              <w:bottom w:val="single" w:sz="8" w:color="auto"/>
            </w:tcBorders>
            <w:shd w:val="clear" w:color="auto" w:fill="CCEEFF"/>
          </w:tcPr>
          <w:p>
            <w:pPr>
              <w:jc w:val="center"/>
              <w:ind w:left="1054"/>
              <w:spacing w:after="0"/>
              <w:rPr>
                <w:sz w:val="20"/>
                <w:szCs w:val="20"/>
                <w:color w:val="auto"/>
              </w:rPr>
            </w:pPr>
            <w:r>
              <w:rPr>
                <w:rFonts w:ascii="Arial" w:cs="Arial" w:eastAsia="Arial" w:hAnsi="Arial"/>
                <w:sz w:val="17"/>
                <w:szCs w:val="17"/>
                <w:color w:val="auto"/>
                <w:w w:val="93"/>
              </w:rPr>
              <w:t>(161,123)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7"/>
                <w:szCs w:val="17"/>
                <w:color w:val="auto"/>
              </w:rPr>
              <w:t>Nonvested at October 31, 2021</w:t>
            </w:r>
          </w:p>
        </w:tc>
        <w:tc>
          <w:tcPr>
            <w:tcW w:w="1860" w:type="dxa"/>
            <w:vAlign w:val="bottom"/>
            <w:tcBorders>
              <w:bottom w:val="single" w:sz="8" w:color="auto"/>
            </w:tcBorders>
          </w:tcPr>
          <w:p>
            <w:pPr>
              <w:jc w:val="center"/>
              <w:ind w:left="1094"/>
              <w:spacing w:after="0"/>
              <w:rPr>
                <w:sz w:val="20"/>
                <w:szCs w:val="20"/>
                <w:color w:val="auto"/>
              </w:rPr>
            </w:pPr>
            <w:r>
              <w:rPr>
                <w:rFonts w:ascii="Arial" w:cs="Arial" w:eastAsia="Arial" w:hAnsi="Arial"/>
                <w:sz w:val="17"/>
                <w:szCs w:val="17"/>
                <w:color w:val="auto"/>
                <w:w w:val="91"/>
              </w:rPr>
              <w:t>113,000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17.38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 Program</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fiscal year 2021, the Company's Board of Directors approved a share repurchase program authorizing it to repurchase up to $10,000,000 of its outstanding shares of common stock through September 2022; no shares have been repurchased under this program. In fiscal year 2020, the Company repurchased 250,977 shares for $3,493,000 under a program which expired in March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8540" w:firstLine="3"/>
        <w:spacing w:after="0" w:line="383" w:lineRule="auto"/>
        <w:tabs>
          <w:tab w:leader="none" w:pos="25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(continued) Dividend</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14, 2021, the Company declared a $0.075 per share dividend payable on January 14, 2022, in the aggregate amount of $1,328,000 to common shareholders of record as of December 27, 2021.</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Fruit Growers Supply Cooperative</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a member of Fruit Growers Supply (“FGS”), a cooperative supply corporation. FGS is the manufacturing and supply affiliate of Sunkist and allocates after-tax earnings derived from non-member business to members. The Company records allocations disbursed by FGS as reductions of agribusiness expenses. The Company had been allocated $729,000, of which the Company received dividends of $216,000, $513,000 and zero in fiscal years 2021, 2020 and 2019, respectively, and there are no remaining allocations outstanding as of October 31,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Segment Information</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 Revenues related to rental operations are included in “Corporate and Other.”</w:t>
      </w:r>
    </w:p>
    <w:p>
      <w:pPr>
        <w:spacing w:after="0" w:line="5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and suppliers. Intersegment revenues represent packing revenues related to lemons grown on the Company’s orchards.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fiscal year 2021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Lemon</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Avocados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Corporate</w:t>
            </w:r>
          </w:p>
        </w:tc>
        <w:tc>
          <w:tcPr>
            <w:tcW w:w="220" w:type="dxa"/>
            <w:vAlign w:val="bottom"/>
          </w:tcPr>
          <w:p>
            <w:pPr>
              <w:spacing w:after="0"/>
              <w:rPr>
                <w:sz w:val="12"/>
                <w:szCs w:val="12"/>
                <w:color w:val="auto"/>
              </w:rPr>
            </w:pPr>
          </w:p>
        </w:tc>
        <w:tc>
          <w:tcPr>
            <w:tcW w:w="76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Packing</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Agribusiness</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Other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125,448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17,514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6,784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161,381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166,027</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25,637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(25,637)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revenues</w:t>
            </w: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125,448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43,151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(25,637)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6,784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161,381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166,027</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116,117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(25,637)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4,211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9,157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139,866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22,682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162,548</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9,812</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9,331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7,133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2,478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12,889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(19,222)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(6,333)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fiscal year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Lemon</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Avocados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Corporate</w:t>
            </w:r>
          </w:p>
        </w:tc>
        <w:tc>
          <w:tcPr>
            <w:tcW w:w="220" w:type="dxa"/>
            <w:vAlign w:val="bottom"/>
          </w:tcPr>
          <w:p>
            <w:pPr>
              <w:spacing w:after="0"/>
              <w:rPr>
                <w:sz w:val="12"/>
                <w:szCs w:val="12"/>
                <w:color w:val="auto"/>
              </w:rPr>
            </w:pPr>
          </w:p>
        </w:tc>
        <w:tc>
          <w:tcPr>
            <w:tcW w:w="76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Packing</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Agribusiness</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Other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8,806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159,937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164,559</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36,820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(36,820)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revenues</w:t>
            </w: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50,233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(36,820)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8,806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159,937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164,559</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125,305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42,563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(36,820)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5,168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148,338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25,132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173,470</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10,097</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Operating (loss) income</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7,670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3,638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2,656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(21,664)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(19,008)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LIMONEIRA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Segment Information (continued)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fiscal year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Lemon</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Avocados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Corporate</w:t>
            </w:r>
          </w:p>
        </w:tc>
        <w:tc>
          <w:tcPr>
            <w:tcW w:w="220" w:type="dxa"/>
            <w:vAlign w:val="bottom"/>
          </w:tcPr>
          <w:p>
            <w:pPr>
              <w:spacing w:after="0"/>
              <w:rPr>
                <w:sz w:val="12"/>
                <w:szCs w:val="12"/>
                <w:color w:val="auto"/>
              </w:rPr>
            </w:pPr>
          </w:p>
        </w:tc>
        <w:tc>
          <w:tcPr>
            <w:tcW w:w="76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Packing</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Agribusiness</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Other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134,342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166,549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171,398</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(30,073)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revenues</w:t>
            </w: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134,342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45,702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(30,073)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166,549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171,398</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120,998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37,639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(30,073)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13,035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144,749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23,530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168,279</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8,633</w:t>
            </w: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13,344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8,063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2,241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14,177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(19,691)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(5,514)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detail of other agribusiness revenues for fiscal years 2021, 2020 and 2019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7"/>
                <w:szCs w:val="17"/>
                <w:b w:val="1"/>
                <w:bCs w:val="1"/>
                <w:color w:val="auto"/>
              </w:rPr>
              <w:t>Year Ended October 31,</w:t>
            </w:r>
          </w:p>
        </w:tc>
        <w:tc>
          <w:tcPr>
            <w:tcW w:w="1000" w:type="dxa"/>
            <w:vAlign w:val="bottom"/>
            <w:tcBorders>
              <w:bottom w:val="single" w:sz="8" w:color="auto"/>
            </w:tcBorders>
          </w:tcPr>
          <w:p>
            <w:pPr>
              <w:spacing w:after="0"/>
              <w:rPr>
                <w:sz w:val="19"/>
                <w:szCs w:val="19"/>
                <w:color w:val="auto"/>
              </w:rPr>
            </w:pPr>
          </w:p>
        </w:tc>
      </w:tr>
      <w:tr>
        <w:trPr>
          <w:trHeight w:val="213"/>
        </w:trPr>
        <w:tc>
          <w:tcPr>
            <w:tcW w:w="7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2"/>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Oranges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6,022</w:t>
            </w:r>
          </w:p>
        </w:tc>
      </w:tr>
      <w:tr>
        <w:trPr>
          <w:trHeight w:val="21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Specialty citrus and other crops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5,165</w:t>
            </w:r>
          </w:p>
        </w:tc>
      </w:tr>
      <w:tr>
        <w:trPr>
          <w:trHeight w:val="23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agribusiness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Subsequent Events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evaluated events subsequent to October 31, 2021 through the date of this filing, to assess the need for potential recognition or disclosure in this Annual Report. Based upon this evaluation, except as disclosed in the notes to consolidated financial statements, it was determined that no other subsequent events occurred that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As of October 31, 2021, we carried out an evaluation, under the supervision and with the participation of our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6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 xml:space="preserve">Remediation of Material Weakness. </w:t>
      </w:r>
      <w:r>
        <w:rPr>
          <w:rFonts w:ascii="Arial" w:cs="Arial" w:eastAsia="Arial" w:hAnsi="Arial"/>
          <w:sz w:val="15"/>
          <w:szCs w:val="15"/>
          <w:color w:val="auto"/>
        </w:rPr>
        <w:t>As previously disclosed in our Annual Report for the fiscal year ended October 31, 2020, although there were no material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errors that resulted from control deficiencies, we identified a material weakness in our internal control over financial reporting related to the inadequate design and operating effectiveness of certain controls in the areas of journal entries and agribusiness revenues and expenses related to an acquired foreign subsidiary in the first year the subsidiary was included in management’s evaluation of the effectiveness of the Company’s internal control over financial reporting.</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remediated this material weakness by implementing new policies and procedures to enhance (a) the design of our process level controls over the recording of journal entries and controls over revenues and expenses at the foreign subsidiary where we identified the control deficiencies and (b) management’s review controls over financial information of the foreign subsidiary. Our implementation of the new policies and procedures included the hiring of new resources, establishment of clear responsibilities to comply with the new policies and procedures, and testing sufficient occurrences of these newly designed and implemented controls to evaluate its operating effectiveness. The remediation measures have strengthened the design and operating effectiveness of our internal control over financial reporting.</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assessed the impact of the remediated material weakness to the consolidated financial statements to ensure that the Company’s consolidated financial statements were prepared in accordance with GAAP and accurately reflect its financial position and results of operation for the year ended October 31, 2021. As a result, management concluded that the consolidated financial statements included in this Annual Report present fairly, in all material respects, the Company’s financial position, results of operations and cash flows for the periods presented in conformity with GAAP.</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Internal Control over Financial Reporting. </w:t>
      </w:r>
      <w:r>
        <w:rPr>
          <w:rFonts w:ascii="Arial" w:cs="Arial" w:eastAsia="Arial" w:hAnsi="Arial"/>
          <w:sz w:val="17"/>
          <w:szCs w:val="17"/>
          <w:color w:val="auto"/>
        </w:rPr>
        <w:t>Refer to “Management’s Report on Internal Control over Financial Reporting” and “Report of Independent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below.</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3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management, including the principal executive officer and principal financial officer, conducted an evaluation of the effectiveness of Limoneira Company’s internal control over financial reporting, based on the framework in Internal Control—Integrated Framework (2013) issued by the Committee of Sponsoring Organizations of the Treadway Commission. Based on this evaluation, management concluded that internal control over financial reporting was effective as of October 31, 2021. Deloitte &amp; Touche LLP, an independent registered public accounting firm, has audited the effectiveness of the Company’s internal control over financial reporting and has issued a report on internal control over financial reporting, which is included herein.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Harold S. Edwards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Mark Palamountain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Treasurer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Limoneira Company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Limoneira Company and subsidiaries (the “Company”) as of October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October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October 31, 2021, of the Company and our report dated January 10, 2022, expressed an unqualified opinion on those financial statements based on our audit and the report of the other auditors.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14605</wp:posOffset>
            </wp:positionV>
            <wp:extent cx="2488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January 10,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4" w:name="page85"/>
    <w:bookmarkEnd w:id="84"/>
    <w:p>
      <w:pPr>
        <w:jc w:val="both"/>
        <w:spacing w:after="0" w:line="266" w:lineRule="auto"/>
        <w:rPr>
          <w:sz w:val="20"/>
          <w:szCs w:val="20"/>
          <w:color w:val="auto"/>
        </w:rPr>
      </w:pPr>
      <w:r>
        <w:rPr>
          <w:rFonts w:ascii="Arial" w:cs="Arial" w:eastAsia="Arial" w:hAnsi="Arial"/>
          <w:sz w:val="17"/>
          <w:szCs w:val="17"/>
          <w:b w:val="1"/>
          <w:bCs w:val="1"/>
          <w:i w:val="1"/>
          <w:iCs w:val="1"/>
          <w:color w:val="auto"/>
        </w:rPr>
        <w:t>Changes in Internal Control over Financial Reporting</w:t>
      </w:r>
      <w:r>
        <w:rPr>
          <w:rFonts w:ascii="Arial" w:cs="Arial" w:eastAsia="Arial" w:hAnsi="Arial"/>
          <w:sz w:val="17"/>
          <w:szCs w:val="17"/>
          <w:color w:val="auto"/>
        </w:rPr>
        <w:t>. There have been no significant changes in our internal control over financial reporting during the 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October 31, 2021 or, to our knowledge, in other factors that have materially affected, or are reasonably likely to materially affect, our internal control over financial reporting.</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Limitations on the Effectiveness of Controls</w:t>
      </w:r>
      <w:r>
        <w:rPr>
          <w:rFonts w:ascii="Arial" w:cs="Arial" w:eastAsia="Arial" w:hAnsi="Arial"/>
          <w:sz w:val="16"/>
          <w:szCs w:val="16"/>
          <w:color w:val="auto"/>
        </w:rPr>
        <w:t>. 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applicable.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Part IV</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53"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b w:val="1"/>
          <w:bCs w:val="1"/>
          <w:color w:val="auto"/>
        </w:rPr>
        <w:t>Financial Statements</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Management’s Report on Internal Control over Financial Reporting</w:t>
      </w:r>
    </w:p>
    <w:p>
      <w:pPr>
        <w:spacing w:after="0" w:line="24" w:lineRule="exact"/>
        <w:rPr>
          <w:sz w:val="20"/>
          <w:szCs w:val="20"/>
          <w:color w:val="auto"/>
        </w:rPr>
      </w:pPr>
    </w:p>
    <w:p>
      <w:pPr>
        <w:ind w:left="720" w:right="3320"/>
        <w:spacing w:after="0" w:line="269" w:lineRule="auto"/>
        <w:rPr>
          <w:sz w:val="20"/>
          <w:szCs w:val="20"/>
          <w:color w:val="auto"/>
        </w:rPr>
      </w:pPr>
      <w:r>
        <w:rPr>
          <w:rFonts w:ascii="Arial" w:cs="Arial" w:eastAsia="Arial" w:hAnsi="Arial"/>
          <w:sz w:val="17"/>
          <w:szCs w:val="17"/>
          <w:color w:val="auto"/>
        </w:rPr>
        <w:t>Report of Independent Registered Public Accounting Firm on Internal Control over Financial Reporting Report of Independent Registered Public Accounting Firm Consolidated Financial Statements of Limoneira Company</w:t>
      </w:r>
    </w:p>
    <w:p>
      <w:pPr>
        <w:ind w:left="720"/>
        <w:spacing w:after="0"/>
        <w:rPr>
          <w:sz w:val="20"/>
          <w:szCs w:val="20"/>
          <w:color w:val="auto"/>
        </w:rPr>
      </w:pPr>
      <w:r>
        <w:rPr>
          <w:rFonts w:ascii="Arial" w:cs="Arial" w:eastAsia="Arial" w:hAnsi="Arial"/>
          <w:sz w:val="17"/>
          <w:szCs w:val="17"/>
          <w:color w:val="auto"/>
        </w:rPr>
        <w:t>Consolidated Balance Sheets at October 31, 2021 and 2020</w:t>
      </w:r>
    </w:p>
    <w:p>
      <w:pPr>
        <w:spacing w:after="0" w:line="24" w:lineRule="exact"/>
        <w:rPr>
          <w:sz w:val="20"/>
          <w:szCs w:val="20"/>
          <w:color w:val="auto"/>
        </w:rPr>
      </w:pPr>
    </w:p>
    <w:p>
      <w:pPr>
        <w:ind w:left="720" w:right="3380"/>
        <w:spacing w:after="0" w:line="304" w:lineRule="auto"/>
        <w:rPr>
          <w:sz w:val="20"/>
          <w:szCs w:val="20"/>
          <w:color w:val="auto"/>
        </w:rPr>
      </w:pPr>
      <w:r>
        <w:rPr>
          <w:rFonts w:ascii="Arial" w:cs="Arial" w:eastAsia="Arial" w:hAnsi="Arial"/>
          <w:sz w:val="15"/>
          <w:szCs w:val="15"/>
          <w:color w:val="auto"/>
        </w:rPr>
        <w:t>Consolidated Statements of Operations for the years ended October 31, 2021, 2020 and 2019 Consolidated Statements of Comprehensive Loss for the years ended October 31, 2021, 2020 and 2019</w:t>
      </w:r>
    </w:p>
    <w:p>
      <w:pPr>
        <w:spacing w:after="0" w:line="1" w:lineRule="exact"/>
        <w:rPr>
          <w:sz w:val="20"/>
          <w:szCs w:val="20"/>
          <w:color w:val="auto"/>
        </w:rPr>
      </w:pPr>
    </w:p>
    <w:p>
      <w:pPr>
        <w:ind w:left="720" w:right="1800"/>
        <w:spacing w:after="0" w:line="282" w:lineRule="auto"/>
        <w:rPr>
          <w:sz w:val="20"/>
          <w:szCs w:val="20"/>
          <w:color w:val="auto"/>
        </w:rPr>
      </w:pPr>
      <w:r>
        <w:rPr>
          <w:rFonts w:ascii="Arial" w:cs="Arial" w:eastAsia="Arial" w:hAnsi="Arial"/>
          <w:sz w:val="17"/>
          <w:szCs w:val="17"/>
          <w:color w:val="auto"/>
        </w:rPr>
        <w:t>Consolidated Statements of Stockholders’ Equity and Temporary Equity for the years ended October 31, 2021, 2020 and 2019 Consolidated Statements of Cash Flows for the years ended October 31, 2021, 2020 and 2019 Notes to Consolidated Financial Statements</w:t>
      </w:r>
    </w:p>
    <w:p>
      <w:pPr>
        <w:spacing w:after="0" w:line="18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b w:val="1"/>
          <w:bCs w:val="1"/>
          <w:color w:val="auto"/>
        </w:rPr>
        <w:t>Financial Statement Schedules</w:t>
      </w:r>
    </w:p>
    <w:p>
      <w:pPr>
        <w:spacing w:after="0" w:line="30" w:lineRule="exact"/>
        <w:rPr>
          <w:sz w:val="20"/>
          <w:szCs w:val="20"/>
          <w:color w:val="auto"/>
        </w:rPr>
      </w:pPr>
    </w:p>
    <w:p>
      <w:pPr>
        <w:ind w:left="720"/>
        <w:spacing w:after="0" w:line="236" w:lineRule="auto"/>
        <w:rPr>
          <w:sz w:val="20"/>
          <w:szCs w:val="20"/>
          <w:color w:val="auto"/>
        </w:rPr>
      </w:pPr>
      <w:r>
        <w:rPr>
          <w:rFonts w:ascii="Arial" w:cs="Arial" w:eastAsia="Arial" w:hAnsi="Arial"/>
          <w:sz w:val="17"/>
          <w:szCs w:val="17"/>
          <w:color w:val="auto"/>
        </w:rPr>
        <w:t>Per Item 15(a)(2), list the following documents filed as part of the report: those financial statements required to be filed by Item 8 of this Form 10-K, and by paragraph (b) below.</w:t>
      </w:r>
    </w:p>
    <w:p>
      <w:pPr>
        <w:spacing w:after="0" w:line="254" w:lineRule="exact"/>
        <w:rPr>
          <w:sz w:val="20"/>
          <w:szCs w:val="20"/>
          <w:color w:val="auto"/>
        </w:rPr>
      </w:pPr>
    </w:p>
    <w:p>
      <w:pPr>
        <w:ind w:left="720" w:hanging="700"/>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Exhibits</w:t>
      </w:r>
    </w:p>
    <w:p>
      <w:pPr>
        <w:spacing w:after="0" w:line="248"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See “Exhibit Index” set forth on page 88.</w:t>
      </w:r>
    </w:p>
    <w:p>
      <w:pPr>
        <w:spacing w:after="0" w:line="275" w:lineRule="exact"/>
        <w:rPr>
          <w:rFonts w:ascii="Arial" w:cs="Arial" w:eastAsia="Arial" w:hAnsi="Arial"/>
          <w:sz w:val="17"/>
          <w:szCs w:val="17"/>
          <w:color w:val="auto"/>
        </w:rPr>
      </w:pPr>
    </w:p>
    <w:p>
      <w:pPr>
        <w:ind w:left="720" w:hanging="700"/>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Financial Statement Schedules</w:t>
      </w:r>
    </w:p>
    <w:p>
      <w:pPr>
        <w:spacing w:after="0" w:line="29"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5"/>
          <w:szCs w:val="15"/>
          <w:color w:val="auto"/>
        </w:rPr>
        <w:t>Per Item 15(c), registrants shall file, as financial statement schedules to this Form 10-K, the financial statements required by Regulation S-X (17 CFR</w:t>
      </w:r>
    </w:p>
    <w:p>
      <w:pPr>
        <w:spacing w:after="0" w:line="9" w:lineRule="exact"/>
        <w:rPr>
          <w:rFonts w:ascii="Arial" w:cs="Arial" w:eastAsia="Arial" w:hAnsi="Arial"/>
          <w:sz w:val="17"/>
          <w:szCs w:val="17"/>
          <w:color w:val="auto"/>
        </w:rPr>
      </w:pPr>
    </w:p>
    <w:p>
      <w:pPr>
        <w:jc w:val="both"/>
        <w:ind w:left="720" w:firstLine="9"/>
        <w:spacing w:after="0" w:line="220" w:lineRule="auto"/>
        <w:tabs>
          <w:tab w:leader="none" w:pos="1107" w:val="left"/>
        </w:tabs>
        <w:numPr>
          <w:ilvl w:val="1"/>
          <w:numId w:val="51"/>
        </w:numPr>
        <w:rPr>
          <w:rFonts w:ascii="Arial" w:cs="Arial" w:eastAsia="Arial" w:hAnsi="Arial"/>
          <w:sz w:val="17"/>
          <w:szCs w:val="17"/>
          <w:color w:val="auto"/>
        </w:rPr>
      </w:pPr>
      <w:r>
        <w:rPr>
          <w:rFonts w:ascii="Arial" w:cs="Arial" w:eastAsia="Arial" w:hAnsi="Arial"/>
          <w:sz w:val="17"/>
          <w:szCs w:val="17"/>
          <w:color w:val="auto"/>
        </w:rPr>
        <w:t>which are excluded from the annual report to shareholders by Rule 14a-3(b) including: (1) separate financial statements of subsidiaries not consolidated and fifty percent or less owned persons; (2) separate financial statements of affiliates whose securities are pledged as collateral; and (3) schedules.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59" w:right="37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on January 10, 2022.</w:t>
      </w:r>
    </w:p>
    <w:p>
      <w:pPr>
        <w:spacing w:after="0" w:line="100"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LIMONEIRA COMPANY</w:t>
      </w:r>
    </w:p>
    <w:p>
      <w:pPr>
        <w:spacing w:after="0" w:line="243"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7"/>
          <w:szCs w:val="17"/>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2428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Harold S. Edwards</w:t>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Director, President and</w:t>
      </w:r>
    </w:p>
    <w:p>
      <w:pPr>
        <w:ind w:left="5920"/>
        <w:spacing w:after="0"/>
        <w:rPr>
          <w:sz w:val="20"/>
          <w:szCs w:val="20"/>
          <w:color w:val="auto"/>
        </w:rPr>
      </w:pPr>
      <w:r>
        <w:rPr>
          <w:rFonts w:ascii="Arial" w:cs="Arial" w:eastAsia="Arial" w:hAnsi="Arial"/>
          <w:sz w:val="17"/>
          <w:szCs w:val="17"/>
          <w:color w:val="auto"/>
        </w:rPr>
        <w:t>Chief Executive Officer</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on January 10, 2022, by the following persons on behalf of the registrant and in the capacities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jc w:val="center"/>
              <w:spacing w:after="0"/>
              <w:rPr>
                <w:sz w:val="20"/>
                <w:szCs w:val="20"/>
                <w:color w:val="auto"/>
              </w:rPr>
            </w:pPr>
            <w:r>
              <w:rPr>
                <w:rFonts w:ascii="Arial" w:cs="Arial" w:eastAsia="Arial" w:hAnsi="Arial"/>
                <w:sz w:val="17"/>
                <w:szCs w:val="17"/>
                <w:b w:val="1"/>
                <w:bCs w:val="1"/>
                <w:color w:val="auto"/>
                <w:w w:val="91"/>
              </w:rPr>
              <w:t>Signature</w:t>
            </w:r>
          </w:p>
        </w:tc>
        <w:tc>
          <w:tcPr>
            <w:tcW w:w="5840" w:type="dxa"/>
            <w:vAlign w:val="bottom"/>
          </w:tcPr>
          <w:p>
            <w:pPr>
              <w:jc w:val="center"/>
              <w:ind w:left="294"/>
              <w:spacing w:after="0"/>
              <w:rPr>
                <w:sz w:val="20"/>
                <w:szCs w:val="20"/>
                <w:color w:val="auto"/>
              </w:rPr>
            </w:pPr>
            <w:r>
              <w:rPr>
                <w:rFonts w:ascii="Arial" w:cs="Arial" w:eastAsia="Arial" w:hAnsi="Arial"/>
                <w:sz w:val="17"/>
                <w:szCs w:val="17"/>
                <w:b w:val="1"/>
                <w:bCs w:val="1"/>
                <w:color w:val="auto"/>
                <w:w w:val="97"/>
              </w:rPr>
              <w:t>Title</w:t>
            </w:r>
          </w:p>
        </w:tc>
      </w:tr>
      <w:tr>
        <w:trPr>
          <w:trHeight w:val="43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Gordon E. Kimball</w:t>
            </w:r>
          </w:p>
        </w:tc>
        <w:tc>
          <w:tcPr>
            <w:tcW w:w="5840" w:type="dxa"/>
            <w:vAlign w:val="bottom"/>
          </w:tcPr>
          <w:p>
            <w:pPr>
              <w:jc w:val="center"/>
              <w:ind w:left="274"/>
              <w:spacing w:after="0"/>
              <w:rPr>
                <w:sz w:val="20"/>
                <w:szCs w:val="20"/>
                <w:color w:val="auto"/>
              </w:rPr>
            </w:pPr>
            <w:r>
              <w:rPr>
                <w:rFonts w:ascii="Arial" w:cs="Arial" w:eastAsia="Arial" w:hAnsi="Arial"/>
                <w:sz w:val="17"/>
                <w:szCs w:val="17"/>
                <w:color w:val="auto"/>
                <w:w w:val="92"/>
              </w:rPr>
              <w:t>Chairman of the Board of Directors</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5"/>
              </w:rPr>
              <w:t>Gordon E. Kimball</w:t>
            </w:r>
          </w:p>
        </w:tc>
        <w:tc>
          <w:tcPr>
            <w:tcW w:w="5840" w:type="dxa"/>
            <w:vAlign w:val="bottom"/>
          </w:tcPr>
          <w:p>
            <w:pPr>
              <w:spacing w:after="0"/>
              <w:rPr>
                <w:sz w:val="18"/>
                <w:szCs w:val="18"/>
                <w:color w:val="auto"/>
              </w:rPr>
            </w:pPr>
          </w:p>
        </w:tc>
      </w:tr>
      <w:tr>
        <w:trPr>
          <w:trHeight w:val="438"/>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Harold S. Edwards</w:t>
            </w:r>
          </w:p>
        </w:tc>
        <w:tc>
          <w:tcPr>
            <w:tcW w:w="5840" w:type="dxa"/>
            <w:vAlign w:val="bottom"/>
          </w:tcPr>
          <w:p>
            <w:pPr>
              <w:jc w:val="center"/>
              <w:ind w:left="274"/>
              <w:spacing w:after="0"/>
              <w:rPr>
                <w:sz w:val="20"/>
                <w:szCs w:val="20"/>
                <w:color w:val="auto"/>
              </w:rPr>
            </w:pPr>
            <w:r>
              <w:rPr>
                <w:rFonts w:ascii="Arial" w:cs="Arial" w:eastAsia="Arial" w:hAnsi="Arial"/>
                <w:sz w:val="17"/>
                <w:szCs w:val="17"/>
                <w:color w:val="auto"/>
                <w:w w:val="93"/>
              </w:rPr>
              <w:t>Director, President and Chief Executive Officer</w:t>
            </w:r>
          </w:p>
        </w:tc>
      </w:tr>
      <w:tr>
        <w:trPr>
          <w:trHeight w:val="212"/>
        </w:trPr>
        <w:tc>
          <w:tcPr>
            <w:tcW w:w="5400" w:type="dxa"/>
            <w:vAlign w:val="bottom"/>
          </w:tcPr>
          <w:p>
            <w:pPr>
              <w:jc w:val="center"/>
              <w:spacing w:after="0"/>
              <w:rPr>
                <w:sz w:val="20"/>
                <w:szCs w:val="20"/>
                <w:color w:val="auto"/>
              </w:rPr>
            </w:pPr>
            <w:r>
              <w:rPr>
                <w:rFonts w:ascii="Arial" w:cs="Arial" w:eastAsia="Arial" w:hAnsi="Arial"/>
                <w:sz w:val="17"/>
                <w:szCs w:val="17"/>
                <w:color w:val="auto"/>
                <w:w w:val="91"/>
              </w:rPr>
              <w:t>Harold S. Edwards</w:t>
            </w:r>
          </w:p>
        </w:tc>
        <w:tc>
          <w:tcPr>
            <w:tcW w:w="5840" w:type="dxa"/>
            <w:vAlign w:val="bottom"/>
          </w:tcPr>
          <w:p>
            <w:pPr>
              <w:jc w:val="center"/>
              <w:ind w:left="274"/>
              <w:spacing w:after="0"/>
              <w:rPr>
                <w:sz w:val="20"/>
                <w:szCs w:val="20"/>
                <w:color w:val="auto"/>
              </w:rPr>
            </w:pPr>
            <w:r>
              <w:rPr>
                <w:rFonts w:ascii="Arial" w:cs="Arial" w:eastAsia="Arial" w:hAnsi="Arial"/>
                <w:sz w:val="17"/>
                <w:szCs w:val="17"/>
                <w:color w:val="auto"/>
                <w:w w:val="95"/>
              </w:rPr>
              <w:t>(Principal Executive Officer)</w:t>
            </w:r>
          </w:p>
        </w:tc>
      </w:tr>
      <w:tr>
        <w:trPr>
          <w:trHeight w:val="438"/>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Mark Palamountain</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3"/>
              </w:rPr>
              <w:t>Chief Financial Officer, Treasurer</w:t>
            </w:r>
          </w:p>
        </w:tc>
      </w:tr>
      <w:tr>
        <w:trPr>
          <w:trHeight w:val="162"/>
        </w:trPr>
        <w:tc>
          <w:tcPr>
            <w:tcW w:w="5400" w:type="dxa"/>
            <w:vAlign w:val="bottom"/>
          </w:tcPr>
          <w:p>
            <w:pPr>
              <w:jc w:val="center"/>
              <w:spacing w:after="0" w:line="162" w:lineRule="exact"/>
              <w:rPr>
                <w:sz w:val="20"/>
                <w:szCs w:val="20"/>
                <w:color w:val="auto"/>
              </w:rPr>
            </w:pPr>
            <w:r>
              <w:rPr>
                <w:rFonts w:ascii="Arial" w:cs="Arial" w:eastAsia="Arial" w:hAnsi="Arial"/>
                <w:sz w:val="17"/>
                <w:szCs w:val="17"/>
                <w:color w:val="auto"/>
                <w:w w:val="92"/>
              </w:rPr>
              <w:t>Mark Palamountain</w:t>
            </w:r>
          </w:p>
        </w:tc>
        <w:tc>
          <w:tcPr>
            <w:tcW w:w="5840" w:type="dxa"/>
            <w:vAlign w:val="bottom"/>
          </w:tcPr>
          <w:p>
            <w:pPr>
              <w:jc w:val="center"/>
              <w:ind w:left="294"/>
              <w:spacing w:after="0" w:line="162" w:lineRule="exact"/>
              <w:rPr>
                <w:sz w:val="20"/>
                <w:szCs w:val="20"/>
                <w:color w:val="auto"/>
              </w:rPr>
            </w:pPr>
            <w:r>
              <w:rPr>
                <w:rFonts w:ascii="Arial" w:cs="Arial" w:eastAsia="Arial" w:hAnsi="Arial"/>
                <w:sz w:val="17"/>
                <w:szCs w:val="17"/>
                <w:color w:val="auto"/>
                <w:w w:val="89"/>
              </w:rPr>
              <w:t>and Corporate Secretary</w:t>
            </w:r>
          </w:p>
        </w:tc>
      </w:tr>
      <w:tr>
        <w:trPr>
          <w:trHeight w:val="217"/>
        </w:trPr>
        <w:tc>
          <w:tcPr>
            <w:tcW w:w="5400" w:type="dxa"/>
            <w:vAlign w:val="bottom"/>
          </w:tcPr>
          <w:p>
            <w:pPr>
              <w:spacing w:after="0"/>
              <w:rPr>
                <w:sz w:val="18"/>
                <w:szCs w:val="18"/>
                <w:color w:val="auto"/>
              </w:rPr>
            </w:pPr>
          </w:p>
        </w:tc>
        <w:tc>
          <w:tcPr>
            <w:tcW w:w="5840" w:type="dxa"/>
            <w:vAlign w:val="bottom"/>
          </w:tcPr>
          <w:p>
            <w:pPr>
              <w:jc w:val="center"/>
              <w:ind w:left="274"/>
              <w:spacing w:after="0"/>
              <w:rPr>
                <w:sz w:val="20"/>
                <w:szCs w:val="20"/>
                <w:color w:val="auto"/>
              </w:rPr>
            </w:pPr>
            <w:r>
              <w:rPr>
                <w:rFonts w:ascii="Arial" w:cs="Arial" w:eastAsia="Arial" w:hAnsi="Arial"/>
                <w:sz w:val="17"/>
                <w:szCs w:val="17"/>
                <w:color w:val="auto"/>
                <w:w w:val="94"/>
              </w:rPr>
              <w:t>(Principal Financial and Accounting Officer)</w:t>
            </w:r>
          </w:p>
        </w:tc>
      </w:tr>
      <w:tr>
        <w:trPr>
          <w:trHeight w:val="427"/>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Amy Fukutomi</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5"/>
              </w:rPr>
              <w:t>Amy Fukutomi</w:t>
            </w:r>
          </w:p>
        </w:tc>
        <w:tc>
          <w:tcPr>
            <w:tcW w:w="5840" w:type="dxa"/>
            <w:vAlign w:val="bottom"/>
          </w:tcPr>
          <w:p>
            <w:pPr>
              <w:spacing w:after="0"/>
              <w:rPr>
                <w:sz w:val="18"/>
                <w:szCs w:val="18"/>
                <w:color w:val="auto"/>
              </w:rPr>
            </w:pPr>
          </w:p>
        </w:tc>
      </w:tr>
      <w:tr>
        <w:trPr>
          <w:trHeight w:val="43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Donald R. Rudkin</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4"/>
              </w:rPr>
              <w:t>Donald R. Rudkin</w:t>
            </w:r>
          </w:p>
        </w:tc>
        <w:tc>
          <w:tcPr>
            <w:tcW w:w="5840" w:type="dxa"/>
            <w:vAlign w:val="bottom"/>
          </w:tcPr>
          <w:p>
            <w:pPr>
              <w:spacing w:after="0"/>
              <w:rPr>
                <w:sz w:val="18"/>
                <w:szCs w:val="18"/>
                <w:color w:val="auto"/>
              </w:rPr>
            </w:pPr>
          </w:p>
        </w:tc>
      </w:tr>
      <w:tr>
        <w:trPr>
          <w:trHeight w:val="43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Edgar Terry</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1"/>
              </w:rPr>
              <w:t>Edgar Terry</w:t>
            </w:r>
          </w:p>
        </w:tc>
        <w:tc>
          <w:tcPr>
            <w:tcW w:w="5840" w:type="dxa"/>
            <w:vAlign w:val="bottom"/>
          </w:tcPr>
          <w:p>
            <w:pPr>
              <w:spacing w:after="0"/>
              <w:rPr>
                <w:sz w:val="18"/>
                <w:szCs w:val="18"/>
                <w:color w:val="auto"/>
              </w:rPr>
            </w:pPr>
          </w:p>
        </w:tc>
      </w:tr>
      <w:tr>
        <w:trPr>
          <w:trHeight w:val="43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Elizabeth Blanchard Chess</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0"/>
              </w:rPr>
              <w:t>Elizabeth Blanchard Chess</w:t>
            </w:r>
          </w:p>
        </w:tc>
        <w:tc>
          <w:tcPr>
            <w:tcW w:w="5840" w:type="dxa"/>
            <w:vAlign w:val="bottom"/>
          </w:tcPr>
          <w:p>
            <w:pPr>
              <w:spacing w:after="0"/>
              <w:rPr>
                <w:sz w:val="18"/>
                <w:szCs w:val="18"/>
                <w:color w:val="auto"/>
              </w:rPr>
            </w:pPr>
          </w:p>
        </w:tc>
      </w:tr>
      <w:tr>
        <w:trPr>
          <w:trHeight w:val="43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Elizabeth Mora</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3"/>
              </w:rPr>
              <w:t>Elizabeth Mora</w:t>
            </w:r>
          </w:p>
        </w:tc>
        <w:tc>
          <w:tcPr>
            <w:tcW w:w="5840" w:type="dxa"/>
            <w:vAlign w:val="bottom"/>
          </w:tcPr>
          <w:p>
            <w:pPr>
              <w:spacing w:after="0"/>
              <w:rPr>
                <w:sz w:val="18"/>
                <w:szCs w:val="18"/>
                <w:color w:val="auto"/>
              </w:rPr>
            </w:pPr>
          </w:p>
        </w:tc>
      </w:tr>
      <w:tr>
        <w:trPr>
          <w:trHeight w:val="43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Jesus Loza</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88"/>
              </w:rPr>
              <w:t>Jesus Loza</w:t>
            </w:r>
          </w:p>
        </w:tc>
        <w:tc>
          <w:tcPr>
            <w:tcW w:w="5840" w:type="dxa"/>
            <w:vAlign w:val="bottom"/>
          </w:tcPr>
          <w:p>
            <w:pPr>
              <w:spacing w:after="0"/>
              <w:rPr>
                <w:sz w:val="18"/>
                <w:szCs w:val="18"/>
                <w:color w:val="auto"/>
              </w:rPr>
            </w:pPr>
          </w:p>
        </w:tc>
      </w:tr>
      <w:tr>
        <w:trPr>
          <w:trHeight w:val="42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John W.H. Merriman</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2"/>
              </w:rPr>
              <w:t>John W.H. Merriman</w:t>
            </w:r>
          </w:p>
        </w:tc>
        <w:tc>
          <w:tcPr>
            <w:tcW w:w="5840" w:type="dxa"/>
            <w:vAlign w:val="bottom"/>
          </w:tcPr>
          <w:p>
            <w:pPr>
              <w:spacing w:after="0"/>
              <w:rPr>
                <w:sz w:val="18"/>
                <w:szCs w:val="18"/>
                <w:color w:val="auto"/>
              </w:rPr>
            </w:pPr>
          </w:p>
        </w:tc>
      </w:tr>
      <w:tr>
        <w:trPr>
          <w:trHeight w:val="42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Robert M. Sawyer</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2"/>
              </w:rPr>
              <w:t>Robert M. Sawyer</w:t>
            </w:r>
          </w:p>
        </w:tc>
        <w:tc>
          <w:tcPr>
            <w:tcW w:w="5840" w:type="dxa"/>
            <w:vAlign w:val="bottom"/>
          </w:tcPr>
          <w:p>
            <w:pPr>
              <w:spacing w:after="0"/>
              <w:rPr>
                <w:sz w:val="18"/>
                <w:szCs w:val="18"/>
                <w:color w:val="auto"/>
              </w:rPr>
            </w:pPr>
          </w:p>
        </w:tc>
      </w:tr>
      <w:tr>
        <w:trPr>
          <w:trHeight w:val="42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Scott S. Slater</w:t>
            </w:r>
          </w:p>
        </w:tc>
        <w:tc>
          <w:tcPr>
            <w:tcW w:w="5840" w:type="dxa"/>
            <w:vAlign w:val="bottom"/>
          </w:tcPr>
          <w:p>
            <w:pPr>
              <w:jc w:val="center"/>
              <w:ind w:left="294"/>
              <w:spacing w:after="0"/>
              <w:rPr>
                <w:sz w:val="20"/>
                <w:szCs w:val="20"/>
                <w:color w:val="auto"/>
              </w:rPr>
            </w:pPr>
            <w:r>
              <w:rPr>
                <w:rFonts w:ascii="Arial" w:cs="Arial" w:eastAsia="Arial" w:hAnsi="Arial"/>
                <w:sz w:val="17"/>
                <w:szCs w:val="17"/>
                <w:color w:val="auto"/>
                <w:w w:val="97"/>
              </w:rPr>
              <w:t>Director</w:t>
            </w:r>
          </w:p>
        </w:tc>
      </w:tr>
      <w:tr>
        <w:trPr>
          <w:trHeight w:val="211"/>
        </w:trPr>
        <w:tc>
          <w:tcPr>
            <w:tcW w:w="5400" w:type="dxa"/>
            <w:vAlign w:val="bottom"/>
          </w:tcPr>
          <w:p>
            <w:pPr>
              <w:jc w:val="center"/>
              <w:spacing w:after="0"/>
              <w:rPr>
                <w:sz w:val="20"/>
                <w:szCs w:val="20"/>
                <w:color w:val="auto"/>
              </w:rPr>
            </w:pPr>
            <w:r>
              <w:rPr>
                <w:rFonts w:ascii="Arial" w:cs="Arial" w:eastAsia="Arial" w:hAnsi="Arial"/>
                <w:sz w:val="17"/>
                <w:szCs w:val="17"/>
                <w:color w:val="auto"/>
                <w:w w:val="90"/>
              </w:rPr>
              <w:t>Scott S. Slater</w:t>
            </w:r>
          </w:p>
        </w:tc>
        <w:tc>
          <w:tcPr>
            <w:tcW w:w="5840" w:type="dxa"/>
            <w:vAlign w:val="bottom"/>
          </w:tcPr>
          <w:p>
            <w:pPr>
              <w:spacing w:after="0"/>
              <w:rPr>
                <w:sz w:val="18"/>
                <w:szCs w:val="18"/>
                <w:color w:val="auto"/>
              </w:rPr>
            </w:pPr>
          </w:p>
        </w:tc>
      </w:tr>
      <w:tr>
        <w:trPr>
          <w:trHeight w:val="825"/>
        </w:trPr>
        <w:tc>
          <w:tcPr>
            <w:tcW w:w="5400" w:type="dxa"/>
            <w:vAlign w:val="bottom"/>
          </w:tcPr>
          <w:p>
            <w:pPr>
              <w:spacing w:after="0"/>
              <w:rPr>
                <w:sz w:val="24"/>
                <w:szCs w:val="24"/>
                <w:color w:val="auto"/>
              </w:rPr>
            </w:pPr>
          </w:p>
        </w:tc>
        <w:tc>
          <w:tcPr>
            <w:tcW w:w="5840" w:type="dxa"/>
            <w:vAlign w:val="bottom"/>
          </w:tcPr>
          <w:p>
            <w:pPr>
              <w:jc w:val="right"/>
              <w:ind w:right="5454"/>
              <w:spacing w:after="0"/>
              <w:rPr>
                <w:sz w:val="20"/>
                <w:szCs w:val="20"/>
                <w:color w:val="auto"/>
              </w:rPr>
            </w:pPr>
            <w:r>
              <w:rPr>
                <w:rFonts w:ascii="Arial" w:cs="Arial" w:eastAsia="Arial" w:hAnsi="Arial"/>
                <w:sz w:val="17"/>
                <w:szCs w:val="17"/>
                <w:color w:val="auto"/>
              </w:rPr>
              <w:t>87</w:t>
            </w:r>
          </w:p>
        </w:tc>
      </w:tr>
      <w:tr>
        <w:trPr>
          <w:trHeight w:val="110"/>
        </w:trPr>
        <w:tc>
          <w:tcPr>
            <w:tcW w:w="5400" w:type="dxa"/>
            <w:vAlign w:val="bottom"/>
            <w:tcBorders>
              <w:bottom w:val="single" w:sz="8" w:color="9A9A9A"/>
            </w:tcBorders>
          </w:tcPr>
          <w:p>
            <w:pPr>
              <w:spacing w:after="0"/>
              <w:rPr>
                <w:sz w:val="9"/>
                <w:szCs w:val="9"/>
                <w:color w:val="auto"/>
              </w:rPr>
            </w:pPr>
          </w:p>
        </w:tc>
        <w:tc>
          <w:tcPr>
            <w:tcW w:w="5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1340" w:type="dxa"/>
            <w:vAlign w:val="bottom"/>
            <w:gridSpan w:val="2"/>
          </w:tcPr>
          <w:p>
            <w:pPr>
              <w:spacing w:after="0"/>
              <w:rPr>
                <w:sz w:val="20"/>
                <w:szCs w:val="20"/>
                <w:color w:val="auto"/>
              </w:rPr>
            </w:pPr>
            <w:r>
              <w:rPr>
                <w:rFonts w:ascii="Arial" w:cs="Arial" w:eastAsia="Arial" w:hAnsi="Arial"/>
                <w:sz w:val="17"/>
                <w:szCs w:val="17"/>
                <w:b w:val="1"/>
                <w:bCs w:val="1"/>
                <w:color w:val="auto"/>
              </w:rPr>
              <w:t>EXHIBIT INDEX</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760" w:type="dxa"/>
            <w:vAlign w:val="bottom"/>
            <w:gridSpan w:val="24"/>
            <w:vMerge w:val="restart"/>
          </w:tcPr>
          <w:p>
            <w:pPr>
              <w:ind w:left="10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9"/>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No.</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60" w:type="dxa"/>
            <w:vAlign w:val="bottom"/>
            <w:gridSpan w:val="2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60" w:type="dxa"/>
            <w:vAlign w:val="bottom"/>
            <w:tcBorders>
              <w:top w:val="single" w:sz="8" w:color="auto"/>
            </w:tcBorders>
            <w:gridSpan w:val="30"/>
          </w:tcPr>
          <w:p>
            <w:pPr>
              <w:spacing w:after="0"/>
              <w:rPr>
                <w:rFonts w:ascii="Arial" w:cs="Arial" w:eastAsia="Arial" w:hAnsi="Arial"/>
                <w:sz w:val="17"/>
                <w:szCs w:val="17"/>
                <w:color w:val="0000FF"/>
              </w:rPr>
            </w:pPr>
            <w:hyperlink r:id="rId107">
              <w:r>
                <w:rPr>
                  <w:rFonts w:ascii="Arial" w:cs="Arial" w:eastAsia="Arial" w:hAnsi="Arial"/>
                  <w:sz w:val="17"/>
                  <w:szCs w:val="17"/>
                  <w:color w:val="0000FF"/>
                </w:rPr>
                <w:t>Certificate of Merger of Limoneira Company and The Samuel Edwards Associates into Limoneira Company, dated October 31, 1990</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9"/>
          </w:tcPr>
          <w:p>
            <w:pPr>
              <w:spacing w:after="0" w:line="148" w:lineRule="exact"/>
              <w:rPr>
                <w:rFonts w:ascii="Arial" w:cs="Arial" w:eastAsia="Arial" w:hAnsi="Arial"/>
                <w:sz w:val="17"/>
                <w:szCs w:val="17"/>
                <w:color w:val="0000FF"/>
                <w:w w:val="94"/>
              </w:rPr>
            </w:pPr>
            <w:hyperlink r:id="rId107">
              <w:r>
                <w:rPr>
                  <w:rFonts w:ascii="Arial" w:cs="Arial" w:eastAsia="Arial" w:hAnsi="Arial"/>
                  <w:sz w:val="17"/>
                  <w:szCs w:val="17"/>
                  <w:color w:val="0000FF"/>
                  <w:w w:val="94"/>
                </w:rPr>
                <w:t>(Incorporated by reference to exhibit 3.2 to the Company’s Registration Statement on Form 10, and amendments thereto, declared effective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4"/>
              </w:rPr>
            </w:pPr>
            <w:hyperlink r:id="rId107">
              <w:r>
                <w:rPr>
                  <w:rFonts w:ascii="Arial" w:cs="Arial" w:eastAsia="Arial" w:hAnsi="Arial"/>
                  <w:sz w:val="17"/>
                  <w:szCs w:val="17"/>
                  <w:color w:val="0000FF"/>
                  <w:w w:val="94"/>
                </w:rPr>
                <w:t>April 13, 2010 (File No. 000-53885))</w:t>
              </w:r>
            </w:hyperlink>
          </w:p>
        </w:tc>
        <w:tc>
          <w:tcPr>
            <w:tcW w:w="72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7"/>
              </w:rPr>
            </w:pPr>
            <w:hyperlink r:id="rId108">
              <w:r>
                <w:rPr>
                  <w:rFonts w:ascii="Arial" w:cs="Arial" w:eastAsia="Arial" w:hAnsi="Arial"/>
                  <w:sz w:val="17"/>
                  <w:szCs w:val="17"/>
                  <w:color w:val="0000FF"/>
                  <w:w w:val="97"/>
                </w:rPr>
                <w:t>Certificate of Merger of McKevett Corporation into Limoneira Company dated December 31, 1994 (Incorporated by reference to exhibit 3.3</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6"/>
          </w:tcPr>
          <w:p>
            <w:pPr>
              <w:spacing w:after="0" w:line="148" w:lineRule="exact"/>
              <w:rPr>
                <w:rFonts w:ascii="Arial" w:cs="Arial" w:eastAsia="Arial" w:hAnsi="Arial"/>
                <w:sz w:val="17"/>
                <w:szCs w:val="17"/>
                <w:color w:val="0000FF"/>
                <w:w w:val="96"/>
              </w:rPr>
            </w:pPr>
            <w:hyperlink r:id="rId108">
              <w:r>
                <w:rPr>
                  <w:rFonts w:ascii="Arial" w:cs="Arial" w:eastAsia="Arial" w:hAnsi="Arial"/>
                  <w:sz w:val="17"/>
                  <w:szCs w:val="17"/>
                  <w:color w:val="0000FF"/>
                  <w:w w:val="96"/>
                </w:rPr>
                <w:t>to the Company’s Registration Statement on Form 10, and amendments thereto, declared effective April 13, 2010 (File No. 000-53885))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6"/>
              </w:rPr>
            </w:pPr>
            <w:hyperlink r:id="rId109">
              <w:r>
                <w:rPr>
                  <w:rFonts w:ascii="Arial" w:cs="Arial" w:eastAsia="Arial" w:hAnsi="Arial"/>
                  <w:sz w:val="17"/>
                  <w:szCs w:val="17"/>
                  <w:color w:val="0000FF"/>
                  <w:w w:val="96"/>
                </w:rPr>
                <w:t>Agreement of Merger Between Ronald Michaelis Ranches, Inc. and Limoneira Company, dated June 24, 1997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8"/>
          </w:tcPr>
          <w:p>
            <w:pPr>
              <w:spacing w:after="0" w:line="148" w:lineRule="exact"/>
              <w:rPr>
                <w:rFonts w:ascii="Arial" w:cs="Arial" w:eastAsia="Arial" w:hAnsi="Arial"/>
                <w:sz w:val="17"/>
                <w:szCs w:val="17"/>
                <w:color w:val="0000FF"/>
                <w:w w:val="96"/>
              </w:rPr>
            </w:pPr>
            <w:hyperlink r:id="rId109">
              <w:r>
                <w:rPr>
                  <w:rFonts w:ascii="Arial" w:cs="Arial" w:eastAsia="Arial" w:hAnsi="Arial"/>
                  <w:sz w:val="17"/>
                  <w:szCs w:val="17"/>
                  <w:color w:val="0000FF"/>
                  <w:w w:val="96"/>
                </w:rPr>
                <w:t>exhibit 3.6 to the Company’s Registration Statement on Form 10, and amendments thereto, declared effective April 13, 2010 (File No. 000-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8"/>
              </w:rPr>
            </w:pPr>
            <w:hyperlink r:id="rId109">
              <w:r>
                <w:rPr>
                  <w:rFonts w:ascii="Arial" w:cs="Arial" w:eastAsia="Arial" w:hAnsi="Arial"/>
                  <w:sz w:val="17"/>
                  <w:szCs w:val="17"/>
                  <w:color w:val="0000FF"/>
                  <w:w w:val="88"/>
                </w:rPr>
                <w:t>53885)</w:t>
              </w:r>
              <w:r>
                <w:rPr>
                  <w:rFonts w:ascii="Arial" w:cs="Arial" w:eastAsia="Arial" w:hAnsi="Arial"/>
                  <w:sz w:val="17"/>
                  <w:szCs w:val="17"/>
                  <w:u w:val="single" w:color="auto"/>
                  <w:color w:val="0000FF"/>
                  <w:w w:val="88"/>
                </w:rPr>
                <w:t>)</w:t>
              </w:r>
            </w:hyperlink>
          </w:p>
        </w:tc>
        <w:tc>
          <w:tcPr>
            <w:tcW w:w="62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7"/>
              </w:rPr>
            </w:pPr>
            <w:hyperlink r:id="rId110">
              <w:r>
                <w:rPr>
                  <w:rFonts w:ascii="Arial" w:cs="Arial" w:eastAsia="Arial" w:hAnsi="Arial"/>
                  <w:sz w:val="17"/>
                  <w:szCs w:val="17"/>
                  <w:color w:val="0000FF"/>
                  <w:w w:val="97"/>
                </w:rPr>
                <w:t>Restated Certificate of Incorporation of Limoneira Company, dated July 5, 1990 (Incorporated by reference to exhibit 3.1 to the Company’s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4"/>
          </w:tcPr>
          <w:p>
            <w:pPr>
              <w:spacing w:after="0" w:line="148" w:lineRule="exact"/>
              <w:rPr>
                <w:rFonts w:ascii="Arial" w:cs="Arial" w:eastAsia="Arial" w:hAnsi="Arial"/>
                <w:sz w:val="17"/>
                <w:szCs w:val="17"/>
                <w:color w:val="0000FF"/>
              </w:rPr>
            </w:pPr>
            <w:hyperlink r:id="rId110">
              <w:r>
                <w:rPr>
                  <w:rFonts w:ascii="Arial" w:cs="Arial" w:eastAsia="Arial" w:hAnsi="Arial"/>
                  <w:sz w:val="17"/>
                  <w:szCs w:val="17"/>
                  <w:color w:val="0000FF"/>
                </w:rPr>
                <w:t>Registration Statement on Form 10, and amendments thereto, declared effective April 13, 2010 (File No. 000-53885))</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8"/>
              </w:rPr>
            </w:pPr>
            <w:hyperlink r:id="rId111">
              <w:r>
                <w:rPr>
                  <w:rFonts w:ascii="Arial" w:cs="Arial" w:eastAsia="Arial" w:hAnsi="Arial"/>
                  <w:sz w:val="17"/>
                  <w:szCs w:val="17"/>
                  <w:color w:val="0000FF"/>
                  <w:w w:val="98"/>
                </w:rPr>
                <w:t>Certificate of Amendment of Certificate of Incorporation of Limoneira Company, dated April 22, 2003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1"/>
              </w:rPr>
            </w:pPr>
            <w:hyperlink r:id="rId111">
              <w:r>
                <w:rPr>
                  <w:rFonts w:ascii="Arial" w:cs="Arial" w:eastAsia="Arial" w:hAnsi="Arial"/>
                  <w:sz w:val="17"/>
                  <w:szCs w:val="17"/>
                  <w:color w:val="0000FF"/>
                  <w:w w:val="91"/>
                </w:rPr>
                <w:t>3.</w:t>
              </w:r>
              <w:r>
                <w:rPr>
                  <w:rFonts w:ascii="Arial" w:cs="Arial" w:eastAsia="Arial" w:hAnsi="Arial"/>
                  <w:sz w:val="17"/>
                  <w:szCs w:val="17"/>
                  <w:u w:val="single" w:color="auto"/>
                  <w:color w:val="0000FF"/>
                  <w:w w:val="91"/>
                </w:rPr>
                <w:t>7</w:t>
              </w:r>
              <w:r>
                <w:rPr>
                  <w:rFonts w:ascii="Arial" w:cs="Arial" w:eastAsia="Arial" w:hAnsi="Arial"/>
                  <w:sz w:val="17"/>
                  <w:szCs w:val="17"/>
                  <w:color w:val="0000FF"/>
                  <w:w w:val="91"/>
                </w:rPr>
                <w:t xml:space="preserve"> to the Company’s Registration Statement on Form 10, and amendments thereto, declared effective April 13, 2010 (File No. 000-53885))</w:t>
              </w:r>
            </w:hyperlink>
          </w:p>
        </w:tc>
        <w:tc>
          <w:tcPr>
            <w:tcW w:w="48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7"/>
              </w:rPr>
            </w:pPr>
            <w:hyperlink r:id="rId112">
              <w:r>
                <w:rPr>
                  <w:rFonts w:ascii="Arial" w:cs="Arial" w:eastAsia="Arial" w:hAnsi="Arial"/>
                  <w:sz w:val="17"/>
                  <w:szCs w:val="17"/>
                  <w:color w:val="0000FF"/>
                  <w:w w:val="97"/>
                </w:rPr>
                <w:t>Certificate of Amendment of Certificate of Incorporation of Limoneira Company, dated March 24, 2010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1"/>
              </w:rPr>
            </w:pPr>
            <w:hyperlink r:id="rId112">
              <w:r>
                <w:rPr>
                  <w:rFonts w:ascii="Arial" w:cs="Arial" w:eastAsia="Arial" w:hAnsi="Arial"/>
                  <w:sz w:val="17"/>
                  <w:szCs w:val="17"/>
                  <w:color w:val="0000FF"/>
                  <w:w w:val="91"/>
                </w:rPr>
                <w:t>3.</w:t>
              </w:r>
              <w:r>
                <w:rPr>
                  <w:rFonts w:ascii="Arial" w:cs="Arial" w:eastAsia="Arial" w:hAnsi="Arial"/>
                  <w:sz w:val="17"/>
                  <w:szCs w:val="17"/>
                  <w:u w:val="single" w:color="auto"/>
                  <w:color w:val="0000FF"/>
                  <w:w w:val="91"/>
                </w:rPr>
                <w:t>9</w:t>
              </w:r>
              <w:r>
                <w:rPr>
                  <w:rFonts w:ascii="Arial" w:cs="Arial" w:eastAsia="Arial" w:hAnsi="Arial"/>
                  <w:sz w:val="17"/>
                  <w:szCs w:val="17"/>
                  <w:color w:val="0000FF"/>
                  <w:w w:val="91"/>
                </w:rPr>
                <w:t xml:space="preserve"> to the Company’s Registration Statement on Form 10, and amendments thereto, declared effective April 13, 2010 (File No. 000-53885))</w:t>
              </w:r>
            </w:hyperlink>
          </w:p>
        </w:tc>
        <w:tc>
          <w:tcPr>
            <w:tcW w:w="3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7"/>
              </w:rPr>
            </w:pPr>
            <w:hyperlink r:id="rId113">
              <w:r>
                <w:rPr>
                  <w:rFonts w:ascii="Arial" w:cs="Arial" w:eastAsia="Arial" w:hAnsi="Arial"/>
                  <w:sz w:val="17"/>
                  <w:szCs w:val="17"/>
                  <w:color w:val="0000FF"/>
                  <w:w w:val="97"/>
                </w:rPr>
                <w:t>Certificate of Amendment of Certificate of Incorporation of Limoneira Company, dated March 29, 2017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3"/>
              </w:rPr>
            </w:pPr>
            <w:hyperlink r:id="rId113">
              <w:r>
                <w:rPr>
                  <w:rFonts w:ascii="Arial" w:cs="Arial" w:eastAsia="Arial" w:hAnsi="Arial"/>
                  <w:sz w:val="17"/>
                  <w:szCs w:val="17"/>
                  <w:color w:val="0000FF"/>
                  <w:w w:val="93"/>
                </w:rPr>
                <w:t>3.</w:t>
              </w:r>
              <w:r>
                <w:rPr>
                  <w:rFonts w:ascii="Arial" w:cs="Arial" w:eastAsia="Arial" w:hAnsi="Arial"/>
                  <w:sz w:val="17"/>
                  <w:szCs w:val="17"/>
                  <w:u w:val="single" w:color="auto"/>
                  <w:color w:val="0000FF"/>
                  <w:w w:val="93"/>
                </w:rPr>
                <w:t>1</w:t>
              </w:r>
              <w:r>
                <w:rPr>
                  <w:rFonts w:ascii="Arial" w:cs="Arial" w:eastAsia="Arial" w:hAnsi="Arial"/>
                  <w:sz w:val="17"/>
                  <w:szCs w:val="17"/>
                  <w:color w:val="0000FF"/>
                  <w:w w:val="93"/>
                </w:rPr>
                <w:t xml:space="preserve"> to the Company’s Current Report on Form 8-K, filed March 31, 2017 (File No. 001-34755))</w:t>
              </w:r>
            </w:hyperlink>
          </w:p>
        </w:tc>
        <w:tc>
          <w:tcPr>
            <w:tcW w:w="34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5"/>
              </w:rPr>
            </w:pPr>
            <w:hyperlink r:id="rId114">
              <w:r>
                <w:rPr>
                  <w:rFonts w:ascii="Arial" w:cs="Arial" w:eastAsia="Arial" w:hAnsi="Arial"/>
                  <w:sz w:val="17"/>
                  <w:szCs w:val="17"/>
                  <w:color w:val="0000FF"/>
                  <w:w w:val="95"/>
                </w:rPr>
                <w:t>Amended and Restated Bylaws of Limoneira Company (Incorporated by reference to exhibit 3.1 to the Company's Current Report on Form 8-</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3"/>
              </w:rPr>
            </w:pPr>
            <w:hyperlink r:id="rId114">
              <w:r>
                <w:rPr>
                  <w:rFonts w:ascii="Arial" w:cs="Arial" w:eastAsia="Arial" w:hAnsi="Arial"/>
                  <w:sz w:val="17"/>
                  <w:szCs w:val="17"/>
                  <w:color w:val="0000FF"/>
                  <w:w w:val="93"/>
                </w:rPr>
                <w:t>K, filed October 27, 2021 (File No. 001-34755))</w:t>
              </w:r>
            </w:hyperlink>
          </w:p>
        </w:tc>
        <w:tc>
          <w:tcPr>
            <w:tcW w:w="664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rPr>
            </w:pPr>
            <w:hyperlink r:id="rId115">
              <w:r>
                <w:rPr>
                  <w:rFonts w:ascii="Arial" w:cs="Arial" w:eastAsia="Arial" w:hAnsi="Arial"/>
                  <w:sz w:val="17"/>
                  <w:szCs w:val="17"/>
                  <w:color w:val="0000FF"/>
                </w:rPr>
                <w:t xml:space="preserve">Specimen Certificate representing shares of Common Stock, par value </w:t>
              </w:r>
              <w:r>
                <w:rPr>
                  <w:rFonts w:ascii="Arial" w:cs="Arial" w:eastAsia="Arial" w:hAnsi="Arial"/>
                  <w:sz w:val="17"/>
                  <w:szCs w:val="17"/>
                  <w:u w:val="single" w:color="auto"/>
                  <w:color w:val="0000FF"/>
                </w:rPr>
                <w:t>$</w:t>
              </w:r>
              <w:r>
                <w:rPr>
                  <w:rFonts w:ascii="Arial" w:cs="Arial" w:eastAsia="Arial" w:hAnsi="Arial"/>
                  <w:sz w:val="17"/>
                  <w:szCs w:val="17"/>
                  <w:color w:val="0000FF"/>
                </w:rPr>
                <w:t>0.01 per share (Incorporated by reference to exhibit 4.1 to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1"/>
              </w:rPr>
            </w:pPr>
            <w:hyperlink r:id="rId115">
              <w:r>
                <w:rPr>
                  <w:rFonts w:ascii="Arial" w:cs="Arial" w:eastAsia="Arial" w:hAnsi="Arial"/>
                  <w:sz w:val="17"/>
                  <w:szCs w:val="17"/>
                  <w:color w:val="0000FF"/>
                  <w:w w:val="91"/>
                </w:rPr>
                <w:t>Company’s Registration Statement on Form 10, and amendments thereto, declared effective April 13, 2010 (File No. 000-53885))</w:t>
              </w:r>
            </w:hyperlink>
          </w:p>
        </w:tc>
        <w:tc>
          <w:tcPr>
            <w:tcW w:w="102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8"/>
              </w:rPr>
            </w:pPr>
            <w:hyperlink r:id="rId116">
              <w:r>
                <w:rPr>
                  <w:rFonts w:ascii="Arial" w:cs="Arial" w:eastAsia="Arial" w:hAnsi="Arial"/>
                  <w:sz w:val="17"/>
                  <w:szCs w:val="17"/>
                  <w:color w:val="0000FF"/>
                  <w:w w:val="98"/>
                </w:rPr>
                <w:t>Rights Agreement dated December 20, 2006 between Limoneira Company and The Bank of New York, as Rights Agent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5"/>
          </w:tcPr>
          <w:p>
            <w:pPr>
              <w:spacing w:after="0" w:line="148" w:lineRule="exact"/>
              <w:rPr>
                <w:rFonts w:ascii="Arial" w:cs="Arial" w:eastAsia="Arial" w:hAnsi="Arial"/>
                <w:sz w:val="17"/>
                <w:szCs w:val="17"/>
                <w:color w:val="0000FF"/>
                <w:w w:val="94"/>
              </w:rPr>
            </w:pPr>
            <w:hyperlink r:id="rId116">
              <w:r>
                <w:rPr>
                  <w:rFonts w:ascii="Arial" w:cs="Arial" w:eastAsia="Arial" w:hAnsi="Arial"/>
                  <w:sz w:val="17"/>
                  <w:szCs w:val="17"/>
                  <w:color w:val="0000FF"/>
                  <w:w w:val="94"/>
                </w:rPr>
                <w:t>reference to exhibit 4.2 to the Company’s Registration Statement on Form 10, and amendments thereto, declared effective April 13, 2010 (File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2"/>
              </w:rPr>
            </w:pPr>
            <w:hyperlink r:id="rId116">
              <w:r>
                <w:rPr>
                  <w:rFonts w:ascii="Arial" w:cs="Arial" w:eastAsia="Arial" w:hAnsi="Arial"/>
                  <w:sz w:val="17"/>
                  <w:szCs w:val="17"/>
                  <w:color w:val="0000FF"/>
                  <w:w w:val="92"/>
                </w:rPr>
                <w:t>No. 000-53885))</w:t>
              </w:r>
            </w:hyperlink>
          </w:p>
        </w:tc>
        <w:tc>
          <w:tcPr>
            <w:tcW w:w="888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7"/>
              </w:rPr>
            </w:pPr>
            <w:hyperlink r:id="rId117">
              <w:r>
                <w:rPr>
                  <w:rFonts w:ascii="Arial" w:cs="Arial" w:eastAsia="Arial" w:hAnsi="Arial"/>
                  <w:sz w:val="17"/>
                  <w:szCs w:val="17"/>
                  <w:color w:val="0000FF"/>
                  <w:w w:val="97"/>
                </w:rPr>
                <w:t>Certificate of Designation, Preferences and Rights of Series A Junior Participating Preferred Stock, $.01 Par Value, of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8" w:lineRule="exact"/>
              <w:rPr>
                <w:rFonts w:ascii="Arial" w:cs="Arial" w:eastAsia="Arial" w:hAnsi="Arial"/>
                <w:sz w:val="17"/>
                <w:szCs w:val="17"/>
                <w:color w:val="0000FF"/>
                <w:w w:val="95"/>
              </w:rPr>
            </w:pPr>
            <w:hyperlink r:id="rId117">
              <w:r>
                <w:rPr>
                  <w:rFonts w:ascii="Arial" w:cs="Arial" w:eastAsia="Arial" w:hAnsi="Arial"/>
                  <w:sz w:val="17"/>
                  <w:szCs w:val="17"/>
                  <w:color w:val="0000FF"/>
                  <w:w w:val="95"/>
                </w:rPr>
                <w:t>dated November 21, 2006 (Incorporated by reference to exhibit 3.8 to the Company’s Registration Statement on Form 10, and amendments</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117">
              <w:r>
                <w:rPr>
                  <w:rFonts w:ascii="Arial" w:cs="Arial" w:eastAsia="Arial" w:hAnsi="Arial"/>
                  <w:sz w:val="17"/>
                  <w:szCs w:val="17"/>
                  <w:color w:val="0000FF"/>
                </w:rPr>
                <w:t>thereto, declared effective April 13, 2010 (File No. 000-53885))</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4"/>
              </w:rPr>
            </w:pPr>
            <w:hyperlink r:id="rId118">
              <w:r>
                <w:rPr>
                  <w:rFonts w:ascii="Arial" w:cs="Arial" w:eastAsia="Arial" w:hAnsi="Arial"/>
                  <w:sz w:val="17"/>
                  <w:szCs w:val="17"/>
                  <w:color w:val="0000FF"/>
                  <w:w w:val="94"/>
                </w:rPr>
                <w:t xml:space="preserve">Certificate of Designation, Preferences and Rights of </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 xml:space="preserve">8.75 Voting Preferred Stock, </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100.00 Par Value, Series B of Limoneira Company, dated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9"/>
          </w:tcPr>
          <w:p>
            <w:pPr>
              <w:spacing w:after="0" w:line="148" w:lineRule="exact"/>
              <w:rPr>
                <w:rFonts w:ascii="Arial" w:cs="Arial" w:eastAsia="Arial" w:hAnsi="Arial"/>
                <w:sz w:val="17"/>
                <w:szCs w:val="17"/>
                <w:color w:val="0000FF"/>
                <w:w w:val="99"/>
              </w:rPr>
            </w:pPr>
            <w:hyperlink r:id="rId118">
              <w:r>
                <w:rPr>
                  <w:rFonts w:ascii="Arial" w:cs="Arial" w:eastAsia="Arial" w:hAnsi="Arial"/>
                  <w:sz w:val="17"/>
                  <w:szCs w:val="17"/>
                  <w:color w:val="0000FF"/>
                  <w:w w:val="99"/>
                </w:rPr>
                <w:t>May 21, 1997 (Incorporated by reference to exhibit 3.4 to the Company’s Registration Statement on Form 10, and amendments thereto,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3"/>
              </w:rPr>
            </w:pPr>
            <w:hyperlink r:id="rId118">
              <w:r>
                <w:rPr>
                  <w:rFonts w:ascii="Arial" w:cs="Arial" w:eastAsia="Arial" w:hAnsi="Arial"/>
                  <w:sz w:val="17"/>
                  <w:szCs w:val="17"/>
                  <w:color w:val="0000FF"/>
                  <w:w w:val="93"/>
                </w:rPr>
                <w:t>declared effective April 13, 2010 (File No. 000-53885))</w:t>
              </w:r>
            </w:hyperlink>
          </w:p>
        </w:tc>
        <w:tc>
          <w:tcPr>
            <w:tcW w:w="6240" w:type="dxa"/>
            <w:vAlign w:val="bottom"/>
            <w:tcBorders>
              <w:top w:val="single" w:sz="8" w:color="0000FF"/>
            </w:tcBorders>
            <w:gridSpan w:val="21"/>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0"/>
          </w:tcPr>
          <w:p>
            <w:pPr>
              <w:spacing w:after="0"/>
              <w:rPr>
                <w:rFonts w:ascii="Arial" w:cs="Arial" w:eastAsia="Arial" w:hAnsi="Arial"/>
                <w:sz w:val="17"/>
                <w:szCs w:val="17"/>
                <w:color w:val="0000FF"/>
                <w:w w:val="99"/>
              </w:rPr>
            </w:pPr>
            <w:hyperlink r:id="rId119">
              <w:r>
                <w:rPr>
                  <w:rFonts w:ascii="Arial" w:cs="Arial" w:eastAsia="Arial" w:hAnsi="Arial"/>
                  <w:sz w:val="17"/>
                  <w:szCs w:val="17"/>
                  <w:color w:val="0000FF"/>
                  <w:w w:val="99"/>
                </w:rPr>
                <w:t xml:space="preserve">Amended Certificate of Designation, Preferences and Rights of </w:t>
              </w:r>
              <w:r>
                <w:rPr>
                  <w:rFonts w:ascii="Arial" w:cs="Arial" w:eastAsia="Arial" w:hAnsi="Arial"/>
                  <w:sz w:val="17"/>
                  <w:szCs w:val="17"/>
                  <w:u w:val="single" w:color="auto"/>
                  <w:color w:val="0000FF"/>
                  <w:w w:val="99"/>
                </w:rPr>
                <w:t>$</w:t>
              </w:r>
              <w:r>
                <w:rPr>
                  <w:rFonts w:ascii="Arial" w:cs="Arial" w:eastAsia="Arial" w:hAnsi="Arial"/>
                  <w:sz w:val="17"/>
                  <w:szCs w:val="17"/>
                  <w:color w:val="0000FF"/>
                  <w:w w:val="99"/>
                </w:rPr>
                <w:t xml:space="preserve">8.75 Voting Preferred Stock, </w:t>
              </w:r>
              <w:r>
                <w:rPr>
                  <w:rFonts w:ascii="Arial" w:cs="Arial" w:eastAsia="Arial" w:hAnsi="Arial"/>
                  <w:sz w:val="17"/>
                  <w:szCs w:val="17"/>
                  <w:u w:val="single" w:color="auto"/>
                  <w:color w:val="0000FF"/>
                  <w:w w:val="99"/>
                </w:rPr>
                <w:t>$</w:t>
              </w:r>
              <w:r>
                <w:rPr>
                  <w:rFonts w:ascii="Arial" w:cs="Arial" w:eastAsia="Arial" w:hAnsi="Arial"/>
                  <w:sz w:val="17"/>
                  <w:szCs w:val="17"/>
                  <w:color w:val="0000FF"/>
                  <w:w w:val="99"/>
                </w:rPr>
                <w:t>100.00 Par Value, Series B of Limoneira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r:id="rId119">
              <w:r>
                <w:rPr>
                  <w:rFonts w:ascii="Arial" w:cs="Arial" w:eastAsia="Arial" w:hAnsi="Arial"/>
                  <w:sz w:val="17"/>
                  <w:szCs w:val="17"/>
                  <w:color w:val="0000FF"/>
                </w:rPr>
                <w:t>Company, dated May 21, 1997 (Incorporated by reference to exhibit 3.5 to the Company’s Registration Statement on Form 10, and</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2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119">
              <w:r>
                <w:rPr>
                  <w:rFonts w:ascii="Arial" w:cs="Arial" w:eastAsia="Arial" w:hAnsi="Arial"/>
                  <w:sz w:val="17"/>
                  <w:szCs w:val="17"/>
                  <w:color w:val="0000FF"/>
                  <w:w w:val="92"/>
                </w:rPr>
                <w:t>amendments thereto, declared effective April 13, 2010 (File No. 000-53885))</w:t>
              </w:r>
            </w:hyperlink>
          </w:p>
        </w:tc>
        <w:tc>
          <w:tcPr>
            <w:tcW w:w="4580" w:type="dxa"/>
            <w:vAlign w:val="bottom"/>
            <w:tcBorders>
              <w:top w:val="single" w:sz="8" w:color="0000FF"/>
            </w:tcBorders>
            <w:gridSpan w:val="10"/>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560" w:type="dxa"/>
            <w:vAlign w:val="bottom"/>
            <w:gridSpan w:val="23"/>
            <w:vMerge w:val="restart"/>
          </w:tcPr>
          <w:p>
            <w:pPr>
              <w:ind w:left="19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9"/>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No.</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560" w:type="dxa"/>
            <w:vAlign w:val="bottom"/>
            <w:gridSpan w:val="2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40" w:type="dxa"/>
            <w:vAlign w:val="bottom"/>
            <w:tcBorders>
              <w:top w:val="single" w:sz="8" w:color="auto"/>
            </w:tcBorders>
            <w:gridSpan w:val="27"/>
          </w:tcPr>
          <w:p>
            <w:pPr>
              <w:spacing w:after="0"/>
              <w:rPr>
                <w:rFonts w:ascii="Arial" w:cs="Arial" w:eastAsia="Arial" w:hAnsi="Arial"/>
                <w:sz w:val="17"/>
                <w:szCs w:val="17"/>
                <w:color w:val="0000FF"/>
                <w:w w:val="94"/>
              </w:rPr>
            </w:pPr>
            <w:hyperlink r:id="rId121">
              <w:r>
                <w:rPr>
                  <w:rFonts w:ascii="Arial" w:cs="Arial" w:eastAsia="Arial" w:hAnsi="Arial"/>
                  <w:sz w:val="17"/>
                  <w:szCs w:val="17"/>
                  <w:color w:val="0000FF"/>
                  <w:w w:val="94"/>
                </w:rPr>
                <w:t xml:space="preserve">Certificate of Designation, Preferences and Rights of 4% Voting Preferred Stock, </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100.00 Par Value, Series B-2 of Limoneira Company, dated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3"/>
          </w:tcPr>
          <w:p>
            <w:pPr>
              <w:spacing w:after="0" w:line="148" w:lineRule="exact"/>
              <w:rPr>
                <w:rFonts w:ascii="Arial" w:cs="Arial" w:eastAsia="Arial" w:hAnsi="Arial"/>
                <w:sz w:val="17"/>
                <w:szCs w:val="17"/>
                <w:color w:val="0000FF"/>
                <w:w w:val="95"/>
              </w:rPr>
            </w:pPr>
            <w:hyperlink r:id="rId121">
              <w:r>
                <w:rPr>
                  <w:rFonts w:ascii="Arial" w:cs="Arial" w:eastAsia="Arial" w:hAnsi="Arial"/>
                  <w:sz w:val="17"/>
                  <w:szCs w:val="17"/>
                  <w:color w:val="0000FF"/>
                  <w:w w:val="95"/>
                </w:rPr>
                <w:t>March 20, 2014 (Incorporated by reference to exhibit 3.1 to the Company’s Current Report on Form 8-K, filed March 24, 2014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8"/>
              </w:rPr>
            </w:pPr>
            <w:hyperlink r:id="rId121">
              <w:r>
                <w:rPr>
                  <w:rFonts w:ascii="Arial" w:cs="Arial" w:eastAsia="Arial" w:hAnsi="Arial"/>
                  <w:sz w:val="17"/>
                  <w:szCs w:val="17"/>
                  <w:color w:val="0000FF"/>
                  <w:w w:val="88"/>
                </w:rPr>
                <w:t>34755)</w:t>
              </w:r>
              <w:r>
                <w:rPr>
                  <w:rFonts w:ascii="Arial" w:cs="Arial" w:eastAsia="Arial" w:hAnsi="Arial"/>
                  <w:sz w:val="17"/>
                  <w:szCs w:val="17"/>
                  <w:u w:val="single" w:color="auto"/>
                  <w:color w:val="0000FF"/>
                  <w:w w:val="88"/>
                </w:rPr>
                <w:t>)</w:t>
              </w:r>
            </w:hyperlink>
          </w:p>
        </w:tc>
        <w:tc>
          <w:tcPr>
            <w:tcW w:w="9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3880" w:type="dxa"/>
            <w:vAlign w:val="bottom"/>
            <w:tcBorders>
              <w:top w:val="single" w:sz="8" w:color="0000FF"/>
            </w:tcBorders>
          </w:tcPr>
          <w:p>
            <w:pPr>
              <w:spacing w:after="0"/>
              <w:rPr>
                <w:sz w:val="12"/>
                <w:szCs w:val="12"/>
                <w:color w:val="auto"/>
              </w:rPr>
            </w:pPr>
          </w:p>
        </w:tc>
        <w:tc>
          <w:tcPr>
            <w:tcW w:w="2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rPr>
            </w:pPr>
            <w:hyperlink w:anchor="page87">
              <w:r>
                <w:rPr>
                  <w:rFonts w:ascii="Arial" w:cs="Arial" w:eastAsia="Arial" w:hAnsi="Arial"/>
                  <w:sz w:val="17"/>
                  <w:szCs w:val="17"/>
                  <w:color w:val="0000FF"/>
                </w:rPr>
                <w:t>Description of Securities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rPr>
            </w:pPr>
            <w:hyperlink r:id="rId122">
              <w:r>
                <w:rPr>
                  <w:rFonts w:ascii="Arial" w:cs="Arial" w:eastAsia="Arial" w:hAnsi="Arial"/>
                  <w:sz w:val="17"/>
                  <w:szCs w:val="17"/>
                  <w:color w:val="0000FF"/>
                </w:rPr>
                <w:t>Real Estate Advisory Management Consultant Agreement dated April 1, 2004, by and between Limoneira Company and Parkstone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w w:val="95"/>
              </w:rPr>
            </w:pPr>
            <w:hyperlink r:id="rId122">
              <w:r>
                <w:rPr>
                  <w:rFonts w:ascii="Arial" w:cs="Arial" w:eastAsia="Arial" w:hAnsi="Arial"/>
                  <w:sz w:val="17"/>
                  <w:szCs w:val="17"/>
                  <w:color w:val="0000FF"/>
                  <w:w w:val="95"/>
                </w:rPr>
                <w:t>Companies (Incorporated by reference to exhibit 10.1 of the Company’s Current Report on Form 8-K, filed August 25, 2010 (File No. 001-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0000FF"/>
            </w:tcBorders>
          </w:tcPr>
          <w:p>
            <w:pPr>
              <w:spacing w:after="0" w:line="148" w:lineRule="exact"/>
              <w:rPr>
                <w:rFonts w:ascii="Arial" w:cs="Arial" w:eastAsia="Arial" w:hAnsi="Arial"/>
                <w:sz w:val="17"/>
                <w:szCs w:val="17"/>
                <w:color w:val="0000FF"/>
                <w:w w:val="88"/>
              </w:rPr>
            </w:pPr>
            <w:hyperlink r:id="rId122">
              <w:r>
                <w:rPr>
                  <w:rFonts w:ascii="Arial" w:cs="Arial" w:eastAsia="Arial" w:hAnsi="Arial"/>
                  <w:sz w:val="17"/>
                  <w:szCs w:val="17"/>
                  <w:color w:val="0000FF"/>
                  <w:w w:val="88"/>
                </w:rPr>
                <w:t>34755)</w:t>
              </w:r>
              <w:r>
                <w:rPr>
                  <w:rFonts w:ascii="Arial" w:cs="Arial" w:eastAsia="Arial" w:hAnsi="Arial"/>
                  <w:sz w:val="17"/>
                  <w:szCs w:val="17"/>
                  <w:u w:val="single" w:color="auto"/>
                  <w:color w:val="0000FF"/>
                  <w:w w:val="88"/>
                </w:rPr>
                <w:t>)</w:t>
              </w:r>
            </w:hyperlink>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5"/>
              </w:rPr>
            </w:pPr>
            <w:hyperlink r:id="rId123">
              <w:r>
                <w:rPr>
                  <w:rFonts w:ascii="Arial" w:cs="Arial" w:eastAsia="Arial" w:hAnsi="Arial"/>
                  <w:sz w:val="17"/>
                  <w:szCs w:val="17"/>
                  <w:color w:val="0000FF"/>
                  <w:w w:val="95"/>
                </w:rPr>
                <w:t>Amendment No. 1 to Real Estate Advisory Management Consultant Agreement dated August 24, 2010, by and between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0"/>
          </w:tcPr>
          <w:p>
            <w:pPr>
              <w:spacing w:after="0" w:line="148" w:lineRule="exact"/>
              <w:rPr>
                <w:rFonts w:ascii="Arial" w:cs="Arial" w:eastAsia="Arial" w:hAnsi="Arial"/>
                <w:sz w:val="17"/>
                <w:szCs w:val="17"/>
                <w:color w:val="0000FF"/>
                <w:w w:val="96"/>
              </w:rPr>
            </w:pPr>
            <w:hyperlink r:id="rId123">
              <w:r>
                <w:rPr>
                  <w:rFonts w:ascii="Arial" w:cs="Arial" w:eastAsia="Arial" w:hAnsi="Arial"/>
                  <w:sz w:val="17"/>
                  <w:szCs w:val="17"/>
                  <w:color w:val="0000FF"/>
                  <w:w w:val="96"/>
                </w:rPr>
                <w:t>and Parkstone Companies (Incorporated by reference to exhibit 10.2 of the Company’s Current Report on Form 8-K, filed August 25,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23">
              <w:r>
                <w:rPr>
                  <w:rFonts w:ascii="Arial" w:cs="Arial" w:eastAsia="Arial" w:hAnsi="Arial"/>
                  <w:sz w:val="17"/>
                  <w:szCs w:val="17"/>
                  <w:color w:val="0000FF"/>
                </w:rPr>
                <w:t>(File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9"/>
              </w:rPr>
            </w:pPr>
            <w:hyperlink r:id="rId124">
              <w:r>
                <w:rPr>
                  <w:rFonts w:ascii="Arial" w:cs="Arial" w:eastAsia="Arial" w:hAnsi="Arial"/>
                  <w:sz w:val="17"/>
                  <w:szCs w:val="17"/>
                  <w:color w:val="0000FF"/>
                  <w:w w:val="99"/>
                </w:rPr>
                <w:t>Avocado Marketing Agreement effective February 8, 2003, by and between Calavo Growers, Inc. and Limoneira Company, as amended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3"/>
          </w:tcPr>
          <w:p>
            <w:pPr>
              <w:spacing w:after="0" w:line="148" w:lineRule="exact"/>
              <w:rPr>
                <w:rFonts w:ascii="Arial" w:cs="Arial" w:eastAsia="Arial" w:hAnsi="Arial"/>
                <w:sz w:val="17"/>
                <w:szCs w:val="17"/>
                <w:color w:val="0000FF"/>
                <w:w w:val="92"/>
              </w:rPr>
            </w:pPr>
            <w:hyperlink r:id="rId124">
              <w:r>
                <w:rPr>
                  <w:rFonts w:ascii="Arial" w:cs="Arial" w:eastAsia="Arial" w:hAnsi="Arial"/>
                  <w:sz w:val="17"/>
                  <w:szCs w:val="17"/>
                  <w:color w:val="0000FF"/>
                  <w:w w:val="92"/>
                </w:rPr>
                <w:t>(Incorporated by reference to exhibit 10.2 to the Company’s Registration Statement on Form 10, and amendments thereto, declared effective</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bottom w:val="single" w:sz="8" w:color="0000FF"/>
            </w:tcBorders>
            <w:gridSpan w:val="4"/>
          </w:tcPr>
          <w:p>
            <w:pPr>
              <w:spacing w:after="0" w:line="148" w:lineRule="exact"/>
              <w:rPr>
                <w:rFonts w:ascii="Arial" w:cs="Arial" w:eastAsia="Arial" w:hAnsi="Arial"/>
                <w:sz w:val="17"/>
                <w:szCs w:val="17"/>
                <w:color w:val="0000FF"/>
                <w:w w:val="94"/>
              </w:rPr>
            </w:pPr>
            <w:hyperlink r:id="rId124">
              <w:r>
                <w:rPr>
                  <w:rFonts w:ascii="Arial" w:cs="Arial" w:eastAsia="Arial" w:hAnsi="Arial"/>
                  <w:sz w:val="17"/>
                  <w:szCs w:val="17"/>
                  <w:color w:val="0000FF"/>
                  <w:w w:val="94"/>
                </w:rPr>
                <w:t>April 13, 2010 (File No. 000-53885))</w:t>
              </w:r>
            </w:hyperlink>
          </w:p>
        </w:tc>
        <w:tc>
          <w:tcPr>
            <w:tcW w:w="7500" w:type="dxa"/>
            <w:vAlign w:val="bottom"/>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5"/>
              </w:rPr>
            </w:pPr>
            <w:hyperlink r:id="rId125">
              <w:r>
                <w:rPr>
                  <w:rFonts w:ascii="Arial" w:cs="Arial" w:eastAsia="Arial" w:hAnsi="Arial"/>
                  <w:sz w:val="17"/>
                  <w:szCs w:val="17"/>
                  <w:color w:val="0000FF"/>
                  <w:w w:val="95"/>
                </w:rPr>
                <w:t>Stock Purchase Agreement dated June 1, 2005, between Limoneira Company and Calavo Growers, Inc.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2"/>
          </w:tcPr>
          <w:p>
            <w:pPr>
              <w:spacing w:after="0" w:line="148" w:lineRule="exact"/>
              <w:rPr>
                <w:rFonts w:ascii="Arial" w:cs="Arial" w:eastAsia="Arial" w:hAnsi="Arial"/>
                <w:sz w:val="17"/>
                <w:szCs w:val="17"/>
                <w:color w:val="0000FF"/>
                <w:w w:val="94"/>
              </w:rPr>
            </w:pPr>
            <w:hyperlink r:id="rId125">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3</w:t>
              </w:r>
              <w:r>
                <w:rPr>
                  <w:rFonts w:ascii="Arial" w:cs="Arial" w:eastAsia="Arial" w:hAnsi="Arial"/>
                  <w:sz w:val="17"/>
                  <w:szCs w:val="17"/>
                  <w:color w:val="0000FF"/>
                  <w:w w:val="94"/>
                </w:rPr>
                <w:t xml:space="preserve"> to the Company’s Registration Statement on Form 10, and amendments thereto, declared effective April 13, 2010 (File No. 000-53885))</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gridSpan w:val="5"/>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4"/>
              </w:rPr>
            </w:pPr>
            <w:hyperlink r:id="rId126">
              <w:r>
                <w:rPr>
                  <w:rFonts w:ascii="Arial" w:cs="Arial" w:eastAsia="Arial" w:hAnsi="Arial"/>
                  <w:sz w:val="17"/>
                  <w:szCs w:val="17"/>
                  <w:color w:val="0000FF"/>
                  <w:w w:val="94"/>
                </w:rPr>
                <w:t>Standstill Agreement dated June 1, 2005, between Limoneira Company and Calavo Growers, Inc. (Incorporated by reference to exhibit 10.4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19"/>
          </w:tcPr>
          <w:p>
            <w:pPr>
              <w:spacing w:after="0" w:line="148" w:lineRule="exact"/>
              <w:rPr>
                <w:rFonts w:ascii="Arial" w:cs="Arial" w:eastAsia="Arial" w:hAnsi="Arial"/>
                <w:sz w:val="17"/>
                <w:szCs w:val="17"/>
                <w:color w:val="0000FF"/>
                <w:w w:val="99"/>
              </w:rPr>
            </w:pPr>
            <w:hyperlink r:id="rId126">
              <w:r>
                <w:rPr>
                  <w:rFonts w:ascii="Arial" w:cs="Arial" w:eastAsia="Arial" w:hAnsi="Arial"/>
                  <w:sz w:val="17"/>
                  <w:szCs w:val="17"/>
                  <w:color w:val="0000FF"/>
                  <w:w w:val="99"/>
                </w:rPr>
                <w:t>the Company’s Registration Statement on Form 10, and amendments thereto, declared effective April 13, 2010 (File No. 000-53885))</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gridSpan w:val="5"/>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5"/>
              </w:rPr>
            </w:pPr>
            <w:hyperlink r:id="rId127">
              <w:r>
                <w:rPr>
                  <w:rFonts w:ascii="Arial" w:cs="Arial" w:eastAsia="Arial" w:hAnsi="Arial"/>
                  <w:sz w:val="17"/>
                  <w:szCs w:val="17"/>
                  <w:color w:val="0000FF"/>
                  <w:w w:val="95"/>
                </w:rPr>
                <w:t>Standstill Agreement dated June 1, 2005 between Calavo Growers, Inc. and Limoneira Company (Incorporated by reference to exhibit 10.5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5"/>
          </w:tcPr>
          <w:p>
            <w:pPr>
              <w:spacing w:after="0" w:line="148" w:lineRule="exact"/>
              <w:rPr>
                <w:rFonts w:ascii="Arial" w:cs="Arial" w:eastAsia="Arial" w:hAnsi="Arial"/>
                <w:sz w:val="17"/>
                <w:szCs w:val="17"/>
                <w:color w:val="0000FF"/>
                <w:w w:val="98"/>
              </w:rPr>
            </w:pPr>
            <w:hyperlink r:id="rId127">
              <w:r>
                <w:rPr>
                  <w:rFonts w:ascii="Arial" w:cs="Arial" w:eastAsia="Arial" w:hAnsi="Arial"/>
                  <w:sz w:val="17"/>
                  <w:szCs w:val="17"/>
                  <w:color w:val="0000FF"/>
                  <w:w w:val="98"/>
                </w:rPr>
                <w:t>the Company’s Registration Statement on Form 10, and amendments thereto, declared effective April 13, 2010 (File No. 000-53885))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gridSpan w:val="5"/>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4"/>
              </w:rPr>
            </w:pPr>
            <w:hyperlink r:id="rId128">
              <w:r>
                <w:rPr>
                  <w:rFonts w:ascii="Arial" w:cs="Arial" w:eastAsia="Arial" w:hAnsi="Arial"/>
                  <w:sz w:val="17"/>
                  <w:szCs w:val="17"/>
                  <w:color w:val="0000FF"/>
                  <w:w w:val="94"/>
                </w:rPr>
                <w:t>Lease Agreement dated February 15, 2005, between Limoneira Company and Calavo Growers, Inc. (Incorporated by reference to exhibit 10.6</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6"/>
          </w:tcPr>
          <w:p>
            <w:pPr>
              <w:spacing w:after="0" w:line="148" w:lineRule="exact"/>
              <w:rPr>
                <w:rFonts w:ascii="Arial" w:cs="Arial" w:eastAsia="Arial" w:hAnsi="Arial"/>
                <w:sz w:val="17"/>
                <w:szCs w:val="17"/>
                <w:color w:val="0000FF"/>
                <w:w w:val="99"/>
              </w:rPr>
            </w:pPr>
            <w:hyperlink r:id="rId128">
              <w:r>
                <w:rPr>
                  <w:rFonts w:ascii="Arial" w:cs="Arial" w:eastAsia="Arial" w:hAnsi="Arial"/>
                  <w:sz w:val="17"/>
                  <w:szCs w:val="17"/>
                  <w:color w:val="0000FF"/>
                  <w:w w:val="99"/>
                </w:rPr>
                <w:t>to the Company’s Registration Statement on Form 10, and amendments thereto, declared effective April 13, 2010 (File No. 000-53885))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gridSpan w:val="5"/>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8"/>
              </w:rPr>
            </w:pPr>
            <w:hyperlink r:id="rId129">
              <w:r>
                <w:rPr>
                  <w:rFonts w:ascii="Arial" w:cs="Arial" w:eastAsia="Arial" w:hAnsi="Arial"/>
                  <w:sz w:val="17"/>
                  <w:szCs w:val="17"/>
                  <w:color w:val="0000FF"/>
                  <w:w w:val="98"/>
                </w:rPr>
                <w:t>Revolving Equity Line of Credit Promissory Note and Loan Agreement, dated October 28, 1997, between Limoneira Company and Farm</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5"/>
          </w:tcPr>
          <w:p>
            <w:pPr>
              <w:spacing w:after="0" w:line="148" w:lineRule="exact"/>
              <w:rPr>
                <w:rFonts w:ascii="Arial" w:cs="Arial" w:eastAsia="Arial" w:hAnsi="Arial"/>
                <w:sz w:val="17"/>
                <w:szCs w:val="17"/>
                <w:color w:val="0000FF"/>
                <w:w w:val="94"/>
              </w:rPr>
            </w:pPr>
            <w:hyperlink r:id="rId129">
              <w:r>
                <w:rPr>
                  <w:rFonts w:ascii="Arial" w:cs="Arial" w:eastAsia="Arial" w:hAnsi="Arial"/>
                  <w:sz w:val="17"/>
                  <w:szCs w:val="17"/>
                  <w:color w:val="0000FF"/>
                  <w:w w:val="94"/>
                </w:rPr>
                <w:t>Credit West, FLCA (as successor by merger to Central Coast Federal Land Bank Association) (Incorporated by reference to exhibit 10.9 to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1"/>
              </w:rPr>
            </w:pPr>
            <w:hyperlink r:id="rId129">
              <w:r>
                <w:rPr>
                  <w:rFonts w:ascii="Arial" w:cs="Arial" w:eastAsia="Arial" w:hAnsi="Arial"/>
                  <w:sz w:val="17"/>
                  <w:szCs w:val="17"/>
                  <w:color w:val="0000FF"/>
                  <w:w w:val="91"/>
                </w:rPr>
                <w:t>Company’s Registration Statement on Form 10, and amendments thereto, declared effective April 13, 2010 (File No. 000-53885))</w:t>
              </w:r>
            </w:hyperlink>
          </w:p>
        </w:tc>
        <w:tc>
          <w:tcPr>
            <w:tcW w:w="1080" w:type="dxa"/>
            <w:vAlign w:val="bottom"/>
            <w:tcBorders>
              <w:top w:val="single" w:sz="8" w:color="0000FF"/>
            </w:tcBorders>
            <w:gridSpan w:val="1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7"/>
              </w:rPr>
            </w:pPr>
            <w:hyperlink r:id="rId130">
              <w:r>
                <w:rPr>
                  <w:rFonts w:ascii="Arial" w:cs="Arial" w:eastAsia="Arial" w:hAnsi="Arial"/>
                  <w:sz w:val="17"/>
                  <w:szCs w:val="17"/>
                  <w:color w:val="0000FF"/>
                  <w:w w:val="97"/>
                </w:rPr>
                <w:t>Promissory Note and Loan Agreement, dated April 23, 2007, between Farm Credit West, FLCA and Limoneira Company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3"/>
              </w:rPr>
            </w:pPr>
            <w:hyperlink r:id="rId130">
              <w:r>
                <w:rPr>
                  <w:rFonts w:ascii="Arial" w:cs="Arial" w:eastAsia="Arial" w:hAnsi="Arial"/>
                  <w:sz w:val="17"/>
                  <w:szCs w:val="17"/>
                  <w:color w:val="0000FF"/>
                  <w:w w:val="93"/>
                </w:rPr>
                <w:t>reference to exhibit 10.10 to the Company’s Registration Statement on Form 10, and amendments thereto, declared effective April 13, 2010</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16"/>
          </w:tcPr>
          <w:p>
            <w:pPr>
              <w:spacing w:after="0" w:line="148" w:lineRule="exact"/>
              <w:rPr>
                <w:rFonts w:ascii="Arial" w:cs="Arial" w:eastAsia="Arial" w:hAnsi="Arial"/>
                <w:sz w:val="17"/>
                <w:szCs w:val="17"/>
                <w:color w:val="0000FF"/>
              </w:rPr>
            </w:pPr>
            <w:hyperlink r:id="rId130">
              <w:r>
                <w:rPr>
                  <w:rFonts w:ascii="Arial" w:cs="Arial" w:eastAsia="Arial" w:hAnsi="Arial"/>
                  <w:sz w:val="17"/>
                  <w:szCs w:val="17"/>
                  <w:color w:val="0000FF"/>
                </w:rPr>
                <w:t>(File No. 000-53885))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rPr>
            </w:pPr>
            <w:hyperlink r:id="rId131">
              <w:r>
                <w:rPr>
                  <w:rFonts w:ascii="Arial" w:cs="Arial" w:eastAsia="Arial" w:hAnsi="Arial"/>
                  <w:sz w:val="17"/>
                  <w:szCs w:val="17"/>
                  <w:color w:val="0000FF"/>
                </w:rPr>
                <w:t>Promissory Note and Loan Agreement, dated September 23, 2005, among Farm Credit West, FLCA and Windfall Investors, LLC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2"/>
              </w:rPr>
            </w:pPr>
            <w:hyperlink r:id="rId131">
              <w:r>
                <w:rPr>
                  <w:rFonts w:ascii="Arial" w:cs="Arial" w:eastAsia="Arial" w:hAnsi="Arial"/>
                  <w:sz w:val="17"/>
                  <w:szCs w:val="17"/>
                  <w:color w:val="0000FF"/>
                  <w:w w:val="92"/>
                </w:rPr>
                <w:t>(Incorporated by reference to exhibit 10.12 to the Company’s Registration Statement on Form 10, and amendments thereto, declared effective</w:t>
              </w:r>
            </w:hyperlink>
          </w:p>
        </w:tc>
        <w:tc>
          <w:tcPr>
            <w:tcW w:w="20" w:type="dxa"/>
            <w:vAlign w:val="bottom"/>
            <w:tcBorders>
              <w:bottom w:val="single" w:sz="8" w:color="0000FF"/>
            </w:tcBorders>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bottom w:val="single" w:sz="8" w:color="0000FF"/>
            </w:tcBorders>
            <w:gridSpan w:val="4"/>
          </w:tcPr>
          <w:p>
            <w:pPr>
              <w:spacing w:after="0" w:line="148" w:lineRule="exact"/>
              <w:rPr>
                <w:rFonts w:ascii="Arial" w:cs="Arial" w:eastAsia="Arial" w:hAnsi="Arial"/>
                <w:sz w:val="17"/>
                <w:szCs w:val="17"/>
                <w:color w:val="0000FF"/>
                <w:w w:val="94"/>
              </w:rPr>
            </w:pPr>
            <w:hyperlink r:id="rId131">
              <w:r>
                <w:rPr>
                  <w:rFonts w:ascii="Arial" w:cs="Arial" w:eastAsia="Arial" w:hAnsi="Arial"/>
                  <w:sz w:val="17"/>
                  <w:szCs w:val="17"/>
                  <w:color w:val="0000FF"/>
                  <w:w w:val="94"/>
                </w:rPr>
                <w:t>April 13, 2010 (File No. 000-53885))</w:t>
              </w:r>
            </w:hyperlink>
          </w:p>
        </w:tc>
        <w:tc>
          <w:tcPr>
            <w:tcW w:w="7380" w:type="dxa"/>
            <w:vAlign w:val="bottom"/>
            <w:gridSpan w:val="14"/>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5"/>
              </w:rPr>
            </w:pPr>
            <w:hyperlink r:id="rId132">
              <w:r>
                <w:rPr>
                  <w:rFonts w:ascii="Arial" w:cs="Arial" w:eastAsia="Arial" w:hAnsi="Arial"/>
                  <w:sz w:val="17"/>
                  <w:szCs w:val="17"/>
                  <w:color w:val="0000FF"/>
                  <w:w w:val="95"/>
                </w:rPr>
                <w:t>Master Loan Agreement, dated May 1, 2012, between Limoneira Company and Farm Credit West, PCA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6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3"/>
              </w:rPr>
            </w:pPr>
            <w:hyperlink r:id="rId132">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2</w:t>
              </w:r>
              <w:r>
                <w:rPr>
                  <w:rFonts w:ascii="Arial" w:cs="Arial" w:eastAsia="Arial" w:hAnsi="Arial"/>
                  <w:sz w:val="17"/>
                  <w:szCs w:val="17"/>
                  <w:color w:val="0000FF"/>
                  <w:w w:val="93"/>
                </w:rPr>
                <w:t xml:space="preserve"> to the Company’s Current Report on Form 8-K, filed May 2, 2012 (File No. 001-34755))</w:t>
              </w:r>
            </w:hyperlink>
          </w:p>
        </w:tc>
        <w:tc>
          <w:tcPr>
            <w:tcW w:w="36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7"/>
          </w:tcPr>
          <w:p>
            <w:pPr>
              <w:spacing w:after="0"/>
              <w:rPr>
                <w:rFonts w:ascii="Arial" w:cs="Arial" w:eastAsia="Arial" w:hAnsi="Arial"/>
                <w:sz w:val="17"/>
                <w:szCs w:val="17"/>
                <w:color w:val="0000FF"/>
                <w:w w:val="95"/>
              </w:rPr>
            </w:pPr>
            <w:hyperlink r:id="rId133">
              <w:r>
                <w:rPr>
                  <w:rFonts w:ascii="Arial" w:cs="Arial" w:eastAsia="Arial" w:hAnsi="Arial"/>
                  <w:sz w:val="17"/>
                  <w:szCs w:val="17"/>
                  <w:color w:val="0000FF"/>
                  <w:w w:val="95"/>
                </w:rPr>
                <w:t>Promissory Note and Supplement to Master Loan Agreement, dated May 1, 2012, between Limoneira Company and Farm Credit West, PCA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2"/>
          </w:tcPr>
          <w:p>
            <w:pPr>
              <w:spacing w:after="0" w:line="148" w:lineRule="exact"/>
              <w:rPr>
                <w:rFonts w:ascii="Arial" w:cs="Arial" w:eastAsia="Arial" w:hAnsi="Arial"/>
                <w:sz w:val="17"/>
                <w:szCs w:val="17"/>
                <w:color w:val="0000FF"/>
              </w:rPr>
            </w:pPr>
            <w:hyperlink r:id="rId133">
              <w:r>
                <w:rPr>
                  <w:rFonts w:ascii="Arial" w:cs="Arial" w:eastAsia="Arial" w:hAnsi="Arial"/>
                  <w:sz w:val="17"/>
                  <w:szCs w:val="17"/>
                  <w:color w:val="0000FF"/>
                </w:rPr>
                <w:t>(Incorporated by reference to exhibit 10.1 to the Company’s Current Report on Form 8-K filed, May 2, 2012 (File No. 001-34755))</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40" w:type="dxa"/>
            <w:vAlign w:val="bottom"/>
            <w:gridSpan w:val="22"/>
            <w:vMerge w:val="restart"/>
          </w:tcPr>
          <w:p>
            <w:pPr>
              <w:ind w:left="24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9"/>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2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7"/>
              </w:rPr>
            </w:pPr>
            <w:hyperlink r:id="rId135">
              <w:r>
                <w:rPr>
                  <w:rFonts w:ascii="Arial" w:cs="Arial" w:eastAsia="Arial" w:hAnsi="Arial"/>
                  <w:sz w:val="17"/>
                  <w:szCs w:val="17"/>
                  <w:color w:val="0000FF"/>
                  <w:w w:val="97"/>
                </w:rPr>
                <w:t>Limoneira Company Amended and Restated 2010 Omnibus Incentive Plan, as amended on March 28, 2017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3"/>
              </w:rPr>
            </w:pPr>
            <w:hyperlink r:id="rId135">
              <w:r>
                <w:rPr>
                  <w:rFonts w:ascii="Arial" w:cs="Arial" w:eastAsia="Arial" w:hAnsi="Arial"/>
                  <w:sz w:val="17"/>
                  <w:szCs w:val="17"/>
                  <w:color w:val="0000FF"/>
                  <w:w w:val="93"/>
                </w:rPr>
                <w:t>exhibit 10.1 to the Company’s Current Report on Form 8-K, filed March 31, 2017 (File No. 001-34755))</w:t>
              </w:r>
            </w:hyperlink>
          </w:p>
        </w:tc>
        <w:tc>
          <w:tcPr>
            <w:tcW w:w="27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6"/>
              </w:rPr>
            </w:pPr>
            <w:hyperlink r:id="rId136">
              <w:r>
                <w:rPr>
                  <w:rFonts w:ascii="Arial" w:cs="Arial" w:eastAsia="Arial" w:hAnsi="Arial"/>
                  <w:sz w:val="17"/>
                  <w:szCs w:val="17"/>
                  <w:color w:val="0000FF"/>
                  <w:w w:val="96"/>
                </w:rPr>
                <w:t>Limoneira Company Management Incentive Plan 2009-2010 (Incorporated by reference to exhibit 10.16 of the Company’s Form 10-K, filed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1"/>
              </w:rPr>
            </w:pPr>
            <w:hyperlink r:id="rId136">
              <w:r>
                <w:rPr>
                  <w:rFonts w:ascii="Arial" w:cs="Arial" w:eastAsia="Arial" w:hAnsi="Arial"/>
                  <w:sz w:val="17"/>
                  <w:szCs w:val="17"/>
                  <w:color w:val="0000FF"/>
                  <w:w w:val="91"/>
                </w:rPr>
                <w:t>January 26, 2011 (File No. 001-34755))</w:t>
              </w:r>
            </w:hyperlink>
          </w:p>
        </w:tc>
        <w:tc>
          <w:tcPr>
            <w:tcW w:w="71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8"/>
              </w:rPr>
            </w:pPr>
            <w:hyperlink r:id="rId137">
              <w:r>
                <w:rPr>
                  <w:rFonts w:ascii="Arial" w:cs="Arial" w:eastAsia="Arial" w:hAnsi="Arial"/>
                  <w:sz w:val="17"/>
                  <w:szCs w:val="17"/>
                  <w:color w:val="0000FF"/>
                  <w:w w:val="98"/>
                </w:rPr>
                <w:t>Limoneira Stock Grant Performance Bonus Plan (Incorporated by reference to exhibit 10.15 to the Company’s Registration Statement on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137">
              <w:r>
                <w:rPr>
                  <w:rFonts w:ascii="Arial" w:cs="Arial" w:eastAsia="Arial" w:hAnsi="Arial"/>
                  <w:sz w:val="17"/>
                  <w:szCs w:val="17"/>
                  <w:color w:val="0000FF"/>
                  <w:w w:val="92"/>
                </w:rPr>
                <w:t>Form 10, and amendments thereto, declared effective April 13, 2010 (File No. 000-53885))</w:t>
              </w:r>
            </w:hyperlink>
          </w:p>
        </w:tc>
        <w:tc>
          <w:tcPr>
            <w:tcW w:w="36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rPr>
            </w:pPr>
            <w:hyperlink r:id="rId138">
              <w:r>
                <w:rPr>
                  <w:rFonts w:ascii="Arial" w:cs="Arial" w:eastAsia="Arial" w:hAnsi="Arial"/>
                  <w:sz w:val="17"/>
                  <w:szCs w:val="17"/>
                  <w:color w:val="0000FF"/>
                </w:rPr>
                <w:t>Pre-Annexation and Development Agreement, dated March 3, 2008, by and between the City of Santa Paula and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18"/>
          </w:tcPr>
          <w:p>
            <w:pPr>
              <w:spacing w:after="0" w:line="148" w:lineRule="exact"/>
              <w:rPr>
                <w:rFonts w:ascii="Arial" w:cs="Arial" w:eastAsia="Arial" w:hAnsi="Arial"/>
                <w:sz w:val="17"/>
                <w:szCs w:val="17"/>
                <w:color w:val="0000FF"/>
                <w:w w:val="92"/>
              </w:rPr>
            </w:pPr>
            <w:hyperlink r:id="rId138">
              <w:r>
                <w:rPr>
                  <w:rFonts w:ascii="Arial" w:cs="Arial" w:eastAsia="Arial" w:hAnsi="Arial"/>
                  <w:sz w:val="17"/>
                  <w:szCs w:val="17"/>
                  <w:color w:val="0000FF"/>
                  <w:w w:val="92"/>
                </w:rPr>
                <w:t>(Incorporated by reference to exhibit 10.20 to the Company’s Registration Statement on Form 10, and amendments thereto, declared effective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bottom w:val="single" w:sz="8" w:color="0000FF"/>
            </w:tcBorders>
            <w:gridSpan w:val="2"/>
          </w:tcPr>
          <w:p>
            <w:pPr>
              <w:spacing w:after="0" w:line="148"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April 13, 2010 (File No. 000-53885))</w:t>
              </w:r>
            </w:hyperlink>
          </w:p>
        </w:tc>
        <w:tc>
          <w:tcPr>
            <w:tcW w:w="7440" w:type="dxa"/>
            <w:vAlign w:val="bottom"/>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4"/>
              </w:rPr>
            </w:pPr>
            <w:hyperlink r:id="rId139">
              <w:r>
                <w:rPr>
                  <w:rFonts w:ascii="Arial" w:cs="Arial" w:eastAsia="Arial" w:hAnsi="Arial"/>
                  <w:sz w:val="17"/>
                  <w:szCs w:val="17"/>
                  <w:color w:val="0000FF"/>
                  <w:w w:val="94"/>
                </w:rPr>
                <w:t>Judgment, dated March 7, 1996, United Water Conservation Dist. v. City of San Buenaventura, et al., Case No. 115611, Superior Court of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13"/>
          </w:tcPr>
          <w:p>
            <w:pPr>
              <w:spacing w:after="0" w:line="148" w:lineRule="exact"/>
              <w:rPr>
                <w:rFonts w:ascii="Arial" w:cs="Arial" w:eastAsia="Arial" w:hAnsi="Arial"/>
                <w:sz w:val="17"/>
                <w:szCs w:val="17"/>
                <w:color w:val="0000FF"/>
                <w:w w:val="95"/>
              </w:rPr>
            </w:pPr>
            <w:hyperlink r:id="rId139">
              <w:r>
                <w:rPr>
                  <w:rFonts w:ascii="Arial" w:cs="Arial" w:eastAsia="Arial" w:hAnsi="Arial"/>
                  <w:sz w:val="17"/>
                  <w:szCs w:val="17"/>
                  <w:color w:val="0000FF"/>
                  <w:w w:val="95"/>
                </w:rPr>
                <w:t>State of California, Ventura County (Incorporated by reference to exhibit 10.24 to the Company’s Registration Statement on Form 10,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20" w:type="dxa"/>
            <w:vAlign w:val="bottom"/>
            <w:tcBorders>
              <w:bottom w:val="single" w:sz="8" w:color="0000FF"/>
            </w:tcBorders>
            <w:gridSpan w:val="6"/>
          </w:tcPr>
          <w:p>
            <w:pPr>
              <w:spacing w:after="0" w:line="148" w:lineRule="exact"/>
              <w:rPr>
                <w:rFonts w:ascii="Arial" w:cs="Arial" w:eastAsia="Arial" w:hAnsi="Arial"/>
                <w:sz w:val="17"/>
                <w:szCs w:val="17"/>
                <w:color w:val="0000FF"/>
                <w:w w:val="92"/>
              </w:rPr>
            </w:pPr>
            <w:hyperlink r:id="rId139">
              <w:r>
                <w:rPr>
                  <w:rFonts w:ascii="Arial" w:cs="Arial" w:eastAsia="Arial" w:hAnsi="Arial"/>
                  <w:sz w:val="17"/>
                  <w:szCs w:val="17"/>
                  <w:color w:val="0000FF"/>
                  <w:w w:val="92"/>
                </w:rPr>
                <w:t>amendments thereto, declared effective April 13, 2010 (File No. 000-53885))</w:t>
              </w:r>
            </w:hyperlink>
          </w:p>
        </w:tc>
        <w:tc>
          <w:tcPr>
            <w:tcW w:w="4680" w:type="dxa"/>
            <w:vAlign w:val="bottom"/>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3"/>
              </w:rPr>
            </w:pPr>
            <w:hyperlink r:id="rId140">
              <w:r>
                <w:rPr>
                  <w:rFonts w:ascii="Arial" w:cs="Arial" w:eastAsia="Arial" w:hAnsi="Arial"/>
                  <w:sz w:val="17"/>
                  <w:szCs w:val="17"/>
                  <w:color w:val="0000FF"/>
                  <w:w w:val="93"/>
                </w:rPr>
                <w:t>Option Agreement, dated February 27, 2013, by and among the Company, Jason B. Rushing as Trustee of the Jason B. Rushing Trust, Jennifer</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2"/>
          </w:tcPr>
          <w:p>
            <w:pPr>
              <w:spacing w:after="0" w:line="148" w:lineRule="exact"/>
              <w:rPr>
                <w:rFonts w:ascii="Arial" w:cs="Arial" w:eastAsia="Arial" w:hAnsi="Arial"/>
                <w:sz w:val="17"/>
                <w:szCs w:val="17"/>
                <w:color w:val="0000FF"/>
                <w:w w:val="92"/>
              </w:rPr>
            </w:pPr>
            <w:hyperlink r:id="rId140">
              <w:r>
                <w:rPr>
                  <w:rFonts w:ascii="Arial" w:cs="Arial" w:eastAsia="Arial" w:hAnsi="Arial"/>
                  <w:sz w:val="17"/>
                  <w:szCs w:val="17"/>
                  <w:color w:val="0000FF"/>
                  <w:w w:val="92"/>
                </w:rPr>
                <w:t>R. Rushing as trustee for the Jennifer R. Rushing Revocable trust, Zella A. Rushing as trustee of the 1988 Zella Rushing Trust (Incorporated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r:id="rId140">
              <w:r>
                <w:rPr>
                  <w:rFonts w:ascii="Arial" w:cs="Arial" w:eastAsia="Arial" w:hAnsi="Arial"/>
                  <w:sz w:val="17"/>
                  <w:szCs w:val="17"/>
                  <w:color w:val="0000FF"/>
                </w:rPr>
                <w:t>by reference to exhibit 10.1 of the Company’s Quarterly Report on Form 10-Q, filed June 10, 2013 (File No. 001-34755))</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7"/>
              </w:rPr>
            </w:pPr>
            <w:hyperlink r:id="rId141">
              <w:r>
                <w:rPr>
                  <w:rFonts w:ascii="Arial" w:cs="Arial" w:eastAsia="Arial" w:hAnsi="Arial"/>
                  <w:sz w:val="17"/>
                  <w:szCs w:val="17"/>
                  <w:color w:val="0000FF"/>
                  <w:w w:val="97"/>
                </w:rPr>
                <w:t>Purchase and Sale Agreement and Escrow Instructions, dated April 8, 2013, by and among HM East Ridge LLC, Limoneira Company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19"/>
          </w:tcPr>
          <w:p>
            <w:pPr>
              <w:spacing w:after="0" w:line="148" w:lineRule="exact"/>
              <w:rPr>
                <w:rFonts w:ascii="Arial" w:cs="Arial" w:eastAsia="Arial" w:hAnsi="Arial"/>
                <w:sz w:val="17"/>
                <w:szCs w:val="17"/>
                <w:color w:val="0000FF"/>
                <w:w w:val="97"/>
              </w:rPr>
            </w:pPr>
            <w:hyperlink r:id="rId141">
              <w:r>
                <w:rPr>
                  <w:rFonts w:ascii="Arial" w:cs="Arial" w:eastAsia="Arial" w:hAnsi="Arial"/>
                  <w:sz w:val="17"/>
                  <w:szCs w:val="17"/>
                  <w:color w:val="0000FF"/>
                  <w:w w:val="97"/>
                </w:rPr>
                <w:t>IPDC construction, Inc., (Incorporated by reference to exhibit 10.1 to the Current Report on Form 8-K, filed April 12, 2013 (File No. 001-</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8"/>
              </w:rPr>
            </w:pPr>
            <w:hyperlink r:id="rId141">
              <w:r>
                <w:rPr>
                  <w:rFonts w:ascii="Arial" w:cs="Arial" w:eastAsia="Arial" w:hAnsi="Arial"/>
                  <w:sz w:val="17"/>
                  <w:szCs w:val="17"/>
                  <w:color w:val="0000FF"/>
                  <w:w w:val="88"/>
                </w:rPr>
                <w:t>34755)</w:t>
              </w:r>
              <w:r>
                <w:rPr>
                  <w:rFonts w:ascii="Arial" w:cs="Arial" w:eastAsia="Arial" w:hAnsi="Arial"/>
                  <w:sz w:val="17"/>
                  <w:szCs w:val="17"/>
                  <w:u w:val="single" w:color="auto"/>
                  <w:color w:val="0000FF"/>
                  <w:w w:val="88"/>
                </w:rPr>
                <w:t>)</w:t>
              </w:r>
            </w:hyperlink>
          </w:p>
        </w:tc>
        <w:tc>
          <w:tcPr>
            <w:tcW w:w="20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5"/>
              </w:rPr>
            </w:pPr>
            <w:hyperlink r:id="rId142">
              <w:r>
                <w:rPr>
                  <w:rFonts w:ascii="Arial" w:cs="Arial" w:eastAsia="Arial" w:hAnsi="Arial"/>
                  <w:sz w:val="17"/>
                  <w:szCs w:val="17"/>
                  <w:color w:val="0000FF"/>
                  <w:w w:val="95"/>
                </w:rPr>
                <w:t>Lease Agreement, dated July 1, 2013, by and between the Company and Cadiz, Inc. (Incorporated by reference to exhibit 10.1 to the Current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r:id="rId142">
              <w:r>
                <w:rPr>
                  <w:rFonts w:ascii="Arial" w:cs="Arial" w:eastAsia="Arial" w:hAnsi="Arial"/>
                  <w:sz w:val="17"/>
                  <w:szCs w:val="17"/>
                  <w:color w:val="0000FF"/>
                </w:rPr>
                <w:t>Report on Form 8-K, filed July 2, 2013 (File No. 001-34755))</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6"/>
              </w:rPr>
            </w:pPr>
            <w:hyperlink r:id="rId143">
              <w:r>
                <w:rPr>
                  <w:rFonts w:ascii="Arial" w:cs="Arial" w:eastAsia="Arial" w:hAnsi="Arial"/>
                  <w:sz w:val="17"/>
                  <w:szCs w:val="17"/>
                  <w:color w:val="0000FF"/>
                  <w:w w:val="96"/>
                </w:rPr>
                <w:t>Cadiz-Limoneira Amended and Restated Lease, dated February 3, 2015, by and between Cadiz Real Estate LLC and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2"/>
              </w:rPr>
            </w:pPr>
            <w:hyperlink r:id="rId143">
              <w:r>
                <w:rPr>
                  <w:rFonts w:ascii="Arial" w:cs="Arial" w:eastAsia="Arial" w:hAnsi="Arial"/>
                  <w:sz w:val="17"/>
                  <w:szCs w:val="17"/>
                  <w:color w:val="0000FF"/>
                  <w:w w:val="92"/>
                </w:rPr>
                <w:t>(Incorporated by reference to exhibit 10.1 of the Company’s Quarterly Report on Form 10-Q, filed March 9, 2015 (File No. 001-34755)).</w:t>
              </w:r>
            </w:hyperlink>
          </w:p>
        </w:tc>
        <w:tc>
          <w:tcPr>
            <w:tcW w:w="6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8"/>
              </w:rPr>
            </w:pPr>
            <w:hyperlink r:id="rId144">
              <w:r>
                <w:rPr>
                  <w:rFonts w:ascii="Arial" w:cs="Arial" w:eastAsia="Arial" w:hAnsi="Arial"/>
                  <w:sz w:val="17"/>
                  <w:szCs w:val="17"/>
                  <w:color w:val="0000FF"/>
                  <w:w w:val="98"/>
                </w:rPr>
                <w:t>Agreement and Plan of Merger, dated September 6, 2013, by and among Limoneira Company, ACP Merger Sub, Inc., Associated Citrus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6"/>
          </w:tcPr>
          <w:p>
            <w:pPr>
              <w:spacing w:after="0" w:line="148" w:lineRule="exact"/>
              <w:rPr>
                <w:rFonts w:ascii="Arial" w:cs="Arial" w:eastAsia="Arial" w:hAnsi="Arial"/>
                <w:sz w:val="17"/>
                <w:szCs w:val="17"/>
                <w:color w:val="0000FF"/>
                <w:w w:val="93"/>
              </w:rPr>
            </w:pPr>
            <w:hyperlink r:id="rId144">
              <w:r>
                <w:rPr>
                  <w:rFonts w:ascii="Arial" w:cs="Arial" w:eastAsia="Arial" w:hAnsi="Arial"/>
                  <w:sz w:val="17"/>
                  <w:szCs w:val="17"/>
                  <w:color w:val="0000FF"/>
                  <w:w w:val="93"/>
                </w:rPr>
                <w:t>Packers, Inc., and Mark Spencer, as the Shareholder Representative defined therein (Incorporated by reference to exhibit 10.1 to the Current</w:t>
              </w:r>
            </w:hyperlink>
          </w:p>
        </w:tc>
        <w:tc>
          <w:tcPr>
            <w:tcW w:w="140" w:type="dxa"/>
            <w:vAlign w:val="bottom"/>
            <w:tcBorders>
              <w:bottom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bottom w:val="single" w:sz="8" w:color="0000FF"/>
            </w:tcBorders>
            <w:gridSpan w:val="5"/>
          </w:tcPr>
          <w:p>
            <w:pPr>
              <w:spacing w:after="0" w:line="148" w:lineRule="exact"/>
              <w:rPr>
                <w:rFonts w:ascii="Arial" w:cs="Arial" w:eastAsia="Arial" w:hAnsi="Arial"/>
                <w:sz w:val="17"/>
                <w:szCs w:val="17"/>
                <w:color w:val="0000FF"/>
                <w:w w:val="92"/>
              </w:rPr>
            </w:pPr>
            <w:hyperlink r:id="rId144">
              <w:r>
                <w:rPr>
                  <w:rFonts w:ascii="Arial" w:cs="Arial" w:eastAsia="Arial" w:hAnsi="Arial"/>
                  <w:sz w:val="17"/>
                  <w:szCs w:val="17"/>
                  <w:color w:val="0000FF"/>
                  <w:w w:val="92"/>
                </w:rPr>
                <w:t>Report on form 8-K, filed September 12, 2013 (File No. 001-34755))</w:t>
              </w:r>
            </w:hyperlink>
          </w:p>
        </w:tc>
        <w:tc>
          <w:tcPr>
            <w:tcW w:w="5280" w:type="dxa"/>
            <w:vAlign w:val="bottom"/>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5"/>
              </w:rPr>
            </w:pPr>
            <w:hyperlink r:id="rId145">
              <w:r>
                <w:rPr>
                  <w:rFonts w:ascii="Arial" w:cs="Arial" w:eastAsia="Arial" w:hAnsi="Arial"/>
                  <w:sz w:val="17"/>
                  <w:szCs w:val="17"/>
                  <w:color w:val="0000FF"/>
                  <w:w w:val="95"/>
                </w:rPr>
                <w:t>Purchase and Sale Agreement and Joint Escrow Instructions, dated September 27, 2013, by and between Sun World International, LLC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25"/>
          </w:tcPr>
          <w:p>
            <w:pPr>
              <w:spacing w:after="0" w:line="148" w:lineRule="exact"/>
              <w:rPr>
                <w:rFonts w:ascii="Arial" w:cs="Arial" w:eastAsia="Arial" w:hAnsi="Arial"/>
                <w:sz w:val="17"/>
                <w:szCs w:val="17"/>
                <w:color w:val="0000FF"/>
                <w:w w:val="99"/>
              </w:rPr>
            </w:pPr>
            <w:hyperlink r:id="rId145">
              <w:r>
                <w:rPr>
                  <w:rFonts w:ascii="Arial" w:cs="Arial" w:eastAsia="Arial" w:hAnsi="Arial"/>
                  <w:sz w:val="17"/>
                  <w:szCs w:val="17"/>
                  <w:color w:val="0000FF"/>
                  <w:w w:val="99"/>
                </w:rPr>
                <w:t>Limoneira Company (Incorporated by reference to exhibit 10.1 to the Current Report on Form 8-K, filed October 15, 2013 (File No. 001-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0000FF"/>
            </w:tcBorders>
          </w:tcPr>
          <w:p>
            <w:pPr>
              <w:spacing w:after="0" w:line="148" w:lineRule="exact"/>
              <w:rPr>
                <w:rFonts w:ascii="Arial" w:cs="Arial" w:eastAsia="Arial" w:hAnsi="Arial"/>
                <w:sz w:val="17"/>
                <w:szCs w:val="17"/>
                <w:color w:val="0000FF"/>
                <w:w w:val="88"/>
              </w:rPr>
            </w:pPr>
            <w:hyperlink r:id="rId145">
              <w:r>
                <w:rPr>
                  <w:rFonts w:ascii="Arial" w:cs="Arial" w:eastAsia="Arial" w:hAnsi="Arial"/>
                  <w:sz w:val="17"/>
                  <w:szCs w:val="17"/>
                  <w:color w:val="0000FF"/>
                  <w:w w:val="88"/>
                </w:rPr>
                <w:t>34755)</w:t>
              </w:r>
              <w:r>
                <w:rPr>
                  <w:rFonts w:ascii="Arial" w:cs="Arial" w:eastAsia="Arial" w:hAnsi="Arial"/>
                  <w:sz w:val="17"/>
                  <w:szCs w:val="17"/>
                  <w:u w:val="single" w:color="auto"/>
                  <w:color w:val="0000FF"/>
                  <w:w w:val="88"/>
                </w:rPr>
                <w:t>)</w:t>
              </w:r>
            </w:hyperlink>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rPr>
            </w:pPr>
            <w:hyperlink r:id="rId146">
              <w:r>
                <w:rPr>
                  <w:rFonts w:ascii="Arial" w:cs="Arial" w:eastAsia="Arial" w:hAnsi="Arial"/>
                  <w:sz w:val="17"/>
                  <w:szCs w:val="17"/>
                  <w:color w:val="0000FF"/>
                </w:rPr>
                <w:t>Construction Contract and Agreement, dated October 1, 2013, by and between Limoneira Company and NEXGEN Builders,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r:id="rId146">
              <w:r>
                <w:rPr>
                  <w:rFonts w:ascii="Arial" w:cs="Arial" w:eastAsia="Arial" w:hAnsi="Arial"/>
                  <w:sz w:val="17"/>
                  <w:szCs w:val="17"/>
                  <w:color w:val="0000FF"/>
                  <w:w w:val="92"/>
                </w:rPr>
                <w:t>(Incorporated by reference to exhibit 10.1 to the Current Report on Form 8-K, filed December 4, 2013 (File No. 001-34755))</w:t>
              </w:r>
            </w:hyperlink>
          </w:p>
        </w:tc>
        <w:tc>
          <w:tcPr>
            <w:tcW w:w="1380" w:type="dxa"/>
            <w:vAlign w:val="bottom"/>
            <w:tcBorders>
              <w:top w:val="single" w:sz="8" w:color="0000FF"/>
            </w:tcBorders>
            <w:gridSpan w:val="10"/>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6"/>
          </w:tcPr>
          <w:p>
            <w:pPr>
              <w:spacing w:after="0"/>
              <w:rPr>
                <w:rFonts w:ascii="Arial" w:cs="Arial" w:eastAsia="Arial" w:hAnsi="Arial"/>
                <w:sz w:val="17"/>
                <w:szCs w:val="17"/>
                <w:color w:val="0000FF"/>
                <w:w w:val="95"/>
              </w:rPr>
            </w:pPr>
            <w:hyperlink r:id="rId147">
              <w:r>
                <w:rPr>
                  <w:rFonts w:ascii="Arial" w:cs="Arial" w:eastAsia="Arial" w:hAnsi="Arial"/>
                  <w:sz w:val="17"/>
                  <w:szCs w:val="17"/>
                  <w:color w:val="0000FF"/>
                  <w:w w:val="95"/>
                </w:rPr>
                <w:t>General Conditions of the Contract and Agreement, dated October 1, 2013, by and between Limoneira company and NEXGEN Builders,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r:id="rId147">
              <w:r>
                <w:rPr>
                  <w:rFonts w:ascii="Arial" w:cs="Arial" w:eastAsia="Arial" w:hAnsi="Arial"/>
                  <w:sz w:val="17"/>
                  <w:szCs w:val="17"/>
                  <w:color w:val="0000FF"/>
                  <w:w w:val="92"/>
                </w:rPr>
                <w:t>(Incorporated by reference to exhibit 10.2 to the Current Report on Form 8-K, filed December 4, 2013 (File No. 001-34755))</w:t>
              </w:r>
            </w:hyperlink>
          </w:p>
        </w:tc>
        <w:tc>
          <w:tcPr>
            <w:tcW w:w="1440" w:type="dxa"/>
            <w:vAlign w:val="bottom"/>
            <w:tcBorders>
              <w:top w:val="single" w:sz="8" w:color="0000FF"/>
            </w:tcBorders>
            <w:gridSpan w:val="1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7260" w:type="dxa"/>
            <w:vAlign w:val="bottom"/>
            <w:gridSpan w:val="24"/>
            <w:vMerge w:val="restart"/>
          </w:tcPr>
          <w:p>
            <w:pPr>
              <w:ind w:left="166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9"/>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No.</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260" w:type="dxa"/>
            <w:vAlign w:val="bottom"/>
            <w:gridSpan w:val="2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27"/>
          </w:tcPr>
          <w:p>
            <w:pPr>
              <w:spacing w:after="0"/>
              <w:rPr>
                <w:rFonts w:ascii="Arial" w:cs="Arial" w:eastAsia="Arial" w:hAnsi="Arial"/>
                <w:sz w:val="17"/>
                <w:szCs w:val="17"/>
                <w:color w:val="0000FF"/>
                <w:w w:val="96"/>
              </w:rPr>
            </w:pPr>
            <w:hyperlink r:id="rId149">
              <w:r>
                <w:rPr>
                  <w:rFonts w:ascii="Arial" w:cs="Arial" w:eastAsia="Arial" w:hAnsi="Arial"/>
                  <w:sz w:val="17"/>
                  <w:szCs w:val="17"/>
                  <w:color w:val="0000FF"/>
                  <w:w w:val="96"/>
                </w:rPr>
                <w:t>Purchase and Sale Agreement and Escrow Instructions, dated November 29, 2013, by and between Templeton Santa Barbara, LLC and MI</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7"/>
              </w:rPr>
            </w:pPr>
            <w:hyperlink r:id="rId149">
              <w:r>
                <w:rPr>
                  <w:rFonts w:ascii="Arial" w:cs="Arial" w:eastAsia="Arial" w:hAnsi="Arial"/>
                  <w:sz w:val="17"/>
                  <w:szCs w:val="17"/>
                  <w:color w:val="0000FF"/>
                  <w:w w:val="97"/>
                </w:rPr>
                <w:t>Land, LLC related to the sale of the Sevilla Property (Incorporated by reference to exhibit 10.3 to the Current Report on Form 8-K, filed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Borders>
              <w:bottom w:val="single" w:sz="8" w:color="0000FF"/>
            </w:tcBorders>
            <w:gridSpan w:val="3"/>
          </w:tcPr>
          <w:p>
            <w:pPr>
              <w:spacing w:after="0" w:line="148" w:lineRule="exact"/>
              <w:rPr>
                <w:rFonts w:ascii="Arial" w:cs="Arial" w:eastAsia="Arial" w:hAnsi="Arial"/>
                <w:sz w:val="17"/>
                <w:szCs w:val="17"/>
                <w:color w:val="0000FF"/>
                <w:w w:val="92"/>
              </w:rPr>
            </w:pPr>
            <w:hyperlink r:id="rId149">
              <w:r>
                <w:rPr>
                  <w:rFonts w:ascii="Arial" w:cs="Arial" w:eastAsia="Arial" w:hAnsi="Arial"/>
                  <w:sz w:val="17"/>
                  <w:szCs w:val="17"/>
                  <w:color w:val="0000FF"/>
                  <w:w w:val="92"/>
                </w:rPr>
                <w:t>December 4, 2013 (File No. 001-34755))</w:t>
              </w:r>
            </w:hyperlink>
          </w:p>
        </w:tc>
        <w:tc>
          <w:tcPr>
            <w:tcW w:w="712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6"/>
              </w:rPr>
            </w:pPr>
            <w:hyperlink r:id="rId150">
              <w:r>
                <w:rPr>
                  <w:rFonts w:ascii="Arial" w:cs="Arial" w:eastAsia="Arial" w:hAnsi="Arial"/>
                  <w:sz w:val="17"/>
                  <w:szCs w:val="17"/>
                  <w:color w:val="0000FF"/>
                  <w:w w:val="96"/>
                </w:rPr>
                <w:t>Purchase and Sale Agreement and Escrow Instructions, dated November 29, 2013, by and between Templeton Santa Barbara, LLC and MI</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3"/>
              </w:rPr>
            </w:pPr>
            <w:hyperlink r:id="rId150">
              <w:r>
                <w:rPr>
                  <w:rFonts w:ascii="Arial" w:cs="Arial" w:eastAsia="Arial" w:hAnsi="Arial"/>
                  <w:sz w:val="17"/>
                  <w:szCs w:val="17"/>
                  <w:color w:val="0000FF"/>
                  <w:w w:val="93"/>
                </w:rPr>
                <w:t>Land, LLC related to the sale of the Pacific Crest Property (Incorporated by reference to exhibit 10.4 to the Current Report on Form 8-K, filed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Borders>
              <w:bottom w:val="single" w:sz="8" w:color="0000FF"/>
            </w:tcBorders>
            <w:gridSpan w:val="3"/>
          </w:tcPr>
          <w:p>
            <w:pPr>
              <w:spacing w:after="0" w:line="148" w:lineRule="exact"/>
              <w:rPr>
                <w:rFonts w:ascii="Arial" w:cs="Arial" w:eastAsia="Arial" w:hAnsi="Arial"/>
                <w:sz w:val="17"/>
                <w:szCs w:val="17"/>
                <w:color w:val="0000FF"/>
                <w:w w:val="92"/>
              </w:rPr>
            </w:pPr>
            <w:hyperlink r:id="rId150">
              <w:r>
                <w:rPr>
                  <w:rFonts w:ascii="Arial" w:cs="Arial" w:eastAsia="Arial" w:hAnsi="Arial"/>
                  <w:sz w:val="17"/>
                  <w:szCs w:val="17"/>
                  <w:color w:val="0000FF"/>
                  <w:w w:val="92"/>
                </w:rPr>
                <w:t>December 4, 2013 (File No. 001-34755))</w:t>
              </w:r>
            </w:hyperlink>
          </w:p>
        </w:tc>
        <w:tc>
          <w:tcPr>
            <w:tcW w:w="7240" w:type="dxa"/>
            <w:vAlign w:val="bottom"/>
            <w:gridSpan w:val="2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6"/>
              </w:rPr>
            </w:pPr>
            <w:hyperlink r:id="rId151">
              <w:r>
                <w:rPr>
                  <w:rFonts w:ascii="Arial" w:cs="Arial" w:eastAsia="Arial" w:hAnsi="Arial"/>
                  <w:sz w:val="17"/>
                  <w:szCs w:val="17"/>
                  <w:color w:val="0000FF"/>
                  <w:w w:val="96"/>
                </w:rPr>
                <w:t>Series B-2 Preferred Stock Purchase Agreement, dated March 21, 2014, by and between Limoneira Company and WPI-ACP Holdings, LLC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51">
              <w:r>
                <w:rPr>
                  <w:rFonts w:ascii="Arial" w:cs="Arial" w:eastAsia="Arial" w:hAnsi="Arial"/>
                  <w:sz w:val="17"/>
                  <w:szCs w:val="17"/>
                  <w:color w:val="0000FF"/>
                </w:rPr>
                <w:t>(Incorporated by reference to exhibit 10.1 to the Current Report on Form 8-K, filed March 24, 2014 (File No. 001-34755))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6"/>
              </w:rPr>
            </w:pPr>
            <w:hyperlink r:id="rId152">
              <w:r>
                <w:rPr>
                  <w:rFonts w:ascii="Arial" w:cs="Arial" w:eastAsia="Arial" w:hAnsi="Arial"/>
                  <w:sz w:val="17"/>
                  <w:szCs w:val="17"/>
                  <w:color w:val="0000FF"/>
                  <w:w w:val="96"/>
                </w:rPr>
                <w:t>Contribution Agreement, dated September 4, 2015, by and among Limoneira Company and Lewis Santa Paula Member, LLC (Incorporated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6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r:id="rId152">
              <w:r>
                <w:rPr>
                  <w:rFonts w:ascii="Arial" w:cs="Arial" w:eastAsia="Arial" w:hAnsi="Arial"/>
                  <w:sz w:val="17"/>
                  <w:szCs w:val="17"/>
                  <w:color w:val="0000FF"/>
                  <w:w w:val="92"/>
                </w:rPr>
                <w:t>by reference to exhibit 10.1 to the Company’s Current Report on Form 8-K, filed September 10, 2015 (File No. 001-34755))</w:t>
              </w:r>
            </w:hyperlink>
          </w:p>
        </w:tc>
        <w:tc>
          <w:tcPr>
            <w:tcW w:w="14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9"/>
              </w:rPr>
            </w:pPr>
            <w:hyperlink r:id="rId153">
              <w:r>
                <w:rPr>
                  <w:rFonts w:ascii="Arial" w:cs="Arial" w:eastAsia="Arial" w:hAnsi="Arial"/>
                  <w:sz w:val="17"/>
                  <w:szCs w:val="17"/>
                  <w:color w:val="0000FF"/>
                  <w:w w:val="99"/>
                </w:rPr>
                <w:t>First Amended and Restated Limited Liability Company Agreement of Limoneira Lewis Community Builders, LLC, dated November 10,</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5"/>
          </w:tcPr>
          <w:p>
            <w:pPr>
              <w:spacing w:after="0" w:line="148" w:lineRule="exact"/>
              <w:rPr>
                <w:rFonts w:ascii="Arial" w:cs="Arial" w:eastAsia="Arial" w:hAnsi="Arial"/>
                <w:sz w:val="17"/>
                <w:szCs w:val="17"/>
                <w:color w:val="0000FF"/>
                <w:w w:val="98"/>
              </w:rPr>
            </w:pPr>
            <w:hyperlink r:id="rId153">
              <w:r>
                <w:rPr>
                  <w:rFonts w:ascii="Arial" w:cs="Arial" w:eastAsia="Arial" w:hAnsi="Arial"/>
                  <w:sz w:val="17"/>
                  <w:szCs w:val="17"/>
                  <w:color w:val="0000FF"/>
                  <w:w w:val="98"/>
                </w:rPr>
                <w:t>2015, by and among Limoneira EA1 Land LLC and Lewis Santa Paula Member, LLC (Incorporated by reference to exhibit 10.1 to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25"/>
          </w:tcPr>
          <w:p>
            <w:pPr>
              <w:spacing w:after="0" w:line="148" w:lineRule="exact"/>
              <w:rPr>
                <w:rFonts w:ascii="Arial" w:cs="Arial" w:eastAsia="Arial" w:hAnsi="Arial"/>
                <w:sz w:val="17"/>
                <w:szCs w:val="17"/>
                <w:color w:val="0000FF"/>
              </w:rPr>
            </w:pPr>
            <w:hyperlink r:id="rId153">
              <w:r>
                <w:rPr>
                  <w:rFonts w:ascii="Arial" w:cs="Arial" w:eastAsia="Arial" w:hAnsi="Arial"/>
                  <w:sz w:val="17"/>
                  <w:szCs w:val="17"/>
                  <w:color w:val="0000FF"/>
                </w:rPr>
                <w:t>Company’s Current Report on Form 8-K, filed November 16, 2015 (File No. 001-34755))</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rPr>
            </w:pPr>
            <w:hyperlink r:id="rId154">
              <w:r>
                <w:rPr>
                  <w:rFonts w:ascii="Arial" w:cs="Arial" w:eastAsia="Arial" w:hAnsi="Arial"/>
                  <w:sz w:val="17"/>
                  <w:szCs w:val="17"/>
                  <w:color w:val="0000FF"/>
                </w:rPr>
                <w:t>Interim Funding Agreement, dated December 1, 2015, between Limoneira and Wells Fargo Equipment Finance, Inc.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2"/>
              </w:rPr>
            </w:pPr>
            <w:hyperlink r:id="rId154">
              <w:r>
                <w:rPr>
                  <w:rFonts w:ascii="Arial" w:cs="Arial" w:eastAsia="Arial" w:hAnsi="Arial"/>
                  <w:sz w:val="17"/>
                  <w:szCs w:val="17"/>
                  <w:color w:val="0000FF"/>
                  <w:w w:val="92"/>
                </w:rPr>
                <w:t>reference to exhibit 10.1 to the Company’s Current Report on Form 8-K, filed December 22, 2015 (File No. 001-34755))</w:t>
              </w:r>
            </w:hyperlink>
          </w:p>
        </w:tc>
        <w:tc>
          <w:tcPr>
            <w:tcW w:w="15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8"/>
              </w:rPr>
            </w:pPr>
            <w:hyperlink r:id="rId155">
              <w:r>
                <w:rPr>
                  <w:rFonts w:ascii="Arial" w:cs="Arial" w:eastAsia="Arial" w:hAnsi="Arial"/>
                  <w:sz w:val="17"/>
                  <w:szCs w:val="17"/>
                  <w:color w:val="0000FF"/>
                  <w:w w:val="98"/>
                </w:rPr>
                <w:t>Master Loan and Security Agreement, dated December 1, 2015, between Limoneira Company and Wells Fargo Equipment Finance,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2"/>
              </w:rPr>
            </w:pPr>
            <w:hyperlink r:id="rId155">
              <w:r>
                <w:rPr>
                  <w:rFonts w:ascii="Arial" w:cs="Arial" w:eastAsia="Arial" w:hAnsi="Arial"/>
                  <w:sz w:val="17"/>
                  <w:szCs w:val="17"/>
                  <w:color w:val="0000FF"/>
                  <w:w w:val="92"/>
                </w:rPr>
                <w:t>(Incorporated by reference to exhibit 10.1 to the Company’s Quarterly Report on Form 10-Q, filed March 10, 2016 (File No. 001- 34755))</w:t>
              </w:r>
            </w:hyperlink>
          </w:p>
        </w:tc>
        <w:tc>
          <w:tcPr>
            <w:tcW w:w="5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5"/>
              </w:rPr>
            </w:pPr>
            <w:hyperlink r:id="rId156">
              <w:r>
                <w:rPr>
                  <w:rFonts w:ascii="Arial" w:cs="Arial" w:eastAsia="Arial" w:hAnsi="Arial"/>
                  <w:sz w:val="17"/>
                  <w:szCs w:val="17"/>
                  <w:color w:val="0000FF"/>
                  <w:w w:val="95"/>
                </w:rPr>
                <w:t>Loan Schedule to Master Loan and Security Agreement, dated January 20, 2016, between Limoneira Company and Wells Fargo Equipment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4"/>
          </w:tcPr>
          <w:p>
            <w:pPr>
              <w:spacing w:after="0" w:line="148" w:lineRule="exact"/>
              <w:rPr>
                <w:rFonts w:ascii="Arial" w:cs="Arial" w:eastAsia="Arial" w:hAnsi="Arial"/>
                <w:sz w:val="17"/>
                <w:szCs w:val="17"/>
                <w:color w:val="0000FF"/>
                <w:w w:val="95"/>
              </w:rPr>
            </w:pPr>
            <w:hyperlink r:id="rId156">
              <w:r>
                <w:rPr>
                  <w:rFonts w:ascii="Arial" w:cs="Arial" w:eastAsia="Arial" w:hAnsi="Arial"/>
                  <w:sz w:val="17"/>
                  <w:szCs w:val="17"/>
                  <w:color w:val="0000FF"/>
                  <w:w w:val="95"/>
                </w:rPr>
                <w:t>Finance, Inc. (Incorporated by reference to exhibit 10.2 to the Company’s Quarterly Report on Form 10-Q, filed March 10, 2016 (File No.</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0"/>
              </w:rPr>
            </w:pPr>
            <w:hyperlink r:id="rId156">
              <w:r>
                <w:rPr>
                  <w:rFonts w:ascii="Arial" w:cs="Arial" w:eastAsia="Arial" w:hAnsi="Arial"/>
                  <w:sz w:val="17"/>
                  <w:szCs w:val="17"/>
                  <w:color w:val="0000FF"/>
                  <w:w w:val="90"/>
                </w:rPr>
                <w:t>001-34755))</w:t>
              </w:r>
            </w:hyperlink>
          </w:p>
        </w:tc>
        <w:tc>
          <w:tcPr>
            <w:tcW w:w="1980" w:type="dxa"/>
            <w:vAlign w:val="bottom"/>
            <w:tcBorders>
              <w:top w:val="single" w:sz="8" w:color="0000FF"/>
            </w:tcBorders>
          </w:tcPr>
          <w:p>
            <w:pPr>
              <w:spacing w:after="0"/>
              <w:rPr>
                <w:sz w:val="12"/>
                <w:szCs w:val="12"/>
                <w:color w:val="auto"/>
              </w:rPr>
            </w:pPr>
          </w:p>
        </w:tc>
        <w:tc>
          <w:tcPr>
            <w:tcW w:w="33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4"/>
              </w:rPr>
            </w:pPr>
            <w:hyperlink r:id="rId157">
              <w:r>
                <w:rPr>
                  <w:rFonts w:ascii="Arial" w:cs="Arial" w:eastAsia="Arial" w:hAnsi="Arial"/>
                  <w:sz w:val="17"/>
                  <w:szCs w:val="17"/>
                  <w:color w:val="0000FF"/>
                  <w:w w:val="94"/>
                </w:rPr>
                <w:t>Promissory Note and Loan Agreement, dated February 11, 2016, between Limoneira Company and Farm Credit West, FLCA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57">
              <w:r>
                <w:rPr>
                  <w:rFonts w:ascii="Arial" w:cs="Arial" w:eastAsia="Arial" w:hAnsi="Arial"/>
                  <w:sz w:val="17"/>
                  <w:szCs w:val="17"/>
                  <w:color w:val="0000FF"/>
                </w:rPr>
                <w:t>reference to exhibit 10.1 to the Company’s Current Report on Form 8-K, filed February 18, 2016 (File No. 001-34755))</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18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rPr>
            </w:pPr>
            <w:hyperlink r:id="rId158">
              <w:r>
                <w:rPr>
                  <w:rFonts w:ascii="Arial" w:cs="Arial" w:eastAsia="Arial" w:hAnsi="Arial"/>
                  <w:sz w:val="17"/>
                  <w:szCs w:val="17"/>
                  <w:color w:val="0000FF"/>
                </w:rPr>
                <w:t>Lease Agreement, dated November 10, 2015, by and among Limoneira Company and Limoneira Lewis Community Builders, LLC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6"/>
          </w:tcPr>
          <w:p>
            <w:pPr>
              <w:spacing w:after="0" w:line="148" w:lineRule="exact"/>
              <w:rPr>
                <w:rFonts w:ascii="Arial" w:cs="Arial" w:eastAsia="Arial" w:hAnsi="Arial"/>
                <w:sz w:val="17"/>
                <w:szCs w:val="17"/>
                <w:color w:val="0000FF"/>
                <w:w w:val="96"/>
              </w:rPr>
            </w:pPr>
            <w:hyperlink r:id="rId158">
              <w:r>
                <w:rPr>
                  <w:rFonts w:ascii="Arial" w:cs="Arial" w:eastAsia="Arial" w:hAnsi="Arial"/>
                  <w:sz w:val="17"/>
                  <w:szCs w:val="17"/>
                  <w:color w:val="0000FF"/>
                  <w:w w:val="96"/>
                </w:rPr>
                <w:t>(Incorporated by reference to exhibit 10.2 to the Company’s Current Report on Form 8-K, filed November 16, 2015 (File No. 001-34755)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18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4"/>
              </w:rPr>
            </w:pPr>
            <w:hyperlink r:id="rId159">
              <w:r>
                <w:rPr>
                  <w:rFonts w:ascii="Arial" w:cs="Arial" w:eastAsia="Arial" w:hAnsi="Arial"/>
                  <w:sz w:val="17"/>
                  <w:szCs w:val="17"/>
                  <w:color w:val="0000FF"/>
                  <w:w w:val="94"/>
                </w:rPr>
                <w:t>Retained Property Development Agreement, dated November 10, 2015, by and among Limoneira Company and Limoneira Lewis Community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8" w:lineRule="exact"/>
              <w:rPr>
                <w:rFonts w:ascii="Arial" w:cs="Arial" w:eastAsia="Arial" w:hAnsi="Arial"/>
                <w:sz w:val="17"/>
                <w:szCs w:val="17"/>
                <w:color w:val="0000FF"/>
                <w:w w:val="96"/>
              </w:rPr>
            </w:pPr>
            <w:hyperlink r:id="rId159">
              <w:r>
                <w:rPr>
                  <w:rFonts w:ascii="Arial" w:cs="Arial" w:eastAsia="Arial" w:hAnsi="Arial"/>
                  <w:sz w:val="17"/>
                  <w:szCs w:val="17"/>
                  <w:color w:val="0000FF"/>
                  <w:w w:val="96"/>
                </w:rPr>
                <w:t>Builders, LLC (Incorporated by reference to exhibit 10.3 to the Company’s Current Report on Form 8-K filed, November 16, 2015 (File No.</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9"/>
              </w:rPr>
            </w:pPr>
            <w:hyperlink r:id="rId159">
              <w:r>
                <w:rPr>
                  <w:rFonts w:ascii="Arial" w:cs="Arial" w:eastAsia="Arial" w:hAnsi="Arial"/>
                  <w:sz w:val="17"/>
                  <w:szCs w:val="17"/>
                  <w:color w:val="0000FF"/>
                  <w:w w:val="89"/>
                </w:rPr>
                <w:t>001-34755)</w:t>
              </w:r>
            </w:hyperlink>
          </w:p>
        </w:tc>
        <w:tc>
          <w:tcPr>
            <w:tcW w:w="6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33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10.37†</w:t>
            </w: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4"/>
              </w:rPr>
            </w:pPr>
            <w:hyperlink r:id="rId160">
              <w:r>
                <w:rPr>
                  <w:rFonts w:ascii="Arial" w:cs="Arial" w:eastAsia="Arial" w:hAnsi="Arial"/>
                  <w:sz w:val="17"/>
                  <w:szCs w:val="17"/>
                  <w:color w:val="0000FF"/>
                  <w:w w:val="94"/>
                </w:rPr>
                <w:t>Form of Award Agreement under the Limoneira Company 2010 Amended and Restated Omnibus Incentive Plan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3"/>
              </w:rPr>
            </w:pPr>
            <w:hyperlink r:id="rId160">
              <w:r>
                <w:rPr>
                  <w:rFonts w:ascii="Arial" w:cs="Arial" w:eastAsia="Arial" w:hAnsi="Arial"/>
                  <w:sz w:val="17"/>
                  <w:szCs w:val="17"/>
                  <w:color w:val="0000FF"/>
                  <w:w w:val="93"/>
                </w:rPr>
                <w:t>exhibit 10.8 to the Company’s Quarterly Report on Form 10-Q, filed March 10, 2016 (File No. 001-34755))</w:t>
              </w:r>
            </w:hyperlink>
          </w:p>
        </w:tc>
        <w:tc>
          <w:tcPr>
            <w:tcW w:w="25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7"/>
                <w:szCs w:val="17"/>
                <w:color w:val="0000FF"/>
                <w:w w:val="98"/>
              </w:rPr>
            </w:pPr>
            <w:hyperlink r:id="rId161">
              <w:r>
                <w:rPr>
                  <w:rFonts w:ascii="Arial" w:cs="Arial" w:eastAsia="Arial" w:hAnsi="Arial"/>
                  <w:sz w:val="17"/>
                  <w:szCs w:val="17"/>
                  <w:color w:val="0000FF"/>
                  <w:w w:val="98"/>
                </w:rPr>
                <w:t>Master Loan Agreement, dated June 19, 2017, between Limoneira Company and Farm Credit West, FLCA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2"/>
              </w:rPr>
            </w:pPr>
            <w:hyperlink r:id="rId161">
              <w:r>
                <w:rPr>
                  <w:rFonts w:ascii="Arial" w:cs="Arial" w:eastAsia="Arial" w:hAnsi="Arial"/>
                  <w:sz w:val="17"/>
                  <w:szCs w:val="17"/>
                  <w:color w:val="0000FF"/>
                  <w:w w:val="92"/>
                </w:rPr>
                <w:t>exhibit 10.1 to the Company’s Current Report on Form 8-K, file June 21, 2017 (File No. 001-34755))</w:t>
              </w:r>
            </w:hyperlink>
          </w:p>
        </w:tc>
        <w:tc>
          <w:tcPr>
            <w:tcW w:w="2960" w:type="dxa"/>
            <w:vAlign w:val="bottom"/>
            <w:tcBorders>
              <w:top w:val="single" w:sz="8" w:color="0000FF"/>
            </w:tcBorders>
            <w:gridSpan w:val="14"/>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00" w:type="dxa"/>
            <w:vAlign w:val="bottom"/>
            <w:gridSpan w:val="27"/>
            <w:vMerge w:val="restart"/>
          </w:tcPr>
          <w:p>
            <w:pPr>
              <w:ind w:left="23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9"/>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700" w:type="dxa"/>
            <w:vAlign w:val="bottom"/>
            <w:tcBorders>
              <w:bottom w:val="single" w:sz="8" w:color="auto"/>
            </w:tcBorders>
            <w:gridSpan w:val="2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10.39†</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4"/>
              </w:rPr>
            </w:pPr>
            <w:hyperlink r:id="rId163">
              <w:r>
                <w:rPr>
                  <w:rFonts w:ascii="Arial" w:cs="Arial" w:eastAsia="Arial" w:hAnsi="Arial"/>
                  <w:sz w:val="17"/>
                  <w:szCs w:val="17"/>
                  <w:color w:val="0000FF"/>
                  <w:w w:val="94"/>
                </w:rPr>
                <w:t>Revolving Credit Facility Promissory Note and Supplement to Master Loan Agreement, dated June 19, 2017, between Limoneira Company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23"/>
          </w:tcPr>
          <w:p>
            <w:pPr>
              <w:spacing w:after="0" w:line="148" w:lineRule="exact"/>
              <w:rPr>
                <w:rFonts w:ascii="Arial" w:cs="Arial" w:eastAsia="Arial" w:hAnsi="Arial"/>
                <w:sz w:val="17"/>
                <w:szCs w:val="17"/>
                <w:color w:val="0000FF"/>
                <w:w w:val="96"/>
              </w:rPr>
            </w:pPr>
            <w:hyperlink r:id="rId163">
              <w:r>
                <w:rPr>
                  <w:rFonts w:ascii="Arial" w:cs="Arial" w:eastAsia="Arial" w:hAnsi="Arial"/>
                  <w:sz w:val="17"/>
                  <w:szCs w:val="17"/>
                  <w:color w:val="0000FF"/>
                  <w:w w:val="96"/>
                </w:rPr>
                <w:t>and Farm Credit West FLCA (Incorporated by reference to exhibit 10.2 to the Company’s Current Report on Form 8-K, filed June 21, 2017</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gridSpan w:val="29"/>
          </w:tcPr>
          <w:p>
            <w:pPr>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9"/>
              </w:rPr>
            </w:pPr>
            <w:hyperlink r:id="rId164">
              <w:r>
                <w:rPr>
                  <w:rFonts w:ascii="Arial" w:cs="Arial" w:eastAsia="Arial" w:hAnsi="Arial"/>
                  <w:sz w:val="17"/>
                  <w:szCs w:val="17"/>
                  <w:color w:val="0000FF"/>
                  <w:w w:val="99"/>
                </w:rPr>
                <w:t>Non-revolving Credit Facility Promissory Note and Supplement to Master Loan Agreement, dated June 19, 2017, between Limoneira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7"/>
          </w:tcPr>
          <w:p>
            <w:pPr>
              <w:spacing w:after="0" w:line="148" w:lineRule="exact"/>
              <w:rPr>
                <w:rFonts w:ascii="Arial" w:cs="Arial" w:eastAsia="Arial" w:hAnsi="Arial"/>
                <w:sz w:val="17"/>
                <w:szCs w:val="17"/>
                <w:color w:val="0000FF"/>
                <w:w w:val="94"/>
              </w:rPr>
            </w:pPr>
            <w:hyperlink r:id="rId164">
              <w:r>
                <w:rPr>
                  <w:rFonts w:ascii="Arial" w:cs="Arial" w:eastAsia="Arial" w:hAnsi="Arial"/>
                  <w:sz w:val="17"/>
                  <w:szCs w:val="17"/>
                  <w:color w:val="0000FF"/>
                  <w:w w:val="94"/>
                </w:rPr>
                <w:t>Company and Farm Credit West FLCA (Incorporated by reference to exhibit 10.3 to the Company’s Current Report on Form 8-K, filed June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2"/>
              </w:rPr>
            </w:pPr>
            <w:hyperlink r:id="rId164">
              <w:r>
                <w:rPr>
                  <w:rFonts w:ascii="Arial" w:cs="Arial" w:eastAsia="Arial" w:hAnsi="Arial"/>
                  <w:sz w:val="17"/>
                  <w:szCs w:val="17"/>
                  <w:color w:val="0000FF"/>
                  <w:w w:val="92"/>
                </w:rPr>
                <w:t>21, 2017 (File No. 001-24755))</w:t>
              </w:r>
            </w:hyperlink>
          </w:p>
        </w:tc>
        <w:tc>
          <w:tcPr>
            <w:tcW w:w="76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10.41†</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2"/>
              </w:rPr>
            </w:pPr>
            <w:hyperlink r:id="rId165">
              <w:r>
                <w:rPr>
                  <w:rFonts w:ascii="Arial" w:cs="Arial" w:eastAsia="Arial" w:hAnsi="Arial"/>
                  <w:sz w:val="17"/>
                  <w:szCs w:val="17"/>
                  <w:color w:val="0000FF"/>
                  <w:w w:val="92"/>
                </w:rPr>
                <w:t>Form of Award Agreement under the Limoneira Company 2010 Amended and Restated Omnibus Incentive Plan (Incorporated by reference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exhibit 10.1 to the Company’s Current Report on Form 8-K, filed January 29, 2018 (File No. 001-34755))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4"/>
              </w:rPr>
            </w:pPr>
            <w:hyperlink r:id="rId166">
              <w:r>
                <w:rPr>
                  <w:rFonts w:ascii="Arial" w:cs="Arial" w:eastAsia="Arial" w:hAnsi="Arial"/>
                  <w:sz w:val="17"/>
                  <w:szCs w:val="17"/>
                  <w:color w:val="0000FF"/>
                  <w:w w:val="94"/>
                </w:rPr>
                <w:t>Revolving Credit Facility Supplement, dated January 29, 2018, between Limoneira Company and Farm Credit West, PCA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reference to exhibit 10.1 to the Company’s Current Report on Form 8-K, filed February 1, 2018 (File No. 001-34755))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4"/>
              </w:rPr>
            </w:pPr>
            <w:hyperlink r:id="rId167">
              <w:r>
                <w:rPr>
                  <w:rFonts w:ascii="Arial" w:cs="Arial" w:eastAsia="Arial" w:hAnsi="Arial"/>
                  <w:sz w:val="17"/>
                  <w:szCs w:val="17"/>
                  <w:color w:val="0000FF"/>
                  <w:w w:val="94"/>
                </w:rPr>
                <w:t>Line of Credit Loan Agreement, dated February 22, 2018, by and between Limoneira Lewis Community Builders, LLC and Bank of America,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13"/>
          </w:tcPr>
          <w:p>
            <w:pPr>
              <w:spacing w:after="0" w:line="148" w:lineRule="exact"/>
              <w:rPr>
                <w:rFonts w:ascii="Arial" w:cs="Arial" w:eastAsia="Arial" w:hAnsi="Arial"/>
                <w:sz w:val="17"/>
                <w:szCs w:val="17"/>
                <w:color w:val="0000FF"/>
                <w:w w:val="93"/>
              </w:rPr>
            </w:pPr>
            <w:hyperlink r:id="rId167">
              <w:r>
                <w:rPr>
                  <w:rFonts w:ascii="Arial" w:cs="Arial" w:eastAsia="Arial" w:hAnsi="Arial"/>
                  <w:sz w:val="17"/>
                  <w:szCs w:val="17"/>
                  <w:color w:val="0000FF"/>
                  <w:w w:val="93"/>
                </w:rPr>
                <w:t>N.A. (Incorporated by reference to exhibit 10.1 to the Company’s Current Report on Form 8-K, filed March 2, 2018 (File No. 001-34755))</w:t>
              </w:r>
            </w:hyperlink>
          </w:p>
        </w:tc>
        <w:tc>
          <w:tcPr>
            <w:tcW w:w="5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4"/>
              </w:rPr>
            </w:pPr>
            <w:hyperlink r:id="rId168">
              <w:r>
                <w:rPr>
                  <w:rFonts w:ascii="Arial" w:cs="Arial" w:eastAsia="Arial" w:hAnsi="Arial"/>
                  <w:sz w:val="17"/>
                  <w:szCs w:val="17"/>
                  <w:color w:val="0000FF"/>
                  <w:w w:val="94"/>
                </w:rPr>
                <w:t>Unsecured Line of Credit Promissory Note, dated February 22, 2018, by and between Limoneira Lewis Community Builders, LLC and Bank</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8"/>
          </w:tcPr>
          <w:p>
            <w:pPr>
              <w:spacing w:after="0" w:line="148" w:lineRule="exact"/>
              <w:rPr>
                <w:rFonts w:ascii="Arial" w:cs="Arial" w:eastAsia="Arial" w:hAnsi="Arial"/>
                <w:sz w:val="17"/>
                <w:szCs w:val="17"/>
                <w:color w:val="0000FF"/>
                <w:w w:val="97"/>
              </w:rPr>
            </w:pPr>
            <w:hyperlink r:id="rId168">
              <w:r>
                <w:rPr>
                  <w:rFonts w:ascii="Arial" w:cs="Arial" w:eastAsia="Arial" w:hAnsi="Arial"/>
                  <w:sz w:val="17"/>
                  <w:szCs w:val="17"/>
                  <w:color w:val="0000FF"/>
                  <w:w w:val="97"/>
                </w:rPr>
                <w:t>of America, N.A. (Incorporated by reference to exhibit 10.2 to the Company’s Current Report on Form 8-K, filed March 2, 2018 (File No.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0"/>
              </w:rPr>
            </w:pPr>
            <w:hyperlink r:id="rId168">
              <w:r>
                <w:rPr>
                  <w:rFonts w:ascii="Arial" w:cs="Arial" w:eastAsia="Arial" w:hAnsi="Arial"/>
                  <w:sz w:val="17"/>
                  <w:szCs w:val="17"/>
                  <w:color w:val="0000FF"/>
                  <w:w w:val="90"/>
                </w:rPr>
                <w:t>001-34755))</w:t>
              </w:r>
            </w:hyperlink>
          </w:p>
        </w:tc>
        <w:tc>
          <w:tcPr>
            <w:tcW w:w="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3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9"/>
              </w:rPr>
            </w:pPr>
            <w:hyperlink r:id="rId169">
              <w:r>
                <w:rPr>
                  <w:rFonts w:ascii="Arial" w:cs="Arial" w:eastAsia="Arial" w:hAnsi="Arial"/>
                  <w:sz w:val="17"/>
                  <w:szCs w:val="17"/>
                  <w:color w:val="0000FF"/>
                  <w:w w:val="99"/>
                </w:rPr>
                <w:t>Guaranty Agreement, dated February 22, 2018, by and among Richard A. Lewis, individually and as Trustee of the Richard A. Lewis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19"/>
          </w:tcPr>
          <w:p>
            <w:pPr>
              <w:spacing w:after="0" w:line="148" w:lineRule="exact"/>
              <w:rPr>
                <w:rFonts w:ascii="Arial" w:cs="Arial" w:eastAsia="Arial" w:hAnsi="Arial"/>
                <w:sz w:val="17"/>
                <w:szCs w:val="17"/>
                <w:color w:val="0000FF"/>
                <w:w w:val="92"/>
              </w:rPr>
            </w:pPr>
            <w:hyperlink r:id="rId169">
              <w:r>
                <w:rPr>
                  <w:rFonts w:ascii="Arial" w:cs="Arial" w:eastAsia="Arial" w:hAnsi="Arial"/>
                  <w:sz w:val="17"/>
                  <w:szCs w:val="17"/>
                  <w:color w:val="0000FF"/>
                  <w:w w:val="92"/>
                </w:rPr>
                <w:t>Revocable Trust u/d/t dated August 16, 2004 , Robert E. Lewis, individually and as Trustee of the Robert E. Lewis Revocable Trust u/d/t dated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24"/>
          </w:tcPr>
          <w:p>
            <w:pPr>
              <w:spacing w:after="0" w:line="148" w:lineRule="exact"/>
              <w:rPr>
                <w:rFonts w:ascii="Arial" w:cs="Arial" w:eastAsia="Arial" w:hAnsi="Arial"/>
                <w:sz w:val="17"/>
                <w:szCs w:val="17"/>
                <w:color w:val="0000FF"/>
                <w:w w:val="93"/>
              </w:rPr>
            </w:pPr>
            <w:hyperlink r:id="rId169">
              <w:r>
                <w:rPr>
                  <w:rFonts w:ascii="Arial" w:cs="Arial" w:eastAsia="Arial" w:hAnsi="Arial"/>
                  <w:sz w:val="17"/>
                  <w:szCs w:val="17"/>
                  <w:color w:val="0000FF"/>
                  <w:w w:val="93"/>
                </w:rPr>
                <w:t>August 17, 2004, Roger G. Lewis, individually and as Trustee of the Roger G. Lewis Revocable Trust u/d/t dated August 20, 2004, Randall W.</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6"/>
          </w:tcPr>
          <w:p>
            <w:pPr>
              <w:spacing w:after="0" w:line="148" w:lineRule="exact"/>
              <w:rPr>
                <w:rFonts w:ascii="Arial" w:cs="Arial" w:eastAsia="Arial" w:hAnsi="Arial"/>
                <w:sz w:val="17"/>
                <w:szCs w:val="17"/>
                <w:color w:val="0000FF"/>
                <w:w w:val="98"/>
              </w:rPr>
            </w:pPr>
            <w:hyperlink r:id="rId169">
              <w:r>
                <w:rPr>
                  <w:rFonts w:ascii="Arial" w:cs="Arial" w:eastAsia="Arial" w:hAnsi="Arial"/>
                  <w:sz w:val="17"/>
                  <w:szCs w:val="17"/>
                  <w:color w:val="0000FF"/>
                  <w:w w:val="98"/>
                </w:rPr>
                <w:t>Lewis, individually and as Trustee of the Randall W. Lewis Revocable Trust u/d/t dated September 1, 2006, and Limoneira Company</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bottom w:val="single" w:sz="8" w:color="0000FF"/>
            </w:tcBorders>
            <w:gridSpan w:val="12"/>
          </w:tcPr>
          <w:p>
            <w:pPr>
              <w:spacing w:after="0" w:line="148" w:lineRule="exact"/>
              <w:rPr>
                <w:rFonts w:ascii="Arial" w:cs="Arial" w:eastAsia="Arial" w:hAnsi="Arial"/>
                <w:sz w:val="17"/>
                <w:szCs w:val="17"/>
                <w:color w:val="0000FF"/>
                <w:w w:val="93"/>
              </w:rPr>
            </w:pPr>
            <w:hyperlink r:id="rId169">
              <w:r>
                <w:rPr>
                  <w:rFonts w:ascii="Arial" w:cs="Arial" w:eastAsia="Arial" w:hAnsi="Arial"/>
                  <w:sz w:val="17"/>
                  <w:szCs w:val="17"/>
                  <w:color w:val="0000FF"/>
                  <w:w w:val="93"/>
                </w:rPr>
                <w:t>(Incorporated by reference to exhibit 10.3 to the Company’s Current Report on Form 8-K, filed March 2, 2018 (File No. 001-34755))</w:t>
              </w:r>
            </w:hyperlink>
          </w:p>
        </w:tc>
        <w:tc>
          <w:tcPr>
            <w:tcW w:w="980" w:type="dxa"/>
            <w:vAlign w:val="bottom"/>
            <w:gridSpan w:val="19"/>
          </w:tcPr>
          <w:p>
            <w:pPr>
              <w:spacing w:after="0"/>
              <w:rPr>
                <w:sz w:val="12"/>
                <w:szCs w:val="12"/>
                <w:color w:val="auto"/>
              </w:rPr>
            </w:pPr>
          </w:p>
        </w:tc>
        <w:tc>
          <w:tcPr>
            <w:tcW w:w="42949670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10.46†</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rPr>
            </w:pPr>
            <w:hyperlink r:id="rId170">
              <w:r>
                <w:rPr>
                  <w:rFonts w:ascii="Arial" w:cs="Arial" w:eastAsia="Arial" w:hAnsi="Arial"/>
                  <w:sz w:val="17"/>
                  <w:szCs w:val="17"/>
                  <w:color w:val="0000FF"/>
                </w:rPr>
                <w:t>Form of Restricted Share Award Agreement under the Limoneira Company 2010 Amended and Restated Omnibus Incentive Plan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3"/>
              </w:rPr>
            </w:pPr>
            <w:hyperlink r:id="rId170">
              <w:r>
                <w:rPr>
                  <w:rFonts w:ascii="Arial" w:cs="Arial" w:eastAsia="Arial" w:hAnsi="Arial"/>
                  <w:sz w:val="17"/>
                  <w:szCs w:val="17"/>
                  <w:color w:val="0000FF"/>
                  <w:w w:val="93"/>
                </w:rPr>
                <w:t>(Incorporated by reference to exhibit 10.1 to the Company’s Current Report on Form 8-K, filed April 11, 2018 (File No. 001-34755))</w:t>
              </w:r>
            </w:hyperlink>
          </w:p>
        </w:tc>
        <w:tc>
          <w:tcPr>
            <w:tcW w:w="7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3"/>
              </w:rPr>
            </w:pPr>
            <w:hyperlink r:id="rId171">
              <w:r>
                <w:rPr>
                  <w:rFonts w:ascii="Arial" w:cs="Arial" w:eastAsia="Arial" w:hAnsi="Arial"/>
                  <w:sz w:val="17"/>
                  <w:szCs w:val="17"/>
                  <w:color w:val="0000FF"/>
                  <w:w w:val="93"/>
                </w:rPr>
                <w:t>Asset Purchase Agreement, dated July 24, 2018, by and between Limoneira Company and Oxnard Lemon Associates, Ltd.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2"/>
              </w:rPr>
            </w:pPr>
            <w:hyperlink r:id="rId171">
              <w:r>
                <w:rPr>
                  <w:rFonts w:ascii="Arial" w:cs="Arial" w:eastAsia="Arial" w:hAnsi="Arial"/>
                  <w:sz w:val="17"/>
                  <w:szCs w:val="17"/>
                  <w:color w:val="0000FF"/>
                  <w:w w:val="92"/>
                </w:rPr>
                <w:t>reference to exhibit 10.1 to the Company’s Current Report on Form 8-K, filed July 26, 2018 (File No. 001-34755))</w:t>
              </w:r>
            </w:hyperlink>
          </w:p>
        </w:tc>
        <w:tc>
          <w:tcPr>
            <w:tcW w:w="220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42949670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10.48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2"/>
              </w:rPr>
            </w:pPr>
            <w:hyperlink r:id="rId172">
              <w:r>
                <w:rPr>
                  <w:rFonts w:ascii="Arial" w:cs="Arial" w:eastAsia="Arial" w:hAnsi="Arial"/>
                  <w:sz w:val="17"/>
                  <w:szCs w:val="17"/>
                  <w:color w:val="0000FF"/>
                  <w:w w:val="92"/>
                </w:rPr>
                <w:t>Master Loan Agreement, dated June 1, 2021, between Limoneira Company and Farm Credit West, PCA (Incorporated by reference to exhibit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2"/>
              </w:rPr>
            </w:pPr>
            <w:hyperlink r:id="rId172">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w:t>
              </w:r>
              <w:r>
                <w:rPr>
                  <w:rFonts w:ascii="Arial" w:cs="Arial" w:eastAsia="Arial" w:hAnsi="Arial"/>
                  <w:sz w:val="17"/>
                  <w:szCs w:val="17"/>
                  <w:color w:val="0000FF"/>
                  <w:w w:val="92"/>
                </w:rPr>
                <w:t xml:space="preserve"> of the Company’s Current Report on Form 8-K, filed June 17, 2021 (File No. 001-34755))</w:t>
              </w:r>
            </w:hyperlink>
          </w:p>
        </w:tc>
        <w:tc>
          <w:tcPr>
            <w:tcW w:w="3580" w:type="dxa"/>
            <w:vAlign w:val="bottom"/>
            <w:tcBorders>
              <w:top w:val="single" w:sz="8" w:color="0000FF"/>
            </w:tcBorders>
            <w:gridSpan w:val="24"/>
          </w:tcPr>
          <w:p>
            <w:pPr>
              <w:spacing w:after="0"/>
              <w:rPr>
                <w:sz w:val="12"/>
                <w:szCs w:val="12"/>
                <w:color w:val="auto"/>
              </w:rPr>
            </w:pPr>
          </w:p>
        </w:tc>
        <w:tc>
          <w:tcPr>
            <w:tcW w:w="42949670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2"/>
              </w:rPr>
            </w:pPr>
            <w:hyperlink r:id="rId173">
              <w:r>
                <w:rPr>
                  <w:rFonts w:ascii="Arial" w:cs="Arial" w:eastAsia="Arial" w:hAnsi="Arial"/>
                  <w:sz w:val="17"/>
                  <w:szCs w:val="17"/>
                  <w:color w:val="0000FF"/>
                  <w:w w:val="92"/>
                </w:rPr>
                <w:t>Promissory Note and Revolving Credit Facility Supplement to Master Loan Agreement, dated June 1, 2021, between Limoneira Company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20"/>
          </w:tcPr>
          <w:p>
            <w:pPr>
              <w:spacing w:after="0" w:line="148" w:lineRule="exact"/>
              <w:rPr>
                <w:rFonts w:ascii="Arial" w:cs="Arial" w:eastAsia="Arial" w:hAnsi="Arial"/>
                <w:sz w:val="17"/>
                <w:szCs w:val="17"/>
                <w:color w:val="0000FF"/>
                <w:w w:val="95"/>
              </w:rPr>
            </w:pPr>
            <w:hyperlink r:id="rId173">
              <w:r>
                <w:rPr>
                  <w:rFonts w:ascii="Arial" w:cs="Arial" w:eastAsia="Arial" w:hAnsi="Arial"/>
                  <w:sz w:val="17"/>
                  <w:szCs w:val="17"/>
                  <w:color w:val="0000FF"/>
                  <w:w w:val="95"/>
                </w:rPr>
                <w:t>Farm Credit West, PCA (Incorporated by reference to exhibit 10.2 of the Company’s Current Report on Form 8-K, filed June 17, 2021 (File</w:t>
              </w:r>
            </w:hyperlink>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4294967097"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bottom w:val="single" w:sz="8" w:color="0000FF"/>
            </w:tcBorders>
            <w:gridSpan w:val="2"/>
          </w:tcPr>
          <w:p>
            <w:pPr>
              <w:spacing w:after="0" w:line="148" w:lineRule="exact"/>
              <w:rPr>
                <w:rFonts w:ascii="Arial" w:cs="Arial" w:eastAsia="Arial" w:hAnsi="Arial"/>
                <w:sz w:val="17"/>
                <w:szCs w:val="17"/>
                <w:color w:val="0000FF"/>
                <w:w w:val="92"/>
              </w:rPr>
            </w:pPr>
            <w:hyperlink r:id="rId173">
              <w:r>
                <w:rPr>
                  <w:rFonts w:ascii="Arial" w:cs="Arial" w:eastAsia="Arial" w:hAnsi="Arial"/>
                  <w:sz w:val="17"/>
                  <w:szCs w:val="17"/>
                  <w:color w:val="0000FF"/>
                  <w:w w:val="92"/>
                </w:rPr>
                <w:t>No. 001-34755))</w:t>
              </w:r>
            </w:hyperlink>
          </w:p>
        </w:tc>
        <w:tc>
          <w:tcPr>
            <w:tcW w:w="8920" w:type="dxa"/>
            <w:vAlign w:val="bottom"/>
            <w:gridSpan w:val="25"/>
          </w:tcPr>
          <w:p>
            <w:pPr>
              <w:spacing w:after="0"/>
              <w:rPr>
                <w:sz w:val="12"/>
                <w:szCs w:val="12"/>
                <w:color w:val="auto"/>
              </w:rPr>
            </w:pPr>
          </w:p>
        </w:tc>
        <w:tc>
          <w:tcPr>
            <w:tcW w:w="4294967097"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9"/>
              </w:rPr>
            </w:pPr>
            <w:hyperlink r:id="rId174">
              <w:r>
                <w:rPr>
                  <w:rFonts w:ascii="Arial" w:cs="Arial" w:eastAsia="Arial" w:hAnsi="Arial"/>
                  <w:sz w:val="17"/>
                  <w:szCs w:val="17"/>
                  <w:color w:val="0000FF"/>
                  <w:w w:val="99"/>
                </w:rPr>
                <w:t>Promissory Note and Non-Revolving Credit Facility Supplement to Master Loan Agreement, dated June 1, 2021, between Limoneira</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8" w:lineRule="exact"/>
              <w:rPr>
                <w:rFonts w:ascii="Arial" w:cs="Arial" w:eastAsia="Arial" w:hAnsi="Arial"/>
                <w:sz w:val="17"/>
                <w:szCs w:val="17"/>
                <w:color w:val="0000FF"/>
                <w:w w:val="97"/>
              </w:rPr>
            </w:pPr>
            <w:hyperlink r:id="rId174">
              <w:r>
                <w:rPr>
                  <w:rFonts w:ascii="Arial" w:cs="Arial" w:eastAsia="Arial" w:hAnsi="Arial"/>
                  <w:sz w:val="17"/>
                  <w:szCs w:val="17"/>
                  <w:color w:val="0000FF"/>
                  <w:w w:val="97"/>
                </w:rPr>
                <w:t>Company and Farm Credit West, PCA (Incorporated by reference to exhibit 10.3 of the Company’s Current Report on Form 8-K, filed June</w:t>
              </w:r>
            </w:hyperlink>
          </w:p>
        </w:tc>
        <w:tc>
          <w:tcPr>
            <w:tcW w:w="4294967037"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4"/>
          </w:tcPr>
          <w:p>
            <w:pPr>
              <w:spacing w:after="0" w:line="148" w:lineRule="exact"/>
              <w:rPr>
                <w:rFonts w:ascii="Arial" w:cs="Arial" w:eastAsia="Arial" w:hAnsi="Arial"/>
                <w:sz w:val="17"/>
                <w:szCs w:val="17"/>
                <w:color w:val="0000FF"/>
              </w:rPr>
            </w:pPr>
            <w:hyperlink r:id="rId174">
              <w:r>
                <w:rPr>
                  <w:rFonts w:ascii="Arial" w:cs="Arial" w:eastAsia="Arial" w:hAnsi="Arial"/>
                  <w:sz w:val="17"/>
                  <w:szCs w:val="17"/>
                  <w:color w:val="0000FF"/>
                </w:rPr>
                <w:t>17, 2021 (File No. 001-34755))</w:t>
              </w:r>
            </w:hyperlink>
          </w:p>
        </w:tc>
        <w:tc>
          <w:tcPr>
            <w:tcW w:w="160" w:type="dxa"/>
            <w:vAlign w:val="bottom"/>
            <w:gridSpan w:val="8"/>
          </w:tcPr>
          <w:p>
            <w:pPr>
              <w:spacing w:after="0"/>
              <w:rPr>
                <w:sz w:val="12"/>
                <w:szCs w:val="12"/>
                <w:color w:val="auto"/>
              </w:rPr>
            </w:pPr>
          </w:p>
        </w:tc>
        <w:tc>
          <w:tcPr>
            <w:tcW w:w="4294967197"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c>
          <w:tcPr>
            <w:tcW w:w="4294967197"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10.51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7"/>
                <w:szCs w:val="17"/>
                <w:color w:val="0000FF"/>
                <w:w w:val="92"/>
              </w:rPr>
            </w:pPr>
            <w:hyperlink r:id="rId175">
              <w:r>
                <w:rPr>
                  <w:rFonts w:ascii="Arial" w:cs="Arial" w:eastAsia="Arial" w:hAnsi="Arial"/>
                  <w:sz w:val="17"/>
                  <w:szCs w:val="17"/>
                  <w:color w:val="0000FF"/>
                  <w:w w:val="92"/>
                </w:rPr>
                <w:t>Agreement to Convert to Fixed Interest Rate, dated June 8, 2021, between Limoneira Company and Farm Credit West, PCA (Incorporated by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w w:val="92"/>
              </w:rPr>
            </w:pPr>
            <w:hyperlink r:id="rId175">
              <w:r>
                <w:rPr>
                  <w:rFonts w:ascii="Arial" w:cs="Arial" w:eastAsia="Arial" w:hAnsi="Arial"/>
                  <w:sz w:val="17"/>
                  <w:szCs w:val="17"/>
                  <w:color w:val="0000FF"/>
                  <w:w w:val="92"/>
                </w:rPr>
                <w:t>reference to exhibit 10.4 of the Company’s Current Report on Form 8-K, filed June 17, 2021 (File No. 001-34755))</w:t>
              </w:r>
            </w:hyperlink>
          </w:p>
        </w:tc>
        <w:tc>
          <w:tcPr>
            <w:tcW w:w="2040" w:type="dxa"/>
            <w:vAlign w:val="bottom"/>
            <w:tcBorders>
              <w:top w:val="single" w:sz="8" w:color="0000FF"/>
            </w:tcBorders>
            <w:gridSpan w:val="13"/>
          </w:tcPr>
          <w:p>
            <w:pPr>
              <w:spacing w:after="0"/>
              <w:rPr>
                <w:sz w:val="12"/>
                <w:szCs w:val="12"/>
                <w:color w:val="auto"/>
              </w:rPr>
            </w:pPr>
          </w:p>
        </w:tc>
        <w:tc>
          <w:tcPr>
            <w:tcW w:w="4294967197"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842"/>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gridSpan w:val="7"/>
          </w:tcPr>
          <w:p>
            <w:pPr>
              <w:jc w:val="right"/>
              <w:ind w:right="2134"/>
              <w:spacing w:after="0"/>
              <w:rPr>
                <w:sz w:val="20"/>
                <w:szCs w:val="20"/>
                <w:color w:val="auto"/>
              </w:rPr>
            </w:pPr>
            <w:r>
              <w:rPr>
                <w:rFonts w:ascii="Arial" w:cs="Arial" w:eastAsia="Arial" w:hAnsi="Arial"/>
                <w:sz w:val="17"/>
                <w:szCs w:val="17"/>
                <w:color w:val="auto"/>
              </w:rPr>
              <w:t>92</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01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017"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500" w:type="dxa"/>
            <w:vAlign w:val="bottom"/>
            <w:gridSpan w:val="9"/>
            <w:vMerge w:val="restart"/>
          </w:tcPr>
          <w:p>
            <w:pPr>
              <w:ind w:left="11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9"/>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No.</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500" w:type="dxa"/>
            <w:vAlign w:val="bottom"/>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80" w:type="dxa"/>
            <w:vAlign w:val="bottom"/>
            <w:tcBorders>
              <w:top w:val="single" w:sz="8" w:color="auto"/>
            </w:tcBorders>
            <w:gridSpan w:val="12"/>
          </w:tcPr>
          <w:p>
            <w:pPr>
              <w:spacing w:after="0"/>
              <w:rPr>
                <w:rFonts w:ascii="Arial" w:cs="Arial" w:eastAsia="Arial" w:hAnsi="Arial"/>
                <w:sz w:val="17"/>
                <w:szCs w:val="17"/>
                <w:color w:val="0000FF"/>
                <w:w w:val="94"/>
              </w:rPr>
            </w:pPr>
            <w:hyperlink r:id="rId178">
              <w:r>
                <w:rPr>
                  <w:rFonts w:ascii="Arial" w:cs="Arial" w:eastAsia="Arial" w:hAnsi="Arial"/>
                  <w:sz w:val="17"/>
                  <w:szCs w:val="17"/>
                  <w:color w:val="0000FF"/>
                  <w:w w:val="94"/>
                </w:rPr>
                <w:t>Letter from Ernst &amp; Young LLP, dated March 14, 2019 (Incorporated by reference to exhibit 16.1 to the Company's Current Report on Form</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4"/>
              </w:rPr>
            </w:pPr>
            <w:hyperlink r:id="rId178">
              <w:r>
                <w:rPr>
                  <w:rFonts w:ascii="Arial" w:cs="Arial" w:eastAsia="Arial" w:hAnsi="Arial"/>
                  <w:sz w:val="17"/>
                  <w:szCs w:val="17"/>
                  <w:color w:val="0000FF"/>
                  <w:w w:val="94"/>
                </w:rPr>
                <w:t>8-K, filed March 14, 2019 (File No. 001-34755))</w:t>
              </w:r>
            </w:hyperlink>
          </w:p>
        </w:tc>
        <w:tc>
          <w:tcPr>
            <w:tcW w:w="64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94">
              <w:r>
                <w:rPr>
                  <w:rFonts w:ascii="Arial" w:cs="Arial" w:eastAsia="Arial" w:hAnsi="Arial"/>
                  <w:sz w:val="17"/>
                  <w:szCs w:val="17"/>
                  <w:color w:val="0000FF"/>
                  <w:w w:val="92"/>
                </w:rPr>
                <w:t>Subsidiaries of Limoneira Company</w:t>
              </w:r>
            </w:hyperlink>
          </w:p>
        </w:tc>
        <w:tc>
          <w:tcPr>
            <w:tcW w:w="7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0000FF"/>
            </w:tcBorders>
            <w:gridSpan w:val="5"/>
          </w:tcPr>
          <w:p>
            <w:pPr>
              <w:spacing w:after="0"/>
              <w:rPr>
                <w:rFonts w:ascii="Arial" w:cs="Arial" w:eastAsia="Arial" w:hAnsi="Arial"/>
                <w:sz w:val="17"/>
                <w:szCs w:val="17"/>
                <w:color w:val="0000FF"/>
                <w:w w:val="93"/>
              </w:rPr>
            </w:pPr>
            <w:hyperlink w:anchor="page95">
              <w:r>
                <w:rPr>
                  <w:rFonts w:ascii="Arial" w:cs="Arial" w:eastAsia="Arial" w:hAnsi="Arial"/>
                  <w:sz w:val="17"/>
                  <w:szCs w:val="17"/>
                  <w:color w:val="0000FF"/>
                  <w:w w:val="93"/>
                </w:rPr>
                <w:t>Consent of Independent Registered Public Accounting Firm - Deloitte &amp; Touche LLP</w:t>
              </w:r>
            </w:hyperlink>
          </w:p>
        </w:tc>
        <w:tc>
          <w:tcPr>
            <w:tcW w:w="3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7"/>
                <w:szCs w:val="17"/>
                <w:color w:val="0000FF"/>
              </w:rPr>
            </w:pPr>
            <w:hyperlink w:anchor="page96">
              <w:r>
                <w:rPr>
                  <w:rFonts w:ascii="Arial" w:cs="Arial" w:eastAsia="Arial" w:hAnsi="Arial"/>
                  <w:sz w:val="17"/>
                  <w:szCs w:val="17"/>
                  <w:color w:val="0000FF"/>
                </w:rPr>
                <w:t>Consent of Independent Registered Public Accounting Firm - Ernst &amp; Young LLP</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7"/>
                <w:szCs w:val="17"/>
                <w:color w:val="0000FF"/>
              </w:rPr>
            </w:pPr>
            <w:hyperlink w:anchor="page97">
              <w:r>
                <w:rPr>
                  <w:rFonts w:ascii="Arial" w:cs="Arial" w:eastAsia="Arial" w:hAnsi="Arial"/>
                  <w:sz w:val="17"/>
                  <w:szCs w:val="17"/>
                  <w:color w:val="0000FF"/>
                </w:rPr>
                <w:t>Certification of the Principal Executive Officer pursuant to Exchange Act Rule 13a-14(a) and 15d-14(a)</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40" w:type="dxa"/>
            <w:vAlign w:val="bottom"/>
            <w:tcBorders>
              <w:bottom w:val="single" w:sz="8" w:color="0000FF"/>
            </w:tcBorders>
            <w:gridSpan w:val="8"/>
          </w:tcPr>
          <w:p>
            <w:pPr>
              <w:spacing w:after="0"/>
              <w:rPr>
                <w:rFonts w:ascii="Arial" w:cs="Arial" w:eastAsia="Arial" w:hAnsi="Arial"/>
                <w:sz w:val="17"/>
                <w:szCs w:val="17"/>
                <w:color w:val="0000FF"/>
                <w:w w:val="92"/>
              </w:rPr>
            </w:pPr>
            <w:hyperlink w:anchor="page98">
              <w:r>
                <w:rPr>
                  <w:rFonts w:ascii="Arial" w:cs="Arial" w:eastAsia="Arial" w:hAnsi="Arial"/>
                  <w:sz w:val="17"/>
                  <w:szCs w:val="17"/>
                  <w:color w:val="0000FF"/>
                  <w:w w:val="92"/>
                </w:rPr>
                <w:t>Certification of the Principal Financial and Accounting Officer pursuant to Exchange Act Rule 13a-14(a) and 15d-14(a)</w:t>
              </w:r>
            </w:hyperlink>
          </w:p>
        </w:tc>
        <w:tc>
          <w:tcPr>
            <w:tcW w:w="1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7"/>
                <w:szCs w:val="17"/>
                <w:color w:val="0000FF"/>
                <w:w w:val="92"/>
              </w:rPr>
            </w:pPr>
            <w:hyperlink w:anchor="page99">
              <w:r>
                <w:rPr>
                  <w:rFonts w:ascii="Arial" w:cs="Arial" w:eastAsia="Arial" w:hAnsi="Arial"/>
                  <w:sz w:val="17"/>
                  <w:szCs w:val="17"/>
                  <w:color w:val="0000FF"/>
                  <w:w w:val="92"/>
                </w:rPr>
                <w:t>Certification of the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0"/>
          </w:tcPr>
          <w:p>
            <w:pPr>
              <w:spacing w:after="0" w:line="148" w:lineRule="exact"/>
              <w:rPr>
                <w:rFonts w:ascii="Arial" w:cs="Arial" w:eastAsia="Arial" w:hAnsi="Arial"/>
                <w:sz w:val="17"/>
                <w:szCs w:val="17"/>
                <w:color w:val="0000FF"/>
              </w:rPr>
            </w:pPr>
            <w:hyperlink w:anchor="page99">
              <w:r>
                <w:rPr>
                  <w:rFonts w:ascii="Arial" w:cs="Arial" w:eastAsia="Arial" w:hAnsi="Arial"/>
                  <w:sz w:val="17"/>
                  <w:szCs w:val="17"/>
                  <w:color w:val="0000FF"/>
                </w:rPr>
                <w:t>Act of 2002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7"/>
                <w:szCs w:val="17"/>
                <w:color w:val="0000FF"/>
                <w:w w:val="93"/>
              </w:rPr>
            </w:pPr>
            <w:hyperlink w:anchor="page100">
              <w:r>
                <w:rPr>
                  <w:rFonts w:ascii="Arial" w:cs="Arial" w:eastAsia="Arial" w:hAnsi="Arial"/>
                  <w:sz w:val="17"/>
                  <w:szCs w:val="17"/>
                  <w:color w:val="0000FF"/>
                  <w:w w:val="93"/>
                </w:rPr>
                <w:t>Certification of the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w:anchor="page100">
              <w:r>
                <w:rPr>
                  <w:rFonts w:ascii="Arial" w:cs="Arial" w:eastAsia="Arial" w:hAnsi="Arial"/>
                  <w:sz w:val="17"/>
                  <w:szCs w:val="17"/>
                  <w:color w:val="0000FF"/>
                </w:rPr>
                <w:t>Act of 2002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40" w:type="dxa"/>
            <w:vAlign w:val="bottom"/>
          </w:tcPr>
          <w:p>
            <w:pPr>
              <w:ind w:left="2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7"/>
                <w:szCs w:val="17"/>
                <w:color w:val="0000FF"/>
              </w:rPr>
            </w:pPr>
            <w:hyperlink w:anchor="page101">
              <w:r>
                <w:rPr>
                  <w:rFonts w:ascii="Arial" w:cs="Arial" w:eastAsia="Arial" w:hAnsi="Arial"/>
                  <w:sz w:val="17"/>
                  <w:szCs w:val="17"/>
                  <w:color w:val="0000FF"/>
                </w:rPr>
                <w:t>Limoneira Lewis Community Builders, LLC - Financial Statements as of October 31, 2021 and 2020</w:t>
              </w:r>
            </w:hyperlink>
          </w:p>
        </w:tc>
        <w:tc>
          <w:tcPr>
            <w:tcW w:w="0" w:type="dxa"/>
            <w:vAlign w:val="bottom"/>
          </w:tcPr>
          <w:p>
            <w:pPr>
              <w:spacing w:after="0"/>
              <w:rPr>
                <w:sz w:val="1"/>
                <w:szCs w:val="1"/>
                <w:color w:val="auto"/>
              </w:rPr>
            </w:pPr>
          </w:p>
        </w:tc>
      </w:tr>
      <w:tr>
        <w:trPr>
          <w:trHeight w:val="455"/>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694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auto"/>
              </w:rPr>
              <w:t>XBRL Instance Document</w:t>
            </w:r>
          </w:p>
        </w:tc>
        <w:tc>
          <w:tcPr>
            <w:tcW w:w="29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438"/>
        </w:trPr>
        <w:tc>
          <w:tcPr>
            <w:tcW w:w="134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360" w:hanging="1340"/>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 101)</w:t>
      </w:r>
    </w:p>
    <w:p>
      <w:pPr>
        <w:spacing w:after="0" w:line="139" w:lineRule="exact"/>
        <w:rPr>
          <w:rFonts w:ascii="Arial" w:cs="Arial" w:eastAsia="Arial" w:hAnsi="Arial"/>
          <w:sz w:val="17"/>
          <w:szCs w:val="17"/>
          <w:color w:val="auto"/>
        </w:rPr>
      </w:pPr>
    </w:p>
    <w:p>
      <w:pPr>
        <w:ind w:left="480" w:right="2420" w:hanging="232"/>
        <w:spacing w:after="0" w:line="208" w:lineRule="auto"/>
        <w:rPr>
          <w:rFonts w:ascii="Arial" w:cs="Arial" w:eastAsia="Arial" w:hAnsi="Arial"/>
          <w:sz w:val="17"/>
          <w:szCs w:val="17"/>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5"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15"/>
          <w:szCs w:val="15"/>
          <w:color w:val="auto"/>
        </w:rPr>
        <w:t>Denotes management contracts and compensatory plans or arrangements.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00"/>
          </w:cols>
          <w:pgMar w:left="320" w:top="872" w:right="37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21.1</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List of Subsidiaries of Limoneira Company</w:t>
            </w:r>
          </w:p>
        </w:tc>
        <w:tc>
          <w:tcPr>
            <w:tcW w:w="420" w:type="dxa"/>
            <w:vAlign w:val="bottom"/>
          </w:tcPr>
          <w:p>
            <w:pPr>
              <w:spacing w:after="0"/>
              <w:rPr>
                <w:sz w:val="19"/>
                <w:szCs w:val="19"/>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State of Incorporation/Organization</w:t>
            </w:r>
          </w:p>
        </w:tc>
      </w:tr>
      <w:tr>
        <w:trPr>
          <w:trHeight w:val="430"/>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Associated Citrus Packers, Inc.</w:t>
            </w:r>
          </w:p>
        </w:tc>
        <w:tc>
          <w:tcPr>
            <w:tcW w:w="5300" w:type="dxa"/>
            <w:vAlign w:val="bottom"/>
          </w:tcPr>
          <w:p>
            <w:pPr>
              <w:jc w:val="center"/>
              <w:spacing w:after="0"/>
              <w:rPr>
                <w:sz w:val="20"/>
                <w:szCs w:val="20"/>
                <w:color w:val="auto"/>
              </w:rPr>
            </w:pPr>
            <w:r>
              <w:rPr>
                <w:rFonts w:ascii="Arial" w:cs="Arial" w:eastAsia="Arial" w:hAnsi="Arial"/>
                <w:sz w:val="17"/>
                <w:szCs w:val="17"/>
                <w:color w:val="auto"/>
                <w:w w:val="93"/>
              </w:rPr>
              <w:t>Arizona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EA1 Land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EA1 Management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EA2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Energy Company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7"/>
              </w:rPr>
              <w:t>California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International Division,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7"/>
              </w:rPr>
              <w:t>California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Lewis Community Builders,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Mercantile,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7"/>
              </w:rPr>
              <w:t>California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Windfall Investors,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7"/>
              </w:rPr>
              <w:t>California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Templeton Santa Barbara,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6037 East Donna Circle Drive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3"/>
              </w:rPr>
              <w:t>Arizona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6146 East Cactus Wren Road LLC</w:t>
            </w:r>
          </w:p>
        </w:tc>
        <w:tc>
          <w:tcPr>
            <w:tcW w:w="5300" w:type="dxa"/>
            <w:vAlign w:val="bottom"/>
          </w:tcPr>
          <w:p>
            <w:pPr>
              <w:jc w:val="center"/>
              <w:spacing w:after="0"/>
              <w:rPr>
                <w:sz w:val="20"/>
                <w:szCs w:val="20"/>
                <w:color w:val="auto"/>
              </w:rPr>
            </w:pPr>
            <w:r>
              <w:rPr>
                <w:rFonts w:ascii="Arial" w:cs="Arial" w:eastAsia="Arial" w:hAnsi="Arial"/>
                <w:sz w:val="17"/>
                <w:szCs w:val="17"/>
                <w:color w:val="auto"/>
                <w:w w:val="93"/>
              </w:rPr>
              <w:t>Arizona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Chile SpA</w:t>
            </w:r>
          </w:p>
        </w:tc>
        <w:tc>
          <w:tcPr>
            <w:tcW w:w="5300" w:type="dxa"/>
            <w:vAlign w:val="bottom"/>
          </w:tcPr>
          <w:p>
            <w:pPr>
              <w:jc w:val="center"/>
              <w:spacing w:after="0"/>
              <w:rPr>
                <w:sz w:val="20"/>
                <w:szCs w:val="20"/>
                <w:color w:val="auto"/>
              </w:rPr>
            </w:pPr>
            <w:r>
              <w:rPr>
                <w:rFonts w:ascii="Arial" w:cs="Arial" w:eastAsia="Arial" w:hAnsi="Arial"/>
                <w:sz w:val="17"/>
                <w:szCs w:val="17"/>
                <w:color w:val="auto"/>
                <w:w w:val="98"/>
              </w:rPr>
              <w:t>Chile</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SA</w:t>
            </w:r>
          </w:p>
        </w:tc>
        <w:tc>
          <w:tcPr>
            <w:tcW w:w="5300" w:type="dxa"/>
            <w:vAlign w:val="bottom"/>
          </w:tcPr>
          <w:p>
            <w:pPr>
              <w:jc w:val="center"/>
              <w:spacing w:after="0"/>
              <w:rPr>
                <w:sz w:val="20"/>
                <w:szCs w:val="20"/>
                <w:color w:val="auto"/>
              </w:rPr>
            </w:pPr>
            <w:r>
              <w:rPr>
                <w:rFonts w:ascii="Arial" w:cs="Arial" w:eastAsia="Arial" w:hAnsi="Arial"/>
                <w:sz w:val="17"/>
                <w:szCs w:val="17"/>
                <w:color w:val="auto"/>
                <w:w w:val="95"/>
              </w:rPr>
              <w:t>Republic of South Africa</w:t>
            </w:r>
          </w:p>
        </w:tc>
      </w:tr>
      <w:tr>
        <w:trPr>
          <w:trHeight w:val="438"/>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Fruticola Pan de Azucar S.A.</w:t>
            </w:r>
          </w:p>
        </w:tc>
        <w:tc>
          <w:tcPr>
            <w:tcW w:w="5300" w:type="dxa"/>
            <w:vAlign w:val="bottom"/>
          </w:tcPr>
          <w:p>
            <w:pPr>
              <w:jc w:val="center"/>
              <w:spacing w:after="0"/>
              <w:rPr>
                <w:sz w:val="20"/>
                <w:szCs w:val="20"/>
                <w:color w:val="auto"/>
              </w:rPr>
            </w:pPr>
            <w:r>
              <w:rPr>
                <w:rFonts w:ascii="Arial" w:cs="Arial" w:eastAsia="Arial" w:hAnsi="Arial"/>
                <w:sz w:val="17"/>
                <w:szCs w:val="17"/>
                <w:color w:val="auto"/>
                <w:w w:val="98"/>
              </w:rPr>
              <w:t>Chile</w:t>
            </w:r>
          </w:p>
        </w:tc>
      </w:tr>
      <w:tr>
        <w:trPr>
          <w:trHeight w:val="464"/>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Agricola San Pablo SpA</w:t>
            </w:r>
          </w:p>
        </w:tc>
        <w:tc>
          <w:tcPr>
            <w:tcW w:w="5300" w:type="dxa"/>
            <w:vAlign w:val="bottom"/>
          </w:tcPr>
          <w:p>
            <w:pPr>
              <w:jc w:val="center"/>
              <w:spacing w:after="0"/>
              <w:rPr>
                <w:sz w:val="20"/>
                <w:szCs w:val="20"/>
                <w:color w:val="auto"/>
              </w:rPr>
            </w:pPr>
            <w:r>
              <w:rPr>
                <w:rFonts w:ascii="Arial" w:cs="Arial" w:eastAsia="Arial" w:hAnsi="Arial"/>
                <w:sz w:val="17"/>
                <w:szCs w:val="17"/>
                <w:color w:val="auto"/>
                <w:w w:val="98"/>
              </w:rPr>
              <w:t>Chile</w:t>
            </w:r>
          </w:p>
        </w:tc>
      </w:tr>
      <w:tr>
        <w:trPr>
          <w:trHeight w:val="464"/>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Argentina S.A.U.</w:t>
            </w:r>
          </w:p>
        </w:tc>
        <w:tc>
          <w:tcPr>
            <w:tcW w:w="5300" w:type="dxa"/>
            <w:vAlign w:val="bottom"/>
          </w:tcPr>
          <w:p>
            <w:pPr>
              <w:jc w:val="center"/>
              <w:spacing w:after="0"/>
              <w:rPr>
                <w:sz w:val="20"/>
                <w:szCs w:val="20"/>
                <w:color w:val="auto"/>
              </w:rPr>
            </w:pPr>
            <w:r>
              <w:rPr>
                <w:rFonts w:ascii="Arial" w:cs="Arial" w:eastAsia="Arial" w:hAnsi="Arial"/>
                <w:sz w:val="17"/>
                <w:szCs w:val="17"/>
                <w:color w:val="auto"/>
                <w:w w:val="96"/>
              </w:rPr>
              <w:t>Argentina</w:t>
            </w:r>
          </w:p>
        </w:tc>
      </w:tr>
      <w:tr>
        <w:trPr>
          <w:trHeight w:val="464"/>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Trapani Fresh Consorcio de Cooperacion</w:t>
            </w:r>
          </w:p>
        </w:tc>
        <w:tc>
          <w:tcPr>
            <w:tcW w:w="5300" w:type="dxa"/>
            <w:vAlign w:val="bottom"/>
          </w:tcPr>
          <w:p>
            <w:pPr>
              <w:jc w:val="center"/>
              <w:spacing w:after="0"/>
              <w:rPr>
                <w:sz w:val="20"/>
                <w:szCs w:val="20"/>
                <w:color w:val="auto"/>
              </w:rPr>
            </w:pPr>
            <w:r>
              <w:rPr>
                <w:rFonts w:ascii="Arial" w:cs="Arial" w:eastAsia="Arial" w:hAnsi="Arial"/>
                <w:sz w:val="17"/>
                <w:szCs w:val="17"/>
                <w:color w:val="auto"/>
                <w:w w:val="96"/>
              </w:rPr>
              <w:t>Argentina</w:t>
            </w:r>
          </w:p>
        </w:tc>
      </w:tr>
      <w:tr>
        <w:trPr>
          <w:trHeight w:val="464"/>
        </w:trPr>
        <w:tc>
          <w:tcPr>
            <w:tcW w:w="5920" w:type="dxa"/>
            <w:vAlign w:val="bottom"/>
            <w:gridSpan w:val="2"/>
          </w:tcPr>
          <w:p>
            <w:pPr>
              <w:ind w:left="20"/>
              <w:spacing w:after="0"/>
              <w:rPr>
                <w:sz w:val="20"/>
                <w:szCs w:val="20"/>
                <w:color w:val="auto"/>
              </w:rPr>
            </w:pPr>
            <w:r>
              <w:rPr>
                <w:rFonts w:ascii="Arial" w:cs="Arial" w:eastAsia="Arial" w:hAnsi="Arial"/>
                <w:sz w:val="17"/>
                <w:szCs w:val="17"/>
                <w:color w:val="auto"/>
              </w:rPr>
              <w:t>Limoneira Holland B.V.</w:t>
            </w:r>
          </w:p>
        </w:tc>
        <w:tc>
          <w:tcPr>
            <w:tcW w:w="5300" w:type="dxa"/>
            <w:vAlign w:val="bottom"/>
          </w:tcPr>
          <w:p>
            <w:pPr>
              <w:jc w:val="center"/>
              <w:spacing w:after="0"/>
              <w:rPr>
                <w:sz w:val="20"/>
                <w:szCs w:val="20"/>
                <w:color w:val="auto"/>
              </w:rPr>
            </w:pPr>
            <w:r>
              <w:rPr>
                <w:rFonts w:ascii="Arial" w:cs="Arial" w:eastAsia="Arial" w:hAnsi="Arial"/>
                <w:sz w:val="17"/>
                <w:szCs w:val="17"/>
                <w:color w:val="auto"/>
                <w:w w:val="93"/>
              </w:rPr>
              <w:t>Holland</w:t>
            </w:r>
          </w:p>
        </w:tc>
      </w:tr>
    </w:tbl>
    <w:p>
      <w:pPr>
        <w:sectPr>
          <w:pgSz w:w="11900" w:h="16838" w:orient="portrait"/>
          <w:cols w:equalWidth="0" w:num="1">
            <w:col w:w="11240"/>
          </w:cols>
          <w:pgMar w:left="320" w:top="85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consent to the incorporation by reference in Registration Statement Form S-8 No. 333-171934 and Form S-3 No. 333-239061 of our reports dated January 10, 2022, relating to the consolidated financial statements of Limoneira Company and subsidiaries (the “Company”), and the effectiveness of the Company’s internal control over financial reporting, appearing in this Annual Report on Form 10-K of the Company for the year ended October 31, 2021.</w:t>
      </w:r>
    </w:p>
    <w:p>
      <w:pPr>
        <w:spacing w:after="0" w:line="200" w:lineRule="exact"/>
        <w:rPr>
          <w:sz w:val="20"/>
          <w:szCs w:val="20"/>
          <w:color w:val="auto"/>
        </w:rPr>
      </w:pPr>
    </w:p>
    <w:p>
      <w:pPr>
        <w:spacing w:after="0" w:line="2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14605</wp:posOffset>
            </wp:positionV>
            <wp:extent cx="24885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9">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January 10, 2022</w:t>
      </w:r>
    </w:p>
    <w:p>
      <w:pPr>
        <w:sectPr>
          <w:pgSz w:w="11900" w:h="16838" w:orient="portrait"/>
          <w:cols w:equalWidth="0" w:num="1">
            <w:col w:w="11240"/>
          </w:cols>
          <w:pgMar w:left="320" w:top="85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23.2</w:t>
      </w:r>
    </w:p>
    <w:p>
      <w:pPr>
        <w:spacing w:after="0" w:line="217"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17" w:lineRule="exact"/>
        <w:rPr>
          <w:sz w:val="20"/>
          <w:szCs w:val="20"/>
          <w:color w:val="auto"/>
        </w:rPr>
      </w:pPr>
    </w:p>
    <w:p>
      <w:pPr>
        <w:ind w:left="1120" w:hanging="305"/>
        <w:spacing w:after="0"/>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333-171934) pertaining to the Limoneira Company 2010 Omnibus Incentive Plan, and</w:t>
      </w:r>
    </w:p>
    <w:p>
      <w:pPr>
        <w:spacing w:after="0" w:line="21" w:lineRule="exact"/>
        <w:rPr>
          <w:rFonts w:ascii="Arial" w:cs="Arial" w:eastAsia="Arial" w:hAnsi="Arial"/>
          <w:sz w:val="17"/>
          <w:szCs w:val="17"/>
          <w:color w:val="auto"/>
        </w:rPr>
      </w:pPr>
    </w:p>
    <w:p>
      <w:pPr>
        <w:ind w:left="1120" w:hanging="305"/>
        <w:spacing w:after="0"/>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S-3 No. 333-239061) of Limoneira Company;</w:t>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 our report dated December 20, 2021, with respect to the financial statements of Limoneira Lewis Community Builders, LLC included in this Annual Report (Form 10-K) of Limoneira Company for the year ended October 31, 2021.</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14605</wp:posOffset>
            </wp:positionV>
            <wp:extent cx="24885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0">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Irvine,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January 10, 2022</w:t>
      </w:r>
    </w:p>
    <w:p>
      <w:pPr>
        <w:sectPr>
          <w:pgSz w:w="11900" w:h="16838" w:orient="portrait"/>
          <w:cols w:equalWidth="0" w:num="1">
            <w:col w:w="11240"/>
          </w:cols>
          <w:pgMar w:left="320" w:top="856"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Exchange Act Rule 13a-14(a) and 15d-14(a)</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Harold S. Edwards, certify that:</w:t>
      </w:r>
    </w:p>
    <w:p>
      <w:pPr>
        <w:spacing w:after="0" w:line="217" w:lineRule="exact"/>
        <w:rPr>
          <w:sz w:val="20"/>
          <w:szCs w:val="20"/>
          <w:color w:val="auto"/>
        </w:rPr>
      </w:pPr>
    </w:p>
    <w:p>
      <w:pPr>
        <w:ind w:left="600" w:hanging="171"/>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Limoneira Company (the “Registrant”);</w:t>
      </w:r>
    </w:p>
    <w:p>
      <w:pPr>
        <w:spacing w:after="0" w:line="217" w:lineRule="exact"/>
        <w:rPr>
          <w:rFonts w:ascii="Arial" w:cs="Arial" w:eastAsia="Arial" w:hAnsi="Arial"/>
          <w:sz w:val="17"/>
          <w:szCs w:val="17"/>
          <w:color w:val="auto"/>
        </w:rPr>
      </w:pPr>
    </w:p>
    <w:p>
      <w:pPr>
        <w:ind w:firstLine="429"/>
        <w:spacing w:after="0" w:line="312" w:lineRule="auto"/>
        <w:tabs>
          <w:tab w:leader="none" w:pos="62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firstLine="429"/>
        <w:spacing w:after="0" w:line="279" w:lineRule="auto"/>
        <w:tabs>
          <w:tab w:leader="none" w:pos="625"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firstLine="429"/>
        <w:spacing w:after="0" w:line="266" w:lineRule="auto"/>
        <w:tabs>
          <w:tab w:leader="none" w:pos="6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jc w:val="both"/>
        <w:ind w:left="1120" w:hanging="305"/>
        <w:spacing w:after="0" w:line="257" w:lineRule="auto"/>
        <w:tabs>
          <w:tab w:leader="none" w:pos="1117"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7"/>
          <w:szCs w:val="17"/>
          <w:color w:val="auto"/>
        </w:rPr>
      </w:pPr>
    </w:p>
    <w:p>
      <w:pPr>
        <w:jc w:val="both"/>
        <w:ind w:left="1120" w:hanging="305"/>
        <w:spacing w:after="0" w:line="253" w:lineRule="auto"/>
        <w:tabs>
          <w:tab w:leader="none" w:pos="1114"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120" w:hanging="305"/>
        <w:spacing w:after="0" w:line="269" w:lineRule="auto"/>
        <w:tabs>
          <w:tab w:leader="none" w:pos="111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20" w:hanging="305"/>
        <w:spacing w:after="0" w:line="259" w:lineRule="auto"/>
        <w:tabs>
          <w:tab w:leader="none" w:pos="1114"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firstLine="429"/>
        <w:spacing w:after="0" w:line="279" w:lineRule="auto"/>
        <w:tabs>
          <w:tab w:leader="none" w:pos="61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1120" w:hanging="305"/>
        <w:spacing w:after="0" w:line="259" w:lineRule="auto"/>
        <w:tabs>
          <w:tab w:leader="none" w:pos="1117"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120" w:hanging="305"/>
        <w:spacing w:after="0" w:line="266" w:lineRule="auto"/>
        <w:tabs>
          <w:tab w:leader="none" w:pos="1114"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Dated January 10, 2022.</w:t>
      </w:r>
    </w:p>
    <w:p>
      <w:pPr>
        <w:spacing w:after="0" w:line="346" w:lineRule="exact"/>
        <w:rPr>
          <w:sz w:val="20"/>
          <w:szCs w:val="20"/>
          <w:color w:val="auto"/>
        </w:rPr>
      </w:pPr>
    </w:p>
    <w:p>
      <w:pPr>
        <w:ind w:left="5000"/>
        <w:spacing w:after="0"/>
        <w:tabs>
          <w:tab w:leader="none" w:pos="7620" w:val="left"/>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1">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3"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Harold S. Edwards</w:t>
      </w:r>
    </w:p>
    <w:p>
      <w:pPr>
        <w:jc w:val="center"/>
        <w:ind w:left="5660"/>
        <w:spacing w:after="0" w:line="205" w:lineRule="auto"/>
        <w:rPr>
          <w:sz w:val="20"/>
          <w:szCs w:val="20"/>
          <w:color w:val="auto"/>
        </w:rPr>
      </w:pPr>
      <w:r>
        <w:rPr>
          <w:rFonts w:ascii="Arial" w:cs="Arial" w:eastAsia="Arial" w:hAnsi="Arial"/>
          <w:sz w:val="17"/>
          <w:szCs w:val="17"/>
          <w:b w:val="1"/>
          <w:bCs w:val="1"/>
          <w:color w:val="auto"/>
        </w:rPr>
        <w:t>Director, President and Chief Executive Officer</w:t>
      </w:r>
    </w:p>
    <w:p>
      <w:pPr>
        <w:spacing w:after="0" w:line="1"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Exchange Act Rule 13a-14(a) and 15d-14(a)</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Mark Palamountain, certify that:</w:t>
      </w:r>
    </w:p>
    <w:p>
      <w:pPr>
        <w:spacing w:after="0" w:line="217" w:lineRule="exact"/>
        <w:rPr>
          <w:sz w:val="20"/>
          <w:szCs w:val="20"/>
          <w:color w:val="auto"/>
        </w:rPr>
      </w:pPr>
    </w:p>
    <w:p>
      <w:pPr>
        <w:ind w:left="600" w:hanging="171"/>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Limoneira Company (the “Registrant”);</w:t>
      </w:r>
    </w:p>
    <w:p>
      <w:pPr>
        <w:spacing w:after="0" w:line="217" w:lineRule="exact"/>
        <w:rPr>
          <w:rFonts w:ascii="Arial" w:cs="Arial" w:eastAsia="Arial" w:hAnsi="Arial"/>
          <w:sz w:val="17"/>
          <w:szCs w:val="17"/>
          <w:color w:val="auto"/>
        </w:rPr>
      </w:pPr>
    </w:p>
    <w:p>
      <w:pPr>
        <w:ind w:firstLine="429"/>
        <w:spacing w:after="0" w:line="312" w:lineRule="auto"/>
        <w:tabs>
          <w:tab w:leader="none" w:pos="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firstLine="429"/>
        <w:spacing w:after="0" w:line="279" w:lineRule="auto"/>
        <w:tabs>
          <w:tab w:leader="none" w:pos="6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firstLine="429"/>
        <w:spacing w:after="0" w:line="266" w:lineRule="auto"/>
        <w:tabs>
          <w:tab w:leader="none" w:pos="62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jc w:val="both"/>
        <w:ind w:left="1120" w:hanging="305"/>
        <w:spacing w:after="0" w:line="257" w:lineRule="auto"/>
        <w:tabs>
          <w:tab w:leader="none" w:pos="1117"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7"/>
          <w:szCs w:val="17"/>
          <w:color w:val="auto"/>
        </w:rPr>
      </w:pPr>
    </w:p>
    <w:p>
      <w:pPr>
        <w:jc w:val="both"/>
        <w:ind w:left="1120" w:hanging="305"/>
        <w:spacing w:after="0" w:line="253" w:lineRule="auto"/>
        <w:tabs>
          <w:tab w:leader="none" w:pos="1114"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120" w:hanging="305"/>
        <w:spacing w:after="0" w:line="269" w:lineRule="auto"/>
        <w:tabs>
          <w:tab w:leader="none" w:pos="111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20" w:hanging="305"/>
        <w:spacing w:after="0" w:line="259" w:lineRule="auto"/>
        <w:tabs>
          <w:tab w:leader="none" w:pos="1114"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firstLine="429"/>
        <w:spacing w:after="0" w:line="279" w:lineRule="auto"/>
        <w:tabs>
          <w:tab w:leader="none" w:pos="6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1120" w:hanging="305"/>
        <w:spacing w:after="0" w:line="259" w:lineRule="auto"/>
        <w:tabs>
          <w:tab w:leader="none" w:pos="1117"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120" w:hanging="305"/>
        <w:spacing w:after="0" w:line="266" w:lineRule="auto"/>
        <w:tabs>
          <w:tab w:leader="none" w:pos="1114"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Dated January 10, 2022.</w:t>
      </w:r>
    </w:p>
    <w:p>
      <w:pPr>
        <w:spacing w:after="0" w:line="346" w:lineRule="exact"/>
        <w:rPr>
          <w:sz w:val="20"/>
          <w:szCs w:val="20"/>
          <w:color w:val="auto"/>
        </w:rPr>
      </w:pPr>
    </w:p>
    <w:p>
      <w:pPr>
        <w:ind w:left="5000"/>
        <w:spacing w:after="0"/>
        <w:tabs>
          <w:tab w:leader="none" w:pos="7600" w:val="left"/>
          <w:tab w:leader="none" w:pos="79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2">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3"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Mark Palamountain</w:t>
      </w:r>
    </w:p>
    <w:p>
      <w:pPr>
        <w:jc w:val="center"/>
        <w:ind w:left="5660"/>
        <w:spacing w:after="0" w:line="205" w:lineRule="auto"/>
        <w:rPr>
          <w:sz w:val="20"/>
          <w:szCs w:val="20"/>
          <w:color w:val="auto"/>
        </w:rPr>
      </w:pPr>
      <w:r>
        <w:rPr>
          <w:rFonts w:ascii="Arial" w:cs="Arial" w:eastAsia="Arial" w:hAnsi="Arial"/>
          <w:sz w:val="17"/>
          <w:szCs w:val="17"/>
          <w:b w:val="1"/>
          <w:bCs w:val="1"/>
          <w:color w:val="auto"/>
        </w:rPr>
        <w:t>Chief Financial Officer, Treasurer and Corporate Secretary</w:t>
      </w:r>
    </w:p>
    <w:p>
      <w:pPr>
        <w:spacing w:after="0" w:line="1"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(Principal Financial Officer and Accounting Officer)</w:t>
      </w:r>
    </w:p>
    <w:p>
      <w:pPr>
        <w:sectPr>
          <w:pgSz w:w="11900" w:h="16838" w:orient="portrait"/>
          <w:cols w:equalWidth="0" w:num="1">
            <w:col w:w="11240"/>
          </w:cols>
          <w:pgMar w:left="320" w:top="85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 (18 U.S.C. 1350)</w:t>
      </w:r>
    </w:p>
    <w:p>
      <w:pPr>
        <w:spacing w:after="0" w:line="206"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In connection with the Annual Report on Form 10-K for the year ended October 31, 2021 (the “Report”) of Limoneira Company (the “Registrant”), as filed with the Securities and Exchange Commission on the date hereof, I, Harold S. Edwards, Director, President and Chief Executive Officer of the Registrant, hereby certify that:</w:t>
      </w:r>
    </w:p>
    <w:p>
      <w:pPr>
        <w:spacing w:after="0" w:line="175" w:lineRule="exact"/>
        <w:rPr>
          <w:sz w:val="20"/>
          <w:szCs w:val="20"/>
          <w:color w:val="auto"/>
        </w:rPr>
      </w:pPr>
    </w:p>
    <w:p>
      <w:pPr>
        <w:ind w:left="1120" w:hanging="305"/>
        <w:spacing w:after="0"/>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 w:lineRule="exact"/>
        <w:rPr>
          <w:rFonts w:ascii="Arial" w:cs="Arial" w:eastAsia="Arial" w:hAnsi="Arial"/>
          <w:sz w:val="17"/>
          <w:szCs w:val="17"/>
          <w:color w:val="auto"/>
        </w:rPr>
      </w:pPr>
    </w:p>
    <w:p>
      <w:pPr>
        <w:ind w:left="1120" w:hanging="305"/>
        <w:spacing w:after="0"/>
        <w:tabs>
          <w:tab w:leader="none" w:pos="11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Dated January 10, 2022.</w:t>
      </w:r>
    </w:p>
    <w:p>
      <w:pPr>
        <w:spacing w:after="0" w:line="282" w:lineRule="exact"/>
        <w:rPr>
          <w:sz w:val="20"/>
          <w:szCs w:val="20"/>
          <w:color w:val="auto"/>
        </w:rPr>
      </w:pPr>
    </w:p>
    <w:p>
      <w:pPr>
        <w:ind w:left="5000"/>
        <w:spacing w:after="0"/>
        <w:tabs>
          <w:tab w:leader="none" w:pos="7620" w:val="left"/>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3">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3"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Harold S. Edwards</w:t>
      </w:r>
    </w:p>
    <w:p>
      <w:pPr>
        <w:jc w:val="center"/>
        <w:ind w:left="5660"/>
        <w:spacing w:after="0" w:line="205" w:lineRule="auto"/>
        <w:rPr>
          <w:sz w:val="20"/>
          <w:szCs w:val="20"/>
          <w:color w:val="auto"/>
        </w:rPr>
      </w:pPr>
      <w:r>
        <w:rPr>
          <w:rFonts w:ascii="Arial" w:cs="Arial" w:eastAsia="Arial" w:hAnsi="Arial"/>
          <w:sz w:val="17"/>
          <w:szCs w:val="17"/>
          <w:b w:val="1"/>
          <w:bCs w:val="1"/>
          <w:color w:val="auto"/>
        </w:rPr>
        <w:t>Director, President and Chief Executive Officer</w:t>
      </w:r>
    </w:p>
    <w:p>
      <w:pPr>
        <w:spacing w:after="0" w:line="1"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6"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 (18 U.S.C. 1350)</w:t>
      </w:r>
    </w:p>
    <w:p>
      <w:pPr>
        <w:spacing w:after="0" w:line="206"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In connection with the Annual Report on Form 10-K for the year ended October 31, 2021 (the “Report”) of Limoneira Company (the “Registrant”), as filed with the Securities and Exchange Commission on the date hereof, I, Mark Palamountain, Chief Financial Officer, Treasurer and Corporate Secretary of the Registrant, hereby certify that:</w:t>
      </w:r>
    </w:p>
    <w:p>
      <w:pPr>
        <w:spacing w:after="0" w:line="175" w:lineRule="exact"/>
        <w:rPr>
          <w:sz w:val="20"/>
          <w:szCs w:val="20"/>
          <w:color w:val="auto"/>
        </w:rPr>
      </w:pPr>
    </w:p>
    <w:p>
      <w:pPr>
        <w:ind w:left="1120" w:hanging="305"/>
        <w:spacing w:after="0"/>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 w:lineRule="exact"/>
        <w:rPr>
          <w:rFonts w:ascii="Arial" w:cs="Arial" w:eastAsia="Arial" w:hAnsi="Arial"/>
          <w:sz w:val="17"/>
          <w:szCs w:val="17"/>
          <w:color w:val="auto"/>
        </w:rPr>
      </w:pPr>
    </w:p>
    <w:p>
      <w:pPr>
        <w:ind w:left="1120" w:hanging="305"/>
        <w:spacing w:after="0"/>
        <w:tabs>
          <w:tab w:leader="none" w:pos="11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Dated January 10, 2022.</w:t>
      </w:r>
    </w:p>
    <w:p>
      <w:pPr>
        <w:spacing w:after="0" w:line="282" w:lineRule="exact"/>
        <w:rPr>
          <w:sz w:val="20"/>
          <w:szCs w:val="20"/>
          <w:color w:val="auto"/>
        </w:rPr>
      </w:pPr>
    </w:p>
    <w:p>
      <w:pPr>
        <w:ind w:left="5000"/>
        <w:spacing w:after="0"/>
        <w:tabs>
          <w:tab w:leader="none" w:pos="7600" w:val="left"/>
          <w:tab w:leader="none" w:pos="79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4">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3"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Mark Palamountain</w:t>
      </w:r>
    </w:p>
    <w:p>
      <w:pPr>
        <w:jc w:val="center"/>
        <w:ind w:left="5660"/>
        <w:spacing w:after="0" w:line="205" w:lineRule="auto"/>
        <w:rPr>
          <w:sz w:val="20"/>
          <w:szCs w:val="20"/>
          <w:color w:val="auto"/>
        </w:rPr>
      </w:pPr>
      <w:r>
        <w:rPr>
          <w:rFonts w:ascii="Arial" w:cs="Arial" w:eastAsia="Arial" w:hAnsi="Arial"/>
          <w:sz w:val="17"/>
          <w:szCs w:val="17"/>
          <w:b w:val="1"/>
          <w:bCs w:val="1"/>
          <w:color w:val="auto"/>
        </w:rPr>
        <w:t>Chief Financial Officer, Treasurer and Corporate Secretary</w:t>
      </w:r>
    </w:p>
    <w:p>
      <w:pPr>
        <w:spacing w:after="0" w:line="1" w:lineRule="exact"/>
        <w:rPr>
          <w:sz w:val="20"/>
          <w:szCs w:val="20"/>
          <w:color w:val="auto"/>
        </w:rPr>
      </w:pPr>
    </w:p>
    <w:p>
      <w:pPr>
        <w:jc w:val="center"/>
        <w:ind w:left="5660"/>
        <w:spacing w:after="0"/>
        <w:rPr>
          <w:sz w:val="20"/>
          <w:szCs w:val="20"/>
          <w:color w:val="auto"/>
        </w:rPr>
      </w:pPr>
      <w:r>
        <w:rPr>
          <w:rFonts w:ascii="Arial" w:cs="Arial" w:eastAsia="Arial" w:hAnsi="Arial"/>
          <w:sz w:val="17"/>
          <w:szCs w:val="17"/>
          <w:b w:val="1"/>
          <w:bCs w:val="1"/>
          <w:color w:val="auto"/>
        </w:rPr>
        <w:t>(Principal Financial Officer and Accounting Officer)</w:t>
      </w:r>
    </w:p>
    <w:p>
      <w:pPr>
        <w:sectPr>
          <w:pgSz w:w="11900" w:h="16838" w:orient="portrait"/>
          <w:cols w:equalWidth="0" w:num="1">
            <w:col w:w="11240"/>
          </w:cols>
          <w:pgMar w:left="320" w:top="85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0"/>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6" w:lineRule="exact"/>
        <w:rPr>
          <w:sz w:val="20"/>
          <w:szCs w:val="20"/>
          <w:color w:val="auto"/>
        </w:rPr>
      </w:pPr>
    </w:p>
    <w:p>
      <w:pPr>
        <w:jc w:val="center"/>
        <w:ind w:right="800"/>
        <w:spacing w:after="0"/>
        <w:rPr>
          <w:sz w:val="20"/>
          <w:szCs w:val="20"/>
          <w:color w:val="auto"/>
        </w:rPr>
      </w:pPr>
      <w:r>
        <w:rPr>
          <w:rFonts w:ascii="Arial" w:cs="Arial" w:eastAsia="Arial" w:hAnsi="Arial"/>
          <w:sz w:val="24"/>
          <w:szCs w:val="24"/>
          <w:i w:val="1"/>
          <w:iCs w:val="1"/>
          <w:color w:val="auto"/>
        </w:rPr>
        <w:t>(a Delaware Limited Liability Company)</w:t>
      </w:r>
    </w:p>
    <w:p>
      <w:pPr>
        <w:spacing w:after="0" w:line="220" w:lineRule="exact"/>
        <w:rPr>
          <w:sz w:val="20"/>
          <w:szCs w:val="20"/>
          <w:color w:val="auto"/>
        </w:rPr>
      </w:pPr>
    </w:p>
    <w:p>
      <w:pPr>
        <w:jc w:val="center"/>
        <w:ind w:right="800"/>
        <w:spacing w:after="0"/>
        <w:rPr>
          <w:sz w:val="20"/>
          <w:szCs w:val="20"/>
          <w:color w:val="auto"/>
        </w:rPr>
      </w:pPr>
      <w:r>
        <w:rPr>
          <w:rFonts w:ascii="Arial" w:cs="Arial" w:eastAsia="Arial" w:hAnsi="Arial"/>
          <w:sz w:val="24"/>
          <w:szCs w:val="24"/>
          <w:color w:val="auto"/>
        </w:rPr>
        <w:t>Financial Statements</w:t>
      </w:r>
    </w:p>
    <w:p>
      <w:pPr>
        <w:spacing w:after="0" w:line="246"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October 31, 2021</w:t>
      </w:r>
    </w:p>
    <w:p>
      <w:pPr>
        <w:sectPr>
          <w:pgSz w:w="11900" w:h="16838" w:orient="portrait"/>
          <w:cols w:equalWidth="0" w:num="1">
            <w:col w:w="10120"/>
          </w:cols>
          <w:pgMar w:left="1440" w:top="817" w:right="339" w:bottom="1440" w:gutter="0" w:footer="0" w:header="0"/>
        </w:sectPr>
      </w:pPr>
    </w:p>
    <w:bookmarkStart w:id="101" w:name="page102"/>
    <w:bookmarkEnd w:id="101"/>
    <w:p>
      <w:pPr>
        <w:jc w:val="center"/>
        <w:ind w:right="-699"/>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6" w:lineRule="exact"/>
        <w:rPr>
          <w:sz w:val="20"/>
          <w:szCs w:val="20"/>
          <w:color w:val="auto"/>
        </w:rPr>
      </w:pPr>
    </w:p>
    <w:p>
      <w:pPr>
        <w:jc w:val="center"/>
        <w:ind w:right="-699"/>
        <w:spacing w:after="0"/>
        <w:rPr>
          <w:sz w:val="20"/>
          <w:szCs w:val="20"/>
          <w:color w:val="auto"/>
        </w:rPr>
      </w:pPr>
      <w:r>
        <w:rPr>
          <w:rFonts w:ascii="Arial" w:cs="Arial" w:eastAsia="Arial" w:hAnsi="Arial"/>
          <w:sz w:val="24"/>
          <w:szCs w:val="24"/>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4360" w:type="dxa"/>
            <w:vAlign w:val="bottom"/>
          </w:tcPr>
          <w:p>
            <w:pPr>
              <w:spacing w:after="0"/>
              <w:rPr>
                <w:sz w:val="24"/>
                <w:szCs w:val="24"/>
                <w:color w:val="auto"/>
              </w:rPr>
            </w:pPr>
          </w:p>
        </w:tc>
        <w:tc>
          <w:tcPr>
            <w:tcW w:w="6460" w:type="dxa"/>
            <w:vAlign w:val="bottom"/>
          </w:tcPr>
          <w:p>
            <w:pPr>
              <w:jc w:val="right"/>
              <w:ind w:right="4229"/>
              <w:spacing w:after="0"/>
              <w:rPr>
                <w:sz w:val="20"/>
                <w:szCs w:val="20"/>
                <w:color w:val="auto"/>
              </w:rPr>
            </w:pPr>
            <w:r>
              <w:rPr>
                <w:rFonts w:ascii="Arial" w:cs="Arial" w:eastAsia="Arial" w:hAnsi="Arial"/>
                <w:sz w:val="24"/>
                <w:szCs w:val="24"/>
                <w:b w:val="1"/>
                <w:bCs w:val="1"/>
                <w:color w:val="auto"/>
              </w:rPr>
              <w:t>Table of Contents</w:t>
            </w:r>
          </w:p>
        </w:tc>
      </w:tr>
      <w:tr>
        <w:trPr>
          <w:trHeight w:val="519"/>
        </w:trPr>
        <w:tc>
          <w:tcPr>
            <w:tcW w:w="4360" w:type="dxa"/>
            <w:vAlign w:val="bottom"/>
          </w:tcPr>
          <w:p>
            <w:pPr>
              <w:spacing w:after="0"/>
              <w:rPr>
                <w:sz w:val="20"/>
                <w:szCs w:val="20"/>
                <w:color w:val="auto"/>
              </w:rPr>
            </w:pPr>
            <w:r>
              <w:rPr>
                <w:rFonts w:ascii="Arial" w:cs="Arial" w:eastAsia="Arial" w:hAnsi="Arial"/>
                <w:sz w:val="17"/>
                <w:szCs w:val="17"/>
                <w:color w:val="auto"/>
                <w:w w:val="99"/>
              </w:rPr>
              <w:t>Report of Independent Registered Public Accounting Firm</w:t>
            </w:r>
          </w:p>
        </w:tc>
        <w:tc>
          <w:tcPr>
            <w:tcW w:w="64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66"/>
        </w:trPr>
        <w:tc>
          <w:tcPr>
            <w:tcW w:w="4360" w:type="dxa"/>
            <w:vAlign w:val="bottom"/>
          </w:tcPr>
          <w:p>
            <w:pPr>
              <w:spacing w:after="0"/>
              <w:rPr>
                <w:sz w:val="20"/>
                <w:szCs w:val="20"/>
                <w:color w:val="auto"/>
              </w:rPr>
            </w:pPr>
            <w:r>
              <w:rPr>
                <w:rFonts w:ascii="Arial" w:cs="Arial" w:eastAsia="Arial" w:hAnsi="Arial"/>
                <w:sz w:val="21"/>
                <w:szCs w:val="21"/>
                <w:color w:val="auto"/>
              </w:rPr>
              <w:t>Financial Statements</w:t>
            </w:r>
          </w:p>
        </w:tc>
        <w:tc>
          <w:tcPr>
            <w:tcW w:w="6460" w:type="dxa"/>
            <w:vAlign w:val="bottom"/>
          </w:tcPr>
          <w:p>
            <w:pPr>
              <w:spacing w:after="0"/>
              <w:rPr>
                <w:sz w:val="24"/>
                <w:szCs w:val="24"/>
                <w:color w:val="auto"/>
              </w:rPr>
            </w:pPr>
          </w:p>
        </w:tc>
      </w:tr>
      <w:tr>
        <w:trPr>
          <w:trHeight w:val="246"/>
        </w:trPr>
        <w:tc>
          <w:tcPr>
            <w:tcW w:w="4360" w:type="dxa"/>
            <w:vAlign w:val="bottom"/>
          </w:tcPr>
          <w:p>
            <w:pPr>
              <w:spacing w:after="0"/>
              <w:rPr>
                <w:sz w:val="20"/>
                <w:szCs w:val="20"/>
                <w:color w:val="auto"/>
              </w:rPr>
            </w:pPr>
            <w:r>
              <w:rPr>
                <w:rFonts w:ascii="Arial" w:cs="Arial" w:eastAsia="Arial" w:hAnsi="Arial"/>
                <w:sz w:val="17"/>
                <w:szCs w:val="17"/>
                <w:color w:val="auto"/>
              </w:rPr>
              <w:t>Balance Sheets</w:t>
            </w:r>
          </w:p>
        </w:tc>
        <w:tc>
          <w:tcPr>
            <w:tcW w:w="64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8"/>
        </w:trPr>
        <w:tc>
          <w:tcPr>
            <w:tcW w:w="4360" w:type="dxa"/>
            <w:vAlign w:val="bottom"/>
          </w:tcPr>
          <w:p>
            <w:pPr>
              <w:spacing w:after="0"/>
              <w:rPr>
                <w:sz w:val="20"/>
                <w:szCs w:val="20"/>
                <w:color w:val="auto"/>
              </w:rPr>
            </w:pPr>
            <w:r>
              <w:rPr>
                <w:rFonts w:ascii="Arial" w:cs="Arial" w:eastAsia="Arial" w:hAnsi="Arial"/>
                <w:sz w:val="17"/>
                <w:szCs w:val="17"/>
                <w:color w:val="auto"/>
              </w:rPr>
              <w:t>Statements of Operations</w:t>
            </w:r>
          </w:p>
        </w:tc>
        <w:tc>
          <w:tcPr>
            <w:tcW w:w="64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8"/>
        </w:trPr>
        <w:tc>
          <w:tcPr>
            <w:tcW w:w="4360" w:type="dxa"/>
            <w:vAlign w:val="bottom"/>
          </w:tcPr>
          <w:p>
            <w:pPr>
              <w:spacing w:after="0"/>
              <w:rPr>
                <w:sz w:val="20"/>
                <w:szCs w:val="20"/>
                <w:color w:val="auto"/>
              </w:rPr>
            </w:pPr>
            <w:r>
              <w:rPr>
                <w:rFonts w:ascii="Arial" w:cs="Arial" w:eastAsia="Arial" w:hAnsi="Arial"/>
                <w:sz w:val="17"/>
                <w:szCs w:val="17"/>
                <w:color w:val="auto"/>
              </w:rPr>
              <w:t>Statements of Members’ Capital</w:t>
            </w:r>
          </w:p>
        </w:tc>
        <w:tc>
          <w:tcPr>
            <w:tcW w:w="64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8"/>
        </w:trPr>
        <w:tc>
          <w:tcPr>
            <w:tcW w:w="4360" w:type="dxa"/>
            <w:vAlign w:val="bottom"/>
          </w:tcPr>
          <w:p>
            <w:pPr>
              <w:spacing w:after="0"/>
              <w:rPr>
                <w:sz w:val="20"/>
                <w:szCs w:val="20"/>
                <w:color w:val="auto"/>
              </w:rPr>
            </w:pPr>
            <w:r>
              <w:rPr>
                <w:rFonts w:ascii="Arial" w:cs="Arial" w:eastAsia="Arial" w:hAnsi="Arial"/>
                <w:sz w:val="17"/>
                <w:szCs w:val="17"/>
                <w:color w:val="auto"/>
              </w:rPr>
              <w:t>Statements of Cash Flows</w:t>
            </w:r>
          </w:p>
        </w:tc>
        <w:tc>
          <w:tcPr>
            <w:tcW w:w="6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8"/>
        </w:trPr>
        <w:tc>
          <w:tcPr>
            <w:tcW w:w="4360" w:type="dxa"/>
            <w:vAlign w:val="bottom"/>
          </w:tcPr>
          <w:p>
            <w:pPr>
              <w:spacing w:after="0"/>
              <w:rPr>
                <w:sz w:val="20"/>
                <w:szCs w:val="20"/>
                <w:color w:val="auto"/>
              </w:rPr>
            </w:pPr>
            <w:r>
              <w:rPr>
                <w:rFonts w:ascii="Arial" w:cs="Arial" w:eastAsia="Arial" w:hAnsi="Arial"/>
                <w:sz w:val="17"/>
                <w:szCs w:val="17"/>
                <w:color w:val="auto"/>
              </w:rPr>
              <w:t>Notes to Financial Statements</w:t>
            </w:r>
          </w:p>
        </w:tc>
        <w:tc>
          <w:tcPr>
            <w:tcW w:w="6460" w:type="dxa"/>
            <w:vAlign w:val="bottom"/>
          </w:tcPr>
          <w:p>
            <w:pPr>
              <w:jc w:val="right"/>
              <w:spacing w:after="0"/>
              <w:rPr>
                <w:sz w:val="20"/>
                <w:szCs w:val="20"/>
                <w:color w:val="auto"/>
              </w:rPr>
            </w:pPr>
            <w:r>
              <w:rPr>
                <w:rFonts w:ascii="Arial" w:cs="Arial" w:eastAsia="Arial" w:hAnsi="Arial"/>
                <w:sz w:val="17"/>
                <w:szCs w:val="17"/>
                <w:color w:val="auto"/>
              </w:rPr>
              <w:t>8</w:t>
            </w:r>
          </w:p>
        </w:tc>
      </w:tr>
    </w:tbl>
    <w:p>
      <w:pPr>
        <w:sectPr>
          <w:pgSz w:w="11900" w:h="16838" w:orient="portrait"/>
          <w:cols w:equalWidth="0" w:num="1">
            <w:col w:w="10820"/>
          </w:cols>
          <w:pgMar w:left="340" w:top="116" w:right="739" w:bottom="1440" w:gutter="0" w:footer="0" w:header="0"/>
        </w:sectPr>
      </w:pPr>
    </w:p>
    <w:bookmarkStart w:id="102" w:name="page103"/>
    <w:bookmarkEnd w:id="102"/>
    <w:p>
      <w:pPr>
        <w:ind w:left="2820"/>
        <w:spacing w:after="0"/>
        <w:rPr>
          <w:sz w:val="20"/>
          <w:szCs w:val="20"/>
          <w:color w:val="auto"/>
        </w:rPr>
      </w:pPr>
      <w:r>
        <w:rPr>
          <w:rFonts w:ascii="Arial" w:cs="Arial" w:eastAsia="Arial" w:hAnsi="Arial"/>
          <w:sz w:val="22"/>
          <w:szCs w:val="22"/>
          <w:b w:val="1"/>
          <w:bCs w:val="1"/>
          <w:color w:val="333333"/>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the Members of Limoneira Lewis Community Builders, LLC</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audited the accompanying balance sheets of Limoneira Lewis Community Builders, LLC (the Company) as of October 31, 2021 and 2020, the related statements of operations, members’ capital and cash flows for each of the three years in the period ended October 31, 2021, and the related notes (collectively referred to as the “financial statements”). In our opinion, the financial statements present fairly, in all material respects, the financial position of the Company at October 31, 2021 and 2020, and the results of its operations and its cash flows for each of the three years in the period ended October 31, 2021,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40"/>
          </w:cols>
          <w:pgMar w:left="320" w:top="1345" w:right="3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b w:val="1"/>
          <w:bCs w:val="1"/>
          <w:color w:val="auto"/>
        </w:rPr>
        <w:t>Critical Audit Matters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w:t>
      </w:r>
    </w:p>
    <w:p>
      <w:pPr>
        <w:jc w:val="both"/>
        <w:ind w:firstLine="3"/>
        <w:spacing w:after="0" w:line="233" w:lineRule="auto"/>
        <w:tabs>
          <w:tab w:leader="none" w:pos="269"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50" w:lineRule="exact"/>
        <w:rPr>
          <w:sz w:val="20"/>
          <w:szCs w:val="20"/>
          <w:color w:val="auto"/>
        </w:rPr>
      </w:pPr>
    </w:p>
    <w:p>
      <w:pPr>
        <w:ind w:left="2200"/>
        <w:spacing w:after="0"/>
        <w:rPr>
          <w:sz w:val="20"/>
          <w:szCs w:val="20"/>
          <w:color w:val="auto"/>
        </w:rPr>
      </w:pPr>
      <w:r>
        <w:rPr>
          <w:rFonts w:ascii="Arial" w:cs="Arial" w:eastAsia="Arial" w:hAnsi="Arial"/>
          <w:sz w:val="19"/>
          <w:szCs w:val="19"/>
          <w:b w:val="1"/>
          <w:bCs w:val="1"/>
          <w:i w:val="1"/>
          <w:iCs w:val="1"/>
          <w:color w:val="auto"/>
        </w:rPr>
        <w:t>Land Sales Revenue Recognition</w:t>
      </w:r>
    </w:p>
    <w:p>
      <w:pPr>
        <w:sectPr>
          <w:pgSz w:w="11900" w:h="16838" w:orient="portrait"/>
          <w:cols w:equalWidth="0" w:num="1">
            <w:col w:w="11240"/>
          </w:cols>
          <w:pgMar w:left="320" w:top="1354" w:right="339" w:bottom="1440" w:gutter="0" w:footer="0" w:header="0"/>
        </w:sectPr>
      </w:pPr>
    </w:p>
    <w:p>
      <w:pPr>
        <w:spacing w:after="0" w:line="297" w:lineRule="exact"/>
        <w:rPr>
          <w:sz w:val="20"/>
          <w:szCs w:val="20"/>
          <w:color w:val="auto"/>
        </w:rPr>
      </w:pPr>
    </w:p>
    <w:p>
      <w:pPr>
        <w:ind w:left="20" w:right="100"/>
        <w:spacing w:after="0" w:line="250" w:lineRule="auto"/>
        <w:rPr>
          <w:sz w:val="20"/>
          <w:szCs w:val="20"/>
          <w:color w:val="auto"/>
        </w:rPr>
      </w:pPr>
      <w:r>
        <w:rPr>
          <w:rFonts w:ascii="Arial" w:cs="Arial" w:eastAsia="Arial" w:hAnsi="Arial"/>
          <w:sz w:val="19"/>
          <w:szCs w:val="19"/>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For the year ended October 31, 2021, the Company’s revenues from land sales totaled $42.9 million. As more fully described in Note 2 to the financial statements, the Company evaluates each of its land sale contracts to identify the related performance obligations, determines and allocates the overall transaction price to the identified performance obligations, and recognizes revenue based on the extent to which the performance obligations have been satisfied. The Company also evaluates the terms of variable consideration attributable to each land sale contract, including factors indicating the need to apply a revenue constraint, and evaluates any other unique contract terms which may otherwise impact revenue recognition under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w:t>
      </w:r>
    </w:p>
    <w:p>
      <w:pPr>
        <w:spacing w:after="0" w:line="200" w:lineRule="exact"/>
        <w:rPr>
          <w:sz w:val="20"/>
          <w:szCs w:val="20"/>
          <w:color w:val="auto"/>
        </w:rPr>
      </w:pPr>
    </w:p>
    <w:p>
      <w:pPr>
        <w:sectPr>
          <w:pgSz w:w="11900" w:h="16838" w:orient="portrait"/>
          <w:cols w:equalWidth="0" w:num="2">
            <w:col w:w="1480" w:space="720"/>
            <w:col w:w="9040"/>
          </w:cols>
          <w:pgMar w:left="320" w:top="1354" w:right="339" w:bottom="1440" w:gutter="0" w:footer="0" w:header="0"/>
          <w:type w:val="continuous"/>
        </w:sectPr>
      </w:pPr>
    </w:p>
    <w:p>
      <w:pPr>
        <w:spacing w:after="0" w:line="76" w:lineRule="exact"/>
        <w:rPr>
          <w:sz w:val="20"/>
          <w:szCs w:val="20"/>
          <w:color w:val="auto"/>
        </w:rPr>
      </w:pPr>
    </w:p>
    <w:p>
      <w:pPr>
        <w:jc w:val="both"/>
        <w:ind w:left="2200" w:right="20"/>
        <w:spacing w:after="0" w:line="267" w:lineRule="auto"/>
        <w:rPr>
          <w:sz w:val="20"/>
          <w:szCs w:val="20"/>
          <w:color w:val="auto"/>
        </w:rPr>
      </w:pPr>
      <w:r>
        <w:rPr>
          <w:rFonts w:ascii="Arial" w:cs="Arial" w:eastAsia="Arial" w:hAnsi="Arial"/>
          <w:sz w:val="17"/>
          <w:szCs w:val="17"/>
          <w:color w:val="auto"/>
        </w:rPr>
        <w:t>Auditing the Company’s recognition and measurement of land sales revenue is especially challenging because the application of the ASC 606 revenue recognition model to land sale transactions is complex and involves significant judgments related to the identification of performance obligations within the context of each contract; the determination of overall transaction price, including estimates of variable consideration and determining the need to apply a revenue constraint; and evaluation of any unique contract terms which could impact revenue recognition.</w:t>
      </w:r>
    </w:p>
    <w:p>
      <w:pPr>
        <w:sectPr>
          <w:pgSz w:w="11900" w:h="16838" w:orient="portrait"/>
          <w:cols w:equalWidth="0" w:num="1">
            <w:col w:w="11240"/>
          </w:cols>
          <w:pgMar w:left="320" w:top="1354" w:right="339" w:bottom="1440" w:gutter="0" w:footer="0" w:header="0"/>
          <w:type w:val="continuous"/>
        </w:sectPr>
      </w:pPr>
    </w:p>
    <w:bookmarkStart w:id="104" w:name="page105"/>
    <w:bookmarkEnd w:id="104"/>
    <w:p>
      <w:pPr>
        <w:spacing w:after="0" w:line="308"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7"/>
          <w:szCs w:val="17"/>
          <w:color w:val="auto"/>
        </w:rPr>
        <w:t>To test the land sales revenue recognized by the Company, our audit procedures included, among others, testing each land sale transaction and assessing the methodologies and evaluating the significant judgments used by the Company in applying the ASC 606 revenue recognition model to its land sales contracts. We tested each of the Company’s land sale transactions in the current year through inspection of the terms of the purchase and sale agreements and other relevant agreements, inspection of closing statements, vouching of significant cash proceeds received, and recalculation of revenue recognized. We evaluated the methodology utilized and significant judgments made by management in the application of the ASC 606 revenue recognition model to each land sale transaction, including: the identification of performance obligations within the context of each contract; the determination of the overall transaction price, including variable consideration, and related judgments involved in determining whether to constrain revenue related to variable consideration; and the evaluation of any unique contract terms and related impact on the overall recognition or measurement of revenue. We also performed inquiries of operational personnel outside the accounting function and performed a physical site inspection to corroborate our inquiries of management and to identify any contrary information toward the satisfaction of performance obligations and overall recognition and measurement of revenue within the ASC 606 model.</w:t>
      </w:r>
    </w:p>
    <w:p>
      <w:pPr>
        <w:spacing w:after="0" w:line="200" w:lineRule="exact"/>
        <w:rPr>
          <w:sz w:val="20"/>
          <w:szCs w:val="20"/>
          <w:color w:val="auto"/>
        </w:rPr>
      </w:pPr>
    </w:p>
    <w:p>
      <w:pPr>
        <w:sectPr>
          <w:pgSz w:w="11900" w:h="16838" w:orient="portrait"/>
          <w:cols w:equalWidth="0" w:num="2">
            <w:col w:w="1740" w:space="440"/>
            <w:col w:w="9020"/>
          </w:cols>
          <w:pgMar w:left="340" w:top="1412" w:right="359" w:bottom="1440" w:gutter="0" w:footer="0" w:header="0"/>
        </w:sectPr>
      </w:pPr>
    </w:p>
    <w:p>
      <w:pPr>
        <w:spacing w:after="0" w:line="67" w:lineRule="exact"/>
        <w:rPr>
          <w:sz w:val="20"/>
          <w:szCs w:val="20"/>
          <w:color w:val="auto"/>
        </w:rPr>
      </w:pPr>
    </w:p>
    <w:p>
      <w:pPr>
        <w:ind w:left="2180"/>
        <w:spacing w:after="0"/>
        <w:rPr>
          <w:sz w:val="20"/>
          <w:szCs w:val="20"/>
          <w:color w:val="auto"/>
        </w:rPr>
      </w:pPr>
      <w:r>
        <w:rPr>
          <w:rFonts w:ascii="Arial" w:cs="Arial" w:eastAsia="Arial" w:hAnsi="Arial"/>
          <w:sz w:val="16"/>
          <w:szCs w:val="16"/>
          <w:b w:val="1"/>
          <w:bCs w:val="1"/>
          <w:i w:val="1"/>
          <w:iCs w:val="1"/>
          <w:color w:val="auto"/>
        </w:rPr>
        <w:t>Project Budgeting and Cost of Land Sales</w:t>
      </w:r>
    </w:p>
    <w:p>
      <w:pPr>
        <w:sectPr>
          <w:pgSz w:w="11900" w:h="16838" w:orient="portrait"/>
          <w:cols w:equalWidth="0" w:num="1">
            <w:col w:w="11200"/>
          </w:cols>
          <w:pgMar w:left="340" w:top="1412" w:right="359" w:bottom="1440" w:gutter="0" w:footer="0" w:header="0"/>
          <w:type w:val="continuous"/>
        </w:sectPr>
      </w:pPr>
    </w:p>
    <w:p>
      <w:pPr>
        <w:spacing w:after="0" w:line="332"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As discussed in Note 2 to the financial statements, cost of land sales is determined based on an allocation of costs to individual land parcels sold based on specific identification, if practicable, or an allocation based on a method which approximates relative fair value.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w:t>
      </w:r>
    </w:p>
    <w:p>
      <w:pPr>
        <w:spacing w:after="0" w:line="200" w:lineRule="exact"/>
        <w:rPr>
          <w:sz w:val="20"/>
          <w:szCs w:val="20"/>
          <w:color w:val="auto"/>
        </w:rPr>
      </w:pPr>
    </w:p>
    <w:p>
      <w:pPr>
        <w:sectPr>
          <w:pgSz w:w="11900" w:h="16838" w:orient="portrait"/>
          <w:cols w:equalWidth="0" w:num="2">
            <w:col w:w="1460" w:space="720"/>
            <w:col w:w="9020"/>
          </w:cols>
          <w:pgMar w:left="340" w:top="1412" w:right="359" w:bottom="1440" w:gutter="0" w:footer="0" w:header="0"/>
          <w:type w:val="continuous"/>
        </w:sectPr>
      </w:pPr>
    </w:p>
    <w:p>
      <w:pPr>
        <w:spacing w:after="0" w:line="81" w:lineRule="exact"/>
        <w:rPr>
          <w:sz w:val="20"/>
          <w:szCs w:val="20"/>
          <w:color w:val="auto"/>
        </w:rPr>
      </w:pPr>
    </w:p>
    <w:p>
      <w:pPr>
        <w:jc w:val="both"/>
        <w:ind w:left="2180"/>
        <w:spacing w:after="0" w:line="239" w:lineRule="auto"/>
        <w:rPr>
          <w:sz w:val="20"/>
          <w:szCs w:val="20"/>
          <w:color w:val="auto"/>
        </w:rPr>
      </w:pPr>
      <w:r>
        <w:rPr>
          <w:rFonts w:ascii="Arial" w:cs="Arial" w:eastAsia="Arial" w:hAnsi="Arial"/>
          <w:sz w:val="19"/>
          <w:szCs w:val="19"/>
          <w:color w:val="auto"/>
        </w:rPr>
        <w:t>Auditing the Company’s cost of land sales is especially challenging as it involves significant management estimation related to projecting future development costs and land sales prices and involves judgment and complexity in applying the appropriate costing methodology to each land sale.</w:t>
      </w:r>
    </w:p>
    <w:p>
      <w:pPr>
        <w:sectPr>
          <w:pgSz w:w="11900" w:h="16838" w:orient="portrait"/>
          <w:cols w:equalWidth="0" w:num="1">
            <w:col w:w="11200"/>
          </w:cols>
          <w:pgMar w:left="340" w:top="1412" w:right="359" w:bottom="1440" w:gutter="0" w:footer="0" w:header="0"/>
          <w:type w:val="continuous"/>
        </w:sectPr>
      </w:pPr>
    </w:p>
    <w:bookmarkStart w:id="105" w:name="page106"/>
    <w:bookmarkEnd w:id="105"/>
    <w:p>
      <w:pPr>
        <w:spacing w:after="0" w:line="230"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9"/>
          <w:szCs w:val="19"/>
          <w:i w:val="1"/>
          <w:iCs w:val="1"/>
          <w:color w:val="auto"/>
        </w:rPr>
        <w:t>How We Addressed the</w:t>
      </w:r>
      <w:r>
        <w:rPr>
          <w:sz w:val="20"/>
          <w:szCs w:val="20"/>
          <w:color w:val="auto"/>
        </w:rPr>
        <w:tab/>
      </w:r>
      <w:r>
        <w:rPr>
          <w:rFonts w:ascii="Arial" w:cs="Arial" w:eastAsia="Arial" w:hAnsi="Arial"/>
          <w:sz w:val="18"/>
          <w:szCs w:val="18"/>
          <w:color w:val="auto"/>
        </w:rPr>
        <w:t>To test cost of land sales recorded by the Company, our audit procedures included, among others, evaluating</w:t>
      </w:r>
    </w:p>
    <w:p>
      <w:pPr>
        <w:spacing w:after="0" w:line="4" w:lineRule="exact"/>
        <w:rPr>
          <w:sz w:val="20"/>
          <w:szCs w:val="20"/>
          <w:color w:val="auto"/>
        </w:rPr>
      </w:pPr>
    </w:p>
    <w:p>
      <w:pPr>
        <w:jc w:val="both"/>
        <w:ind w:left="2200" w:hanging="2178"/>
        <w:spacing w:after="0" w:line="257" w:lineRule="auto"/>
        <w:tabs>
          <w:tab w:leader="none" w:pos="2180" w:val="left"/>
        </w:tabs>
        <w:rPr>
          <w:sz w:val="20"/>
          <w:szCs w:val="20"/>
          <w:color w:val="auto"/>
        </w:rPr>
      </w:pPr>
      <w:r>
        <w:rPr>
          <w:rFonts w:ascii="Arial" w:cs="Arial" w:eastAsia="Arial" w:hAnsi="Arial"/>
          <w:sz w:val="19"/>
          <w:szCs w:val="19"/>
          <w:i w:val="1"/>
          <w:iCs w:val="1"/>
          <w:color w:val="auto"/>
        </w:rPr>
        <w:t>Matter in Our Audit</w:t>
      </w:r>
      <w:r>
        <w:rPr>
          <w:sz w:val="20"/>
          <w:szCs w:val="20"/>
          <w:color w:val="auto"/>
        </w:rPr>
        <w:tab/>
      </w:r>
      <w:r>
        <w:rPr>
          <w:rFonts w:ascii="Arial" w:cs="Arial" w:eastAsia="Arial" w:hAnsi="Arial"/>
          <w:sz w:val="17"/>
          <w:szCs w:val="17"/>
          <w:color w:val="auto"/>
        </w:rPr>
        <w:t>management’s methodology for estimating future costs and sales prices associated with the project and allocating such costs to individual land sales, as well as evaluating the underlying data and assumptions used by management. We tested projected future sales prices by comparing against actual historical sales and evaluating underlying assumptions against market data. We tested projected future development costs by comparing against development obligations in contractual agreements to determine completeness and accuracy, comparing cost projections to historical actuals for similar work performed at the project, and comparing projected costs to current commitments in place on a sample basis. We also evaluated changes in budgeted revenue and cost amounts from previous periods for reasonableness relative to changes in the project development and other factors. Further, we performed inquiries with operational personnel outside the accounting function to corroborate information obtained from management and performed a site visit to the project to compare the overall status of the development to information reflected in the project budget.</w:t>
      </w:r>
    </w:p>
    <w:p>
      <w:pPr>
        <w:spacing w:after="0" w:line="200" w:lineRule="exact"/>
        <w:rPr>
          <w:sz w:val="20"/>
          <w:szCs w:val="20"/>
          <w:color w:val="auto"/>
        </w:rPr>
      </w:pPr>
    </w:p>
    <w:p>
      <w:pPr>
        <w:spacing w:after="0" w:line="39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31115</wp:posOffset>
            </wp:positionV>
            <wp:extent cx="34791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5">
                      <a:extLst>
                        <a:ext uri="{28A0092B-C50C-407E-A947-70E740481C1C}"/>
                      </a:extLst>
                    </a:blip>
                    <a:srcRect/>
                    <a:stretch>
                      <a:fillRect/>
                    </a:stretch>
                  </pic:blipFill>
                  <pic:spPr bwMode="auto">
                    <a:xfrm>
                      <a:off x="0" y="0"/>
                      <a:ext cx="34791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2016.</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Irvine, California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December 20, 2021</w:t>
      </w:r>
    </w:p>
    <w:p>
      <w:pPr>
        <w:sectPr>
          <w:pgSz w:w="11900" w:h="16838" w:orient="portrait"/>
          <w:cols w:equalWidth="0" w:num="1">
            <w:col w:w="11220"/>
          </w:cols>
          <w:pgMar w:left="320" w:top="1440"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Balance Sheets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 thousands)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60" w:type="dxa"/>
            <w:vAlign w:val="bottom"/>
            <w:gridSpan w:val="5"/>
          </w:tcPr>
          <w:p>
            <w:pPr>
              <w:ind w:left="1040"/>
              <w:spacing w:after="0"/>
              <w:rPr>
                <w:sz w:val="20"/>
                <w:szCs w:val="20"/>
                <w:color w:val="auto"/>
              </w:rPr>
            </w:pPr>
            <w:r>
              <w:rPr>
                <w:rFonts w:ascii="Arial" w:cs="Arial" w:eastAsia="Arial" w:hAnsi="Arial"/>
                <w:sz w:val="19"/>
                <w:szCs w:val="19"/>
                <w:b w:val="1"/>
                <w:bCs w:val="1"/>
                <w:color w:val="auto"/>
              </w:rPr>
              <w:t>October 31,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jc w:val="right"/>
              <w:ind w:right="569"/>
              <w:spacing w:after="0"/>
              <w:rPr>
                <w:sz w:val="20"/>
                <w:szCs w:val="20"/>
                <w:color w:val="auto"/>
              </w:rPr>
            </w:pPr>
            <w:r>
              <w:rPr>
                <w:rFonts w:ascii="Arial" w:cs="Arial" w:eastAsia="Arial" w:hAnsi="Arial"/>
                <w:sz w:val="19"/>
                <w:szCs w:val="19"/>
                <w:b w:val="1"/>
                <w:bCs w:val="1"/>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569"/>
              <w:spacing w:after="0"/>
              <w:rPr>
                <w:sz w:val="20"/>
                <w:szCs w:val="20"/>
                <w:color w:val="auto"/>
              </w:rPr>
            </w:pPr>
            <w:r>
              <w:rPr>
                <w:rFonts w:ascii="Arial" w:cs="Arial" w:eastAsia="Arial" w:hAnsi="Arial"/>
                <w:sz w:val="19"/>
                <w:szCs w:val="19"/>
                <w:b w:val="1"/>
                <w:bCs w:val="1"/>
                <w:color w:val="auto"/>
              </w:rPr>
              <w:t>2020</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9"/>
                <w:szCs w:val="19"/>
                <w:b w:val="1"/>
                <w:bCs w:val="1"/>
                <w:color w:val="auto"/>
              </w:rPr>
              <w:t>Assets</w:t>
            </w: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0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Land held for development and sale</w:t>
            </w:r>
          </w:p>
        </w:tc>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98,951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122,206</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Due from affiliates (Note 7)</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Refundable deposits and other assets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Note receivable – land sale</w:t>
            </w:r>
          </w:p>
        </w:tc>
        <w:tc>
          <w:tcPr>
            <w:tcW w:w="440" w:type="dxa"/>
            <w:vAlign w:val="bottom"/>
          </w:tcPr>
          <w:p>
            <w:pPr>
              <w:spacing w:after="0"/>
              <w:rPr>
                <w:sz w:val="23"/>
                <w:szCs w:val="23"/>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6,084</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Contract assets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9"/>
                <w:szCs w:val="19"/>
                <w:color w:val="auto"/>
              </w:rPr>
              <w:t>Total assets</w:t>
            </w: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040" w:type="dxa"/>
            <w:vAlign w:val="bottom"/>
            <w:vMerge w:val="continue"/>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108,964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130,171</w:t>
            </w:r>
          </w:p>
        </w:tc>
        <w:tc>
          <w:tcPr>
            <w:tcW w:w="0" w:type="dxa"/>
            <w:vAlign w:val="bottom"/>
          </w:tcPr>
          <w:p>
            <w:pPr>
              <w:spacing w:after="0"/>
              <w:rPr>
                <w:sz w:val="1"/>
                <w:szCs w:val="1"/>
                <w:color w:val="auto"/>
              </w:rPr>
            </w:pPr>
          </w:p>
        </w:tc>
      </w:tr>
      <w:tr>
        <w:trPr>
          <w:trHeight w:val="27"/>
        </w:trPr>
        <w:tc>
          <w:tcPr>
            <w:tcW w:w="7040" w:type="dxa"/>
            <w:vAlign w:val="bottom"/>
            <w:vMerge w:val="restart"/>
          </w:tcPr>
          <w:p>
            <w:pPr>
              <w:spacing w:after="0"/>
              <w:rPr>
                <w:sz w:val="20"/>
                <w:szCs w:val="20"/>
                <w:color w:val="auto"/>
              </w:rPr>
            </w:pPr>
            <w:r>
              <w:rPr>
                <w:rFonts w:ascii="Arial" w:cs="Arial" w:eastAsia="Arial" w:hAnsi="Arial"/>
                <w:sz w:val="19"/>
                <w:szCs w:val="19"/>
                <w:b w:val="1"/>
                <w:bCs w:val="1"/>
                <w:color w:val="auto"/>
              </w:rPr>
              <w:t>Liabilities and members’ capital</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4"/>
        </w:trPr>
        <w:tc>
          <w:tcPr>
            <w:tcW w:w="70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Unsecured line of credit, net of unamortized</w:t>
            </w: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loan costs (Note 5)</w:t>
            </w:r>
          </w:p>
        </w:tc>
        <w:tc>
          <w:tcPr>
            <w:tcW w:w="440" w:type="dxa"/>
            <w:vAlign w:val="bottom"/>
          </w:tcPr>
          <w:p>
            <w:pPr>
              <w:ind w:left="20"/>
              <w:spacing w:after="0"/>
              <w:rPr>
                <w:sz w:val="20"/>
                <w:szCs w:val="20"/>
                <w:color w:val="auto"/>
              </w:rPr>
            </w:pPr>
            <w:r>
              <w:rPr>
                <w:rFonts w:ascii="Arial" w:cs="Arial" w:eastAsia="Arial" w:hAnsi="Arial"/>
                <w:sz w:val="19"/>
                <w:szCs w:val="19"/>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9"/>
                <w:szCs w:val="19"/>
                <w:color w:val="auto"/>
              </w:rPr>
              <w:t>—</w:t>
            </w:r>
          </w:p>
        </w:tc>
        <w:tc>
          <w:tcPr>
            <w:tcW w:w="200" w:type="dxa"/>
            <w:vAlign w:val="bottom"/>
          </w:tcPr>
          <w:p>
            <w:pPr>
              <w:ind w:left="2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30,368</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Accounts payable and accrued expenses</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4,657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3,843</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Unearned revenue (Note 3)</w:t>
            </w:r>
          </w:p>
        </w:tc>
        <w:tc>
          <w:tcPr>
            <w:tcW w:w="440" w:type="dxa"/>
            <w:vAlign w:val="bottom"/>
          </w:tcPr>
          <w:p>
            <w:pPr>
              <w:spacing w:after="0"/>
              <w:rPr>
                <w:sz w:val="23"/>
                <w:szCs w:val="23"/>
                <w:color w:val="auto"/>
              </w:rPr>
            </w:pPr>
          </w:p>
        </w:tc>
        <w:tc>
          <w:tcPr>
            <w:tcW w:w="1680" w:type="dxa"/>
            <w:vAlign w:val="bottom"/>
            <w:gridSpan w:val="3"/>
          </w:tcPr>
          <w:p>
            <w:pPr>
              <w:jc w:val="right"/>
              <w:ind w:right="4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696</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Due to affiliates (Note 7)</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95</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7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4,708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35,002</w:t>
            </w:r>
          </w:p>
        </w:tc>
        <w:tc>
          <w:tcPr>
            <w:tcW w:w="0" w:type="dxa"/>
            <w:vAlign w:val="bottom"/>
          </w:tcPr>
          <w:p>
            <w:pPr>
              <w:spacing w:after="0"/>
              <w:rPr>
                <w:sz w:val="1"/>
                <w:szCs w:val="1"/>
                <w:color w:val="auto"/>
              </w:rPr>
            </w:pPr>
          </w:p>
        </w:tc>
      </w:tr>
      <w:tr>
        <w:trPr>
          <w:trHeight w:val="529"/>
        </w:trPr>
        <w:tc>
          <w:tcPr>
            <w:tcW w:w="7040" w:type="dxa"/>
            <w:vAlign w:val="bottom"/>
          </w:tcPr>
          <w:p>
            <w:pPr>
              <w:spacing w:after="0"/>
              <w:rPr>
                <w:sz w:val="20"/>
                <w:szCs w:val="20"/>
                <w:color w:val="auto"/>
              </w:rPr>
            </w:pPr>
            <w:r>
              <w:rPr>
                <w:rFonts w:ascii="Arial" w:cs="Arial" w:eastAsia="Arial" w:hAnsi="Arial"/>
                <w:sz w:val="19"/>
                <w:szCs w:val="19"/>
                <w:color w:val="auto"/>
              </w:rPr>
              <w:t>Commitments and contingencies (Note 8)</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7040" w:type="dxa"/>
            <w:vAlign w:val="bottom"/>
          </w:tcPr>
          <w:p>
            <w:pPr>
              <w:spacing w:after="0"/>
              <w:rPr>
                <w:sz w:val="20"/>
                <w:szCs w:val="20"/>
                <w:color w:val="auto"/>
              </w:rPr>
            </w:pPr>
            <w:r>
              <w:rPr>
                <w:rFonts w:ascii="Arial" w:cs="Arial" w:eastAsia="Arial" w:hAnsi="Arial"/>
                <w:sz w:val="19"/>
                <w:szCs w:val="19"/>
                <w:color w:val="auto"/>
              </w:rPr>
              <w:t>Members’ capital:</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Limoneira EA1 Land, LLC</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51,416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46,908</w:t>
            </w: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0"/>
                <w:szCs w:val="20"/>
                <w:color w:val="auto"/>
              </w:rPr>
            </w:pPr>
            <w:r>
              <w:rPr>
                <w:rFonts w:ascii="Arial" w:cs="Arial" w:eastAsia="Arial" w:hAnsi="Arial"/>
                <w:sz w:val="19"/>
                <w:szCs w:val="19"/>
                <w:color w:val="auto"/>
              </w:rPr>
              <w:t>Lewis Santa Paula Member, LLC</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52,840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48,261</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7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104,256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95,169</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7040" w:type="dxa"/>
            <w:vAlign w:val="bottom"/>
          </w:tcPr>
          <w:p>
            <w:pPr>
              <w:spacing w:after="0"/>
              <w:rPr>
                <w:sz w:val="20"/>
                <w:szCs w:val="20"/>
                <w:color w:val="auto"/>
              </w:rPr>
            </w:pPr>
            <w:r>
              <w:rPr>
                <w:rFonts w:ascii="Arial" w:cs="Arial" w:eastAsia="Arial" w:hAnsi="Arial"/>
                <w:sz w:val="19"/>
                <w:szCs w:val="19"/>
                <w:color w:val="auto"/>
              </w:rPr>
              <w:t>Total liabilities and members’ capital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108,964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130,171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16"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Statements of Operations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 thousands)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4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3"/>
          </w:tcPr>
          <w:p>
            <w:pPr>
              <w:ind w:left="40"/>
              <w:spacing w:after="0"/>
              <w:rPr>
                <w:sz w:val="20"/>
                <w:szCs w:val="20"/>
                <w:color w:val="auto"/>
              </w:rPr>
            </w:pPr>
            <w:r>
              <w:rPr>
                <w:rFonts w:ascii="Arial" w:cs="Arial" w:eastAsia="Arial" w:hAnsi="Arial"/>
                <w:sz w:val="19"/>
                <w:szCs w:val="19"/>
                <w:b w:val="1"/>
                <w:bCs w:val="1"/>
                <w:color w:val="auto"/>
                <w:w w:val="93"/>
              </w:rPr>
              <w:t>Year Ended October 31,</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auto"/>
              </w:rPr>
              <w:t>2021</w:t>
            </w: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86"/>
              <w:spacing w:after="0"/>
              <w:rPr>
                <w:sz w:val="20"/>
                <w:szCs w:val="20"/>
                <w:color w:val="auto"/>
              </w:rPr>
            </w:pPr>
            <w:r>
              <w:rPr>
                <w:rFonts w:ascii="Arial" w:cs="Arial" w:eastAsia="Arial" w:hAnsi="Arial"/>
                <w:sz w:val="19"/>
                <w:szCs w:val="19"/>
                <w:b w:val="1"/>
                <w:bCs w:val="1"/>
                <w:color w:val="auto"/>
              </w:rPr>
              <w:t>2020</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ind w:right="646"/>
              <w:spacing w:after="0"/>
              <w:rPr>
                <w:sz w:val="20"/>
                <w:szCs w:val="20"/>
                <w:color w:val="auto"/>
              </w:rPr>
            </w:pPr>
            <w:r>
              <w:rPr>
                <w:rFonts w:ascii="Arial" w:cs="Arial" w:eastAsia="Arial" w:hAnsi="Arial"/>
                <w:sz w:val="19"/>
                <w:szCs w:val="19"/>
                <w:b w:val="1"/>
                <w:bCs w:val="1"/>
                <w:color w:val="auto"/>
              </w:rPr>
              <w:t>2019</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9"/>
                <w:szCs w:val="19"/>
                <w:color w:val="auto"/>
              </w:rPr>
              <w:t>Revenues:</w:t>
            </w: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48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Arial" w:cs="Arial" w:eastAsia="Arial" w:hAnsi="Arial"/>
                <w:sz w:val="19"/>
                <w:szCs w:val="19"/>
                <w:color w:val="auto"/>
              </w:rPr>
              <w:t>Land sales</w:t>
            </w:r>
          </w:p>
        </w:tc>
        <w:tc>
          <w:tcPr>
            <w:tcW w:w="1240" w:type="dxa"/>
            <w:vAlign w:val="bottom"/>
          </w:tcPr>
          <w:p>
            <w:pPr>
              <w:jc w:val="right"/>
              <w:ind w:right="1046"/>
              <w:spacing w:after="0"/>
              <w:rPr>
                <w:sz w:val="20"/>
                <w:szCs w:val="20"/>
                <w:color w:val="auto"/>
              </w:rPr>
            </w:pPr>
            <w:r>
              <w:rPr>
                <w:rFonts w:ascii="Arial" w:cs="Arial" w:eastAsia="Arial" w:hAnsi="Arial"/>
                <w:sz w:val="19"/>
                <w:szCs w:val="19"/>
                <w:color w:val="auto"/>
                <w:w w:val="75"/>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42,853</w:t>
            </w:r>
          </w:p>
        </w:tc>
        <w:tc>
          <w:tcPr>
            <w:tcW w:w="320" w:type="dxa"/>
            <w:vAlign w:val="bottom"/>
          </w:tcPr>
          <w:p>
            <w:pPr>
              <w:spacing w:after="0"/>
              <w:rPr>
                <w:sz w:val="23"/>
                <w:szCs w:val="23"/>
                <w:color w:val="auto"/>
              </w:rPr>
            </w:pPr>
          </w:p>
        </w:tc>
        <w:tc>
          <w:tcPr>
            <w:tcW w:w="400" w:type="dxa"/>
            <w:vAlign w:val="bottom"/>
          </w:tcPr>
          <w:p>
            <w:pPr>
              <w:jc w:val="right"/>
              <w:ind w:right="186"/>
              <w:spacing w:after="0"/>
              <w:rPr>
                <w:sz w:val="20"/>
                <w:szCs w:val="20"/>
                <w:color w:val="auto"/>
              </w:rPr>
            </w:pPr>
            <w:r>
              <w:rPr>
                <w:rFonts w:ascii="Arial" w:cs="Arial" w:eastAsia="Arial" w:hAnsi="Arial"/>
                <w:sz w:val="19"/>
                <w:szCs w:val="19"/>
                <w:color w:val="auto"/>
                <w:w w:val="94"/>
              </w:rPr>
              <w:t>$</w:t>
            </w:r>
          </w:p>
        </w:tc>
        <w:tc>
          <w:tcPr>
            <w:tcW w:w="1340" w:type="dxa"/>
            <w:vAlign w:val="bottom"/>
          </w:tcPr>
          <w:p>
            <w:pPr>
              <w:jc w:val="right"/>
              <w:spacing w:after="0"/>
              <w:rPr>
                <w:sz w:val="20"/>
                <w:szCs w:val="20"/>
                <w:color w:val="auto"/>
              </w:rPr>
            </w:pPr>
            <w:r>
              <w:rPr>
                <w:rFonts w:ascii="Arial" w:cs="Arial" w:eastAsia="Arial" w:hAnsi="Arial"/>
                <w:sz w:val="19"/>
                <w:szCs w:val="19"/>
                <w:color w:val="auto"/>
              </w:rPr>
              <w:t>25,906</w:t>
            </w:r>
          </w:p>
        </w:tc>
        <w:tc>
          <w:tcPr>
            <w:tcW w:w="320" w:type="dxa"/>
            <w:vAlign w:val="bottom"/>
          </w:tcPr>
          <w:p>
            <w:pPr>
              <w:spacing w:after="0"/>
              <w:rPr>
                <w:sz w:val="23"/>
                <w:szCs w:val="23"/>
                <w:color w:val="auto"/>
              </w:rPr>
            </w:pPr>
          </w:p>
        </w:tc>
        <w:tc>
          <w:tcPr>
            <w:tcW w:w="440" w:type="dxa"/>
            <w:vAlign w:val="bottom"/>
          </w:tcPr>
          <w:p>
            <w:pPr>
              <w:jc w:val="right"/>
              <w:ind w:right="226"/>
              <w:spacing w:after="0"/>
              <w:rPr>
                <w:sz w:val="20"/>
                <w:szCs w:val="20"/>
                <w:color w:val="auto"/>
              </w:rPr>
            </w:pPr>
            <w:r>
              <w:rPr>
                <w:rFonts w:ascii="Arial" w:cs="Arial" w:eastAsia="Arial" w:hAnsi="Arial"/>
                <w:sz w:val="19"/>
                <w:szCs w:val="19"/>
                <w:color w:val="auto"/>
                <w:w w:val="94"/>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37,788</w:t>
            </w:r>
          </w:p>
        </w:tc>
        <w:tc>
          <w:tcPr>
            <w:tcW w:w="0" w:type="dxa"/>
            <w:vAlign w:val="bottom"/>
          </w:tcPr>
          <w:p>
            <w:pPr>
              <w:spacing w:after="0"/>
              <w:rPr>
                <w:sz w:val="1"/>
                <w:szCs w:val="1"/>
                <w:color w:val="auto"/>
              </w:rPr>
            </w:pPr>
          </w:p>
        </w:tc>
      </w:tr>
      <w:tr>
        <w:trPr>
          <w:trHeight w:val="490"/>
        </w:trPr>
        <w:tc>
          <w:tcPr>
            <w:tcW w:w="4860" w:type="dxa"/>
            <w:vAlign w:val="bottom"/>
          </w:tcPr>
          <w:p>
            <w:pPr>
              <w:spacing w:after="0"/>
              <w:rPr>
                <w:sz w:val="20"/>
                <w:szCs w:val="20"/>
                <w:color w:val="auto"/>
              </w:rPr>
            </w:pPr>
            <w:r>
              <w:rPr>
                <w:rFonts w:ascii="Arial" w:cs="Arial" w:eastAsia="Arial" w:hAnsi="Arial"/>
                <w:sz w:val="19"/>
                <w:szCs w:val="19"/>
                <w:color w:val="auto"/>
              </w:rPr>
              <w:t>Cost of sales:</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Arial" w:cs="Arial" w:eastAsia="Arial" w:hAnsi="Arial"/>
                <w:sz w:val="19"/>
                <w:szCs w:val="19"/>
                <w:color w:val="auto"/>
              </w:rPr>
              <w:t>Cost of land sales</w:t>
            </w:r>
          </w:p>
        </w:tc>
        <w:tc>
          <w:tcPr>
            <w:tcW w:w="1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w w:val="98"/>
              </w:rPr>
              <w:t>(32,735)</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(21,791)</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(27,204)</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9"/>
                <w:szCs w:val="19"/>
                <w:color w:val="auto"/>
              </w:rPr>
              <w:t>Gross profit</w:t>
            </w: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86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10,118</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4,115</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10,584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4860" w:type="dxa"/>
            <w:vAlign w:val="bottom"/>
          </w:tcPr>
          <w:p>
            <w:pPr>
              <w:spacing w:after="0"/>
              <w:rPr>
                <w:sz w:val="20"/>
                <w:szCs w:val="20"/>
                <w:color w:val="auto"/>
              </w:rPr>
            </w:pPr>
            <w:r>
              <w:rPr>
                <w:rFonts w:ascii="Arial" w:cs="Arial" w:eastAsia="Arial" w:hAnsi="Arial"/>
                <w:sz w:val="19"/>
                <w:szCs w:val="19"/>
                <w:color w:val="auto"/>
              </w:rPr>
              <w:t>Sales and marketing expenses</w:t>
            </w:r>
          </w:p>
        </w:tc>
        <w:tc>
          <w:tcPr>
            <w:tcW w:w="1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984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1,071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601</w:t>
            </w: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1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88</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217</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Arial" w:cs="Arial" w:eastAsia="Arial" w:hAnsi="Arial"/>
                <w:sz w:val="19"/>
                <w:szCs w:val="19"/>
                <w:color w:val="auto"/>
              </w:rPr>
              <w:t>Abandoned development costs</w:t>
            </w:r>
          </w:p>
        </w:tc>
        <w:tc>
          <w:tcPr>
            <w:tcW w:w="1240" w:type="dxa"/>
            <w:vAlign w:val="bottom"/>
          </w:tcPr>
          <w:p>
            <w:pPr>
              <w:spacing w:after="0"/>
              <w:rPr>
                <w:sz w:val="23"/>
                <w:szCs w:val="2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316</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Arial" w:cs="Arial" w:eastAsia="Arial" w:hAnsi="Arial"/>
                <w:sz w:val="19"/>
                <w:szCs w:val="19"/>
                <w:color w:val="auto"/>
              </w:rPr>
              <w:t>Other (income) expense</w:t>
            </w:r>
          </w:p>
        </w:tc>
        <w:tc>
          <w:tcPr>
            <w:tcW w:w="1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(41)</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(104)</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4860" w:type="dxa"/>
            <w:vAlign w:val="bottom"/>
          </w:tcPr>
          <w:p>
            <w:pPr>
              <w:spacing w:after="0"/>
              <w:rPr>
                <w:sz w:val="20"/>
                <w:szCs w:val="20"/>
                <w:color w:val="auto"/>
              </w:rPr>
            </w:pPr>
            <w:r>
              <w:rPr>
                <w:rFonts w:ascii="Arial" w:cs="Arial" w:eastAsia="Arial" w:hAnsi="Arial"/>
                <w:sz w:val="19"/>
                <w:szCs w:val="19"/>
                <w:color w:val="auto"/>
              </w:rPr>
              <w:t>Net income</w:t>
            </w:r>
          </w:p>
        </w:tc>
        <w:tc>
          <w:tcPr>
            <w:tcW w:w="1240" w:type="dxa"/>
            <w:vAlign w:val="bottom"/>
          </w:tcPr>
          <w:p>
            <w:pPr>
              <w:jc w:val="right"/>
              <w:ind w:right="1046"/>
              <w:spacing w:after="0"/>
              <w:rPr>
                <w:sz w:val="20"/>
                <w:szCs w:val="20"/>
                <w:color w:val="auto"/>
              </w:rPr>
            </w:pPr>
            <w:r>
              <w:rPr>
                <w:rFonts w:ascii="Arial" w:cs="Arial" w:eastAsia="Arial" w:hAnsi="Arial"/>
                <w:sz w:val="19"/>
                <w:szCs w:val="19"/>
                <w:color w:val="auto"/>
                <w:w w:val="75"/>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9,087</w:t>
            </w:r>
          </w:p>
        </w:tc>
        <w:tc>
          <w:tcPr>
            <w:tcW w:w="320" w:type="dxa"/>
            <w:vAlign w:val="bottom"/>
          </w:tcPr>
          <w:p>
            <w:pPr>
              <w:spacing w:after="0"/>
              <w:rPr>
                <w:sz w:val="24"/>
                <w:szCs w:val="24"/>
                <w:color w:val="auto"/>
              </w:rPr>
            </w:pPr>
          </w:p>
        </w:tc>
        <w:tc>
          <w:tcPr>
            <w:tcW w:w="400" w:type="dxa"/>
            <w:vAlign w:val="bottom"/>
          </w:tcPr>
          <w:p>
            <w:pPr>
              <w:jc w:val="right"/>
              <w:ind w:right="186"/>
              <w:spacing w:after="0"/>
              <w:rPr>
                <w:sz w:val="20"/>
                <w:szCs w:val="20"/>
                <w:color w:val="auto"/>
              </w:rPr>
            </w:pPr>
            <w:r>
              <w:rPr>
                <w:rFonts w:ascii="Arial" w:cs="Arial" w:eastAsia="Arial" w:hAnsi="Arial"/>
                <w:sz w:val="19"/>
                <w:szCs w:val="19"/>
                <w:color w:val="auto"/>
                <w:w w:val="94"/>
              </w:rPr>
              <w:t>$</w:t>
            </w:r>
          </w:p>
        </w:tc>
        <w:tc>
          <w:tcPr>
            <w:tcW w:w="1340" w:type="dxa"/>
            <w:vAlign w:val="bottom"/>
          </w:tcPr>
          <w:p>
            <w:pPr>
              <w:jc w:val="right"/>
              <w:spacing w:after="0"/>
              <w:rPr>
                <w:sz w:val="20"/>
                <w:szCs w:val="20"/>
                <w:color w:val="auto"/>
              </w:rPr>
            </w:pPr>
            <w:r>
              <w:rPr>
                <w:rFonts w:ascii="Arial" w:cs="Arial" w:eastAsia="Arial" w:hAnsi="Arial"/>
                <w:sz w:val="19"/>
                <w:szCs w:val="19"/>
                <w:color w:val="auto"/>
              </w:rPr>
              <w:t>2,615</w:t>
            </w:r>
          </w:p>
        </w:tc>
        <w:tc>
          <w:tcPr>
            <w:tcW w:w="320" w:type="dxa"/>
            <w:vAlign w:val="bottom"/>
          </w:tcPr>
          <w:p>
            <w:pPr>
              <w:spacing w:after="0"/>
              <w:rPr>
                <w:sz w:val="24"/>
                <w:szCs w:val="24"/>
                <w:color w:val="auto"/>
              </w:rPr>
            </w:pPr>
          </w:p>
        </w:tc>
        <w:tc>
          <w:tcPr>
            <w:tcW w:w="440" w:type="dxa"/>
            <w:vAlign w:val="bottom"/>
          </w:tcPr>
          <w:p>
            <w:pPr>
              <w:jc w:val="right"/>
              <w:ind w:right="226"/>
              <w:spacing w:after="0"/>
              <w:rPr>
                <w:sz w:val="20"/>
                <w:szCs w:val="20"/>
                <w:color w:val="auto"/>
              </w:rPr>
            </w:pPr>
            <w:r>
              <w:rPr>
                <w:rFonts w:ascii="Arial" w:cs="Arial" w:eastAsia="Arial" w:hAnsi="Arial"/>
                <w:sz w:val="19"/>
                <w:szCs w:val="19"/>
                <w:color w:val="auto"/>
                <w:w w:val="94"/>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10,001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16"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Statements of Members’ Capital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86"/>
              <w:spacing w:after="0"/>
              <w:rPr>
                <w:sz w:val="20"/>
                <w:szCs w:val="20"/>
                <w:color w:val="auto"/>
              </w:rPr>
            </w:pPr>
            <w:r>
              <w:rPr>
                <w:rFonts w:ascii="Arial" w:cs="Arial" w:eastAsia="Arial" w:hAnsi="Arial"/>
                <w:sz w:val="19"/>
                <w:szCs w:val="19"/>
                <w:color w:val="auto"/>
                <w:w w:val="94"/>
              </w:rPr>
              <w:t>Limoneira EA1 Land,</w:t>
            </w:r>
          </w:p>
        </w:tc>
        <w:tc>
          <w:tcPr>
            <w:tcW w:w="180" w:type="dxa"/>
            <w:vAlign w:val="bottom"/>
          </w:tcPr>
          <w:p>
            <w:pPr>
              <w:spacing w:after="0"/>
              <w:rPr>
                <w:sz w:val="19"/>
                <w:szCs w:val="19"/>
                <w:color w:val="auto"/>
              </w:rPr>
            </w:pPr>
          </w:p>
        </w:tc>
        <w:tc>
          <w:tcPr>
            <w:tcW w:w="2160" w:type="dxa"/>
            <w:vAlign w:val="bottom"/>
          </w:tcPr>
          <w:p>
            <w:pPr>
              <w:jc w:val="right"/>
              <w:ind w:right="806"/>
              <w:spacing w:after="0"/>
              <w:rPr>
                <w:sz w:val="20"/>
                <w:szCs w:val="20"/>
                <w:color w:val="auto"/>
              </w:rPr>
            </w:pPr>
            <w:r>
              <w:rPr>
                <w:rFonts w:ascii="Arial" w:cs="Arial" w:eastAsia="Arial" w:hAnsi="Arial"/>
                <w:sz w:val="19"/>
                <w:szCs w:val="19"/>
                <w:color w:val="auto"/>
              </w:rPr>
              <w:t>Lewis</w:t>
            </w:r>
          </w:p>
        </w:tc>
        <w:tc>
          <w:tcPr>
            <w:tcW w:w="260" w:type="dxa"/>
            <w:vAlign w:val="bottom"/>
          </w:tcPr>
          <w:p>
            <w:pPr>
              <w:spacing w:after="0"/>
              <w:rPr>
                <w:sz w:val="19"/>
                <w:szCs w:val="19"/>
                <w:color w:val="auto"/>
              </w:rPr>
            </w:pPr>
          </w:p>
        </w:tc>
        <w:tc>
          <w:tcPr>
            <w:tcW w:w="1840" w:type="dxa"/>
            <w:vAlign w:val="bottom"/>
          </w:tcPr>
          <w:p>
            <w:pPr>
              <w:jc w:val="right"/>
              <w:ind w:right="746"/>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240"/>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726"/>
              <w:spacing w:after="0"/>
              <w:rPr>
                <w:sz w:val="20"/>
                <w:szCs w:val="20"/>
                <w:color w:val="auto"/>
              </w:rPr>
            </w:pPr>
            <w:r>
              <w:rPr>
                <w:rFonts w:ascii="Arial" w:cs="Arial" w:eastAsia="Arial" w:hAnsi="Arial"/>
                <w:sz w:val="19"/>
                <w:szCs w:val="19"/>
                <w:color w:val="auto"/>
              </w:rPr>
              <w:t>LLC</w:t>
            </w:r>
          </w:p>
        </w:tc>
        <w:tc>
          <w:tcPr>
            <w:tcW w:w="180" w:type="dxa"/>
            <w:vAlign w:val="bottom"/>
          </w:tcPr>
          <w:p>
            <w:pPr>
              <w:spacing w:after="0"/>
              <w:rPr>
                <w:sz w:val="20"/>
                <w:szCs w:val="20"/>
                <w:color w:val="auto"/>
              </w:rPr>
            </w:pPr>
          </w:p>
        </w:tc>
        <w:tc>
          <w:tcPr>
            <w:tcW w:w="2160" w:type="dxa"/>
            <w:vAlign w:val="bottom"/>
          </w:tcPr>
          <w:p>
            <w:pPr>
              <w:jc w:val="right"/>
              <w:ind w:right="26"/>
              <w:spacing w:after="0"/>
              <w:rPr>
                <w:sz w:val="20"/>
                <w:szCs w:val="20"/>
                <w:color w:val="auto"/>
              </w:rPr>
            </w:pPr>
            <w:r>
              <w:rPr>
                <w:rFonts w:ascii="Arial" w:cs="Arial" w:eastAsia="Arial" w:hAnsi="Arial"/>
                <w:sz w:val="19"/>
                <w:szCs w:val="19"/>
                <w:color w:val="auto"/>
                <w:w w:val="90"/>
              </w:rPr>
              <w:t>Santa Paula Member, LLC</w:t>
            </w:r>
          </w:p>
        </w:tc>
        <w:tc>
          <w:tcPr>
            <w:tcW w:w="260" w:type="dxa"/>
            <w:vAlign w:val="bottom"/>
          </w:tcPr>
          <w:p>
            <w:pPr>
              <w:spacing w:after="0"/>
              <w:rPr>
                <w:sz w:val="20"/>
                <w:szCs w:val="20"/>
                <w:color w:val="auto"/>
              </w:rPr>
            </w:pPr>
          </w:p>
        </w:tc>
        <w:tc>
          <w:tcPr>
            <w:tcW w:w="1840" w:type="dxa"/>
            <w:vAlign w:val="bottom"/>
          </w:tcPr>
          <w:p>
            <w:pPr>
              <w:jc w:val="right"/>
              <w:ind w:right="266"/>
              <w:spacing w:after="0"/>
              <w:rPr>
                <w:sz w:val="20"/>
                <w:szCs w:val="20"/>
                <w:color w:val="auto"/>
              </w:rPr>
            </w:pPr>
            <w:r>
              <w:rPr>
                <w:rFonts w:ascii="Arial" w:cs="Arial" w:eastAsia="Arial" w:hAnsi="Arial"/>
                <w:sz w:val="19"/>
                <w:szCs w:val="19"/>
                <w:color w:val="auto"/>
                <w:w w:val="99"/>
              </w:rPr>
              <w:t>Members' Capital</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740" w:type="dxa"/>
            <w:vAlign w:val="bottom"/>
          </w:tcPr>
          <w:p>
            <w:pPr>
              <w:spacing w:after="0"/>
              <w:rPr>
                <w:sz w:val="20"/>
                <w:szCs w:val="20"/>
                <w:color w:val="auto"/>
              </w:rPr>
            </w:pPr>
            <w:r>
              <w:rPr>
                <w:rFonts w:ascii="Arial" w:cs="Arial" w:eastAsia="Arial" w:hAnsi="Arial"/>
                <w:sz w:val="19"/>
                <w:szCs w:val="19"/>
                <w:color w:val="auto"/>
              </w:rPr>
              <w:t>Balance at October 31, 2018</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34,354</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2160" w:type="dxa"/>
            <w:vAlign w:val="bottom"/>
          </w:tcPr>
          <w:p>
            <w:pPr>
              <w:jc w:val="right"/>
              <w:spacing w:after="0"/>
              <w:rPr>
                <w:sz w:val="20"/>
                <w:szCs w:val="20"/>
                <w:color w:val="auto"/>
              </w:rPr>
            </w:pPr>
            <w:r>
              <w:rPr>
                <w:rFonts w:ascii="Arial" w:cs="Arial" w:eastAsia="Arial" w:hAnsi="Arial"/>
                <w:sz w:val="19"/>
                <w:szCs w:val="19"/>
                <w:color w:val="auto"/>
              </w:rPr>
              <w:t>34,599</w:t>
            </w:r>
          </w:p>
        </w:tc>
        <w:tc>
          <w:tcPr>
            <w:tcW w:w="26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840" w:type="dxa"/>
            <w:vAlign w:val="bottom"/>
          </w:tcPr>
          <w:p>
            <w:pPr>
              <w:jc w:val="right"/>
              <w:spacing w:after="0"/>
              <w:rPr>
                <w:sz w:val="20"/>
                <w:szCs w:val="20"/>
                <w:color w:val="auto"/>
              </w:rPr>
            </w:pPr>
            <w:r>
              <w:rPr>
                <w:rFonts w:ascii="Arial" w:cs="Arial" w:eastAsia="Arial" w:hAnsi="Arial"/>
                <w:sz w:val="19"/>
                <w:szCs w:val="19"/>
                <w:color w:val="auto"/>
              </w:rPr>
              <w:t>68,953</w:t>
            </w:r>
          </w:p>
        </w:tc>
        <w:tc>
          <w:tcPr>
            <w:tcW w:w="0" w:type="dxa"/>
            <w:vAlign w:val="bottom"/>
          </w:tcPr>
          <w:p>
            <w:pPr>
              <w:spacing w:after="0"/>
              <w:rPr>
                <w:sz w:val="1"/>
                <w:szCs w:val="1"/>
                <w:color w:val="auto"/>
              </w:rPr>
            </w:pPr>
          </w:p>
        </w:tc>
      </w:tr>
      <w:tr>
        <w:trPr>
          <w:trHeight w:val="271"/>
        </w:trPr>
        <w:tc>
          <w:tcPr>
            <w:tcW w:w="4740" w:type="dxa"/>
            <w:vAlign w:val="bottom"/>
          </w:tcPr>
          <w:p>
            <w:pPr>
              <w:spacing w:after="0"/>
              <w:rPr>
                <w:sz w:val="20"/>
                <w:szCs w:val="20"/>
                <w:color w:val="auto"/>
              </w:rPr>
            </w:pPr>
            <w:r>
              <w:rPr>
                <w:rFonts w:ascii="Arial" w:cs="Arial" w:eastAsia="Arial" w:hAnsi="Arial"/>
                <w:sz w:val="19"/>
                <w:szCs w:val="19"/>
                <w:color w:val="auto"/>
              </w:rPr>
              <w:t>Contributions</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4,000</w:t>
            </w:r>
          </w:p>
        </w:tc>
        <w:tc>
          <w:tcPr>
            <w:tcW w:w="18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4,000</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8,000</w:t>
            </w:r>
          </w:p>
        </w:tc>
        <w:tc>
          <w:tcPr>
            <w:tcW w:w="0" w:type="dxa"/>
            <w:vAlign w:val="bottom"/>
          </w:tcPr>
          <w:p>
            <w:pPr>
              <w:spacing w:after="0"/>
              <w:rPr>
                <w:sz w:val="1"/>
                <w:szCs w:val="1"/>
                <w:color w:val="auto"/>
              </w:rPr>
            </w:pPr>
          </w:p>
        </w:tc>
      </w:tr>
      <w:tr>
        <w:trPr>
          <w:trHeight w:val="271"/>
        </w:trPr>
        <w:tc>
          <w:tcPr>
            <w:tcW w:w="4740" w:type="dxa"/>
            <w:vAlign w:val="bottom"/>
          </w:tcPr>
          <w:p>
            <w:pPr>
              <w:spacing w:after="0"/>
              <w:rPr>
                <w:sz w:val="20"/>
                <w:szCs w:val="20"/>
                <w:color w:val="auto"/>
              </w:rPr>
            </w:pPr>
            <w:r>
              <w:rPr>
                <w:rFonts w:ascii="Arial" w:cs="Arial" w:eastAsia="Arial" w:hAnsi="Arial"/>
                <w:sz w:val="19"/>
                <w:szCs w:val="19"/>
                <w:color w:val="auto"/>
              </w:rPr>
              <w:t>Net income</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4,368</w:t>
            </w:r>
          </w:p>
        </w:tc>
        <w:tc>
          <w:tcPr>
            <w:tcW w:w="18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5,633</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10,001</w:t>
            </w: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9"/>
                <w:szCs w:val="19"/>
                <w:color w:val="auto"/>
              </w:rPr>
              <w:t>Balance at October 31, 2019</w:t>
            </w: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7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42,722</w:t>
            </w: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44,232</w:t>
            </w: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86,954</w:t>
            </w:r>
          </w:p>
        </w:tc>
        <w:tc>
          <w:tcPr>
            <w:tcW w:w="0" w:type="dxa"/>
            <w:vAlign w:val="bottom"/>
          </w:tcPr>
          <w:p>
            <w:pPr>
              <w:spacing w:after="0"/>
              <w:rPr>
                <w:sz w:val="1"/>
                <w:szCs w:val="1"/>
                <w:color w:val="auto"/>
              </w:rPr>
            </w:pPr>
          </w:p>
        </w:tc>
      </w:tr>
      <w:tr>
        <w:trPr>
          <w:trHeight w:val="271"/>
        </w:trPr>
        <w:tc>
          <w:tcPr>
            <w:tcW w:w="4740" w:type="dxa"/>
            <w:vAlign w:val="bottom"/>
          </w:tcPr>
          <w:p>
            <w:pPr>
              <w:spacing w:after="0"/>
              <w:rPr>
                <w:sz w:val="20"/>
                <w:szCs w:val="20"/>
                <w:color w:val="auto"/>
              </w:rPr>
            </w:pPr>
            <w:r>
              <w:rPr>
                <w:rFonts w:ascii="Arial" w:cs="Arial" w:eastAsia="Arial" w:hAnsi="Arial"/>
                <w:sz w:val="19"/>
                <w:szCs w:val="19"/>
                <w:color w:val="auto"/>
              </w:rPr>
              <w:t>Contributions</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2,800</w:t>
            </w:r>
          </w:p>
        </w:tc>
        <w:tc>
          <w:tcPr>
            <w:tcW w:w="18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2,800</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5,600</w:t>
            </w:r>
          </w:p>
        </w:tc>
        <w:tc>
          <w:tcPr>
            <w:tcW w:w="0" w:type="dxa"/>
            <w:vAlign w:val="bottom"/>
          </w:tcPr>
          <w:p>
            <w:pPr>
              <w:spacing w:after="0"/>
              <w:rPr>
                <w:sz w:val="1"/>
                <w:szCs w:val="1"/>
                <w:color w:val="auto"/>
              </w:rPr>
            </w:pPr>
          </w:p>
        </w:tc>
      </w:tr>
      <w:tr>
        <w:trPr>
          <w:trHeight w:val="271"/>
        </w:trPr>
        <w:tc>
          <w:tcPr>
            <w:tcW w:w="4740" w:type="dxa"/>
            <w:vAlign w:val="bottom"/>
          </w:tcPr>
          <w:p>
            <w:pPr>
              <w:spacing w:after="0"/>
              <w:rPr>
                <w:sz w:val="20"/>
                <w:szCs w:val="20"/>
                <w:color w:val="auto"/>
              </w:rPr>
            </w:pPr>
            <w:r>
              <w:rPr>
                <w:rFonts w:ascii="Arial" w:cs="Arial" w:eastAsia="Arial" w:hAnsi="Arial"/>
                <w:sz w:val="19"/>
                <w:szCs w:val="19"/>
                <w:color w:val="auto"/>
              </w:rPr>
              <w:t>Net income</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1,386</w:t>
            </w:r>
          </w:p>
        </w:tc>
        <w:tc>
          <w:tcPr>
            <w:tcW w:w="18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1,229</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2,615</w:t>
            </w: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9"/>
                <w:szCs w:val="19"/>
                <w:color w:val="auto"/>
              </w:rPr>
              <w:t>Balance at October 31, 2020</w:t>
            </w: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7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46,908</w:t>
            </w: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48,261</w:t>
            </w: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95,169</w:t>
            </w:r>
          </w:p>
        </w:tc>
        <w:tc>
          <w:tcPr>
            <w:tcW w:w="0" w:type="dxa"/>
            <w:vAlign w:val="bottom"/>
          </w:tcPr>
          <w:p>
            <w:pPr>
              <w:spacing w:after="0"/>
              <w:rPr>
                <w:sz w:val="1"/>
                <w:szCs w:val="1"/>
                <w:color w:val="auto"/>
              </w:rPr>
            </w:pPr>
          </w:p>
        </w:tc>
      </w:tr>
      <w:tr>
        <w:trPr>
          <w:trHeight w:val="271"/>
        </w:trPr>
        <w:tc>
          <w:tcPr>
            <w:tcW w:w="4740" w:type="dxa"/>
            <w:vAlign w:val="bottom"/>
          </w:tcPr>
          <w:p>
            <w:pPr>
              <w:spacing w:after="0"/>
              <w:rPr>
                <w:sz w:val="20"/>
                <w:szCs w:val="20"/>
                <w:color w:val="auto"/>
              </w:rPr>
            </w:pPr>
            <w:r>
              <w:rPr>
                <w:rFonts w:ascii="Arial" w:cs="Arial" w:eastAsia="Arial" w:hAnsi="Arial"/>
                <w:sz w:val="19"/>
                <w:szCs w:val="19"/>
                <w:color w:val="auto"/>
              </w:rPr>
              <w:t>Contributions</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1"/>
        </w:trPr>
        <w:tc>
          <w:tcPr>
            <w:tcW w:w="4740" w:type="dxa"/>
            <w:vAlign w:val="bottom"/>
          </w:tcPr>
          <w:p>
            <w:pPr>
              <w:spacing w:after="0"/>
              <w:rPr>
                <w:sz w:val="20"/>
                <w:szCs w:val="20"/>
                <w:color w:val="auto"/>
              </w:rPr>
            </w:pPr>
            <w:r>
              <w:rPr>
                <w:rFonts w:ascii="Arial" w:cs="Arial" w:eastAsia="Arial" w:hAnsi="Arial"/>
                <w:sz w:val="19"/>
                <w:szCs w:val="19"/>
                <w:color w:val="auto"/>
              </w:rPr>
              <w:t>Net income</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4,508</w:t>
            </w:r>
          </w:p>
        </w:tc>
        <w:tc>
          <w:tcPr>
            <w:tcW w:w="18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4,579</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9"/>
                <w:szCs w:val="19"/>
                <w:color w:val="auto"/>
              </w:rPr>
              <w:t>9,087</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19"/>
                <w:szCs w:val="19"/>
                <w:color w:val="auto"/>
              </w:rPr>
              <w:t>Balance at October 31, 2021</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880" w:type="dxa"/>
            <w:vAlign w:val="bottom"/>
          </w:tcPr>
          <w:p>
            <w:pPr>
              <w:jc w:val="right"/>
              <w:spacing w:after="0"/>
              <w:rPr>
                <w:sz w:val="20"/>
                <w:szCs w:val="20"/>
                <w:color w:val="auto"/>
              </w:rPr>
            </w:pPr>
            <w:r>
              <w:rPr>
                <w:rFonts w:ascii="Arial" w:cs="Arial" w:eastAsia="Arial" w:hAnsi="Arial"/>
                <w:sz w:val="19"/>
                <w:szCs w:val="19"/>
                <w:color w:val="auto"/>
              </w:rPr>
              <w:t>51,416</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2160" w:type="dxa"/>
            <w:vAlign w:val="bottom"/>
          </w:tcPr>
          <w:p>
            <w:pPr>
              <w:jc w:val="right"/>
              <w:spacing w:after="0"/>
              <w:rPr>
                <w:sz w:val="20"/>
                <w:szCs w:val="20"/>
                <w:color w:val="auto"/>
              </w:rPr>
            </w:pPr>
            <w:r>
              <w:rPr>
                <w:rFonts w:ascii="Arial" w:cs="Arial" w:eastAsia="Arial" w:hAnsi="Arial"/>
                <w:sz w:val="19"/>
                <w:szCs w:val="19"/>
                <w:color w:val="auto"/>
              </w:rPr>
              <w:t>52,840</w:t>
            </w:r>
          </w:p>
        </w:tc>
        <w:tc>
          <w:tcPr>
            <w:tcW w:w="26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840" w:type="dxa"/>
            <w:vAlign w:val="bottom"/>
          </w:tcPr>
          <w:p>
            <w:pPr>
              <w:jc w:val="right"/>
              <w:spacing w:after="0"/>
              <w:rPr>
                <w:sz w:val="20"/>
                <w:szCs w:val="20"/>
                <w:color w:val="auto"/>
              </w:rPr>
            </w:pPr>
            <w:r>
              <w:rPr>
                <w:rFonts w:ascii="Arial" w:cs="Arial" w:eastAsia="Arial" w:hAnsi="Arial"/>
                <w:sz w:val="19"/>
                <w:szCs w:val="19"/>
                <w:color w:val="auto"/>
              </w:rPr>
              <w:t>104,256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16"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Statements of Cash Flows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ind w:left="40"/>
              <w:spacing w:after="0"/>
              <w:rPr>
                <w:sz w:val="20"/>
                <w:szCs w:val="20"/>
                <w:color w:val="auto"/>
              </w:rPr>
            </w:pPr>
            <w:r>
              <w:rPr>
                <w:rFonts w:ascii="Arial" w:cs="Arial" w:eastAsia="Arial" w:hAnsi="Arial"/>
                <w:sz w:val="17"/>
                <w:szCs w:val="17"/>
                <w:b w:val="1"/>
                <w:bCs w:val="1"/>
                <w:color w:val="auto"/>
                <w:w w:val="89"/>
              </w:rPr>
              <w:t>Year ended October 31,</w:t>
            </w: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7"/>
                <w:szCs w:val="17"/>
                <w:b w:val="1"/>
                <w:bCs w:val="1"/>
                <w:color w:val="auto"/>
              </w:rPr>
              <w:t>Operating activities</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0"/>
                <w:szCs w:val="20"/>
                <w:color w:val="auto"/>
              </w:rPr>
            </w:pPr>
            <w:r>
              <w:rPr>
                <w:rFonts w:ascii="Arial" w:cs="Arial" w:eastAsia="Arial" w:hAnsi="Arial"/>
                <w:sz w:val="17"/>
                <w:szCs w:val="17"/>
                <w:color w:val="auto"/>
              </w:rPr>
              <w:t>Net income</w:t>
            </w: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9,087</w:t>
            </w:r>
          </w:p>
        </w:tc>
        <w:tc>
          <w:tcPr>
            <w:tcW w:w="24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2,615</w:t>
            </w:r>
          </w:p>
        </w:tc>
        <w:tc>
          <w:tcPr>
            <w:tcW w:w="140" w:type="dxa"/>
            <w:vAlign w:val="bottom"/>
          </w:tcPr>
          <w:p>
            <w:pPr>
              <w:spacing w:after="0"/>
              <w:rPr>
                <w:sz w:val="21"/>
                <w:szCs w:val="21"/>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600" w:type="dxa"/>
            <w:vAlign w:val="bottom"/>
          </w:tcPr>
          <w:p>
            <w:pPr>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7"/>
                <w:szCs w:val="17"/>
                <w:color w:val="auto"/>
              </w:rPr>
              <w:t>operating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0"/>
                <w:szCs w:val="20"/>
                <w:color w:val="auto"/>
              </w:rPr>
            </w:pPr>
            <w:r>
              <w:rPr>
                <w:rFonts w:ascii="Arial" w:cs="Arial" w:eastAsia="Arial" w:hAnsi="Arial"/>
                <w:sz w:val="17"/>
                <w:szCs w:val="17"/>
                <w:color w:val="auto"/>
              </w:rPr>
              <w:t>Land held for development and sale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23,255</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13,267</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(14,459)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Refundable deposits and other assets</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Note receivable – land sale</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6,084</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(6,084)</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Due from affiliates</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(5,771)</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Contract assets</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(140)</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814</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(3,742)</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(6,657)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Unearned revenue</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(696)</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(5,792)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Due to affiliates</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32,661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6,388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7"/>
                <w:szCs w:val="17"/>
                <w:b w:val="1"/>
                <w:bCs w:val="1"/>
                <w:color w:val="auto"/>
              </w:rPr>
              <w:t>Financing activities</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56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Borrowings from line of credit</w:t>
            </w: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5,812</w:t>
            </w:r>
          </w:p>
        </w:tc>
        <w:tc>
          <w:tcPr>
            <w:tcW w:w="2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13,193</w:t>
            </w:r>
          </w:p>
        </w:tc>
        <w:tc>
          <w:tcPr>
            <w:tcW w:w="140" w:type="dxa"/>
            <w:vAlign w:val="bottom"/>
          </w:tcPr>
          <w:p>
            <w:pPr>
              <w:spacing w:after="0"/>
              <w:rPr>
                <w:sz w:val="22"/>
                <w:szCs w:val="22"/>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37,646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Principal repayments on line of credit</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(36,180)</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(25,992)</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(30,700)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Payment of deferred loan costs</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(225)</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Loan from members</w:t>
            </w:r>
          </w:p>
        </w:tc>
        <w:tc>
          <w:tcPr>
            <w:tcW w:w="104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Principal repayments on loan from members</w:t>
            </w:r>
          </w:p>
        </w:tc>
        <w:tc>
          <w:tcPr>
            <w:tcW w:w="104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Contributions from members</w:t>
            </w:r>
          </w:p>
        </w:tc>
        <w:tc>
          <w:tcPr>
            <w:tcW w:w="104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5,600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7"/>
                <w:szCs w:val="17"/>
                <w:color w:val="auto"/>
              </w:rPr>
              <w:t>Net cash (used in) provided by financing activities</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(30,593)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(7,289)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14,946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9"/>
        </w:trPr>
        <w:tc>
          <w:tcPr>
            <w:tcW w:w="560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2,068</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00" w:type="dxa"/>
            <w:vAlign w:val="bottom"/>
          </w:tcPr>
          <w:p>
            <w:pPr>
              <w:spacing w:after="0"/>
              <w:rPr>
                <w:sz w:val="20"/>
                <w:szCs w:val="20"/>
                <w:color w:val="auto"/>
              </w:rPr>
            </w:pPr>
            <w:r>
              <w:rPr>
                <w:rFonts w:ascii="Arial" w:cs="Arial" w:eastAsia="Arial" w:hAnsi="Arial"/>
                <w:sz w:val="17"/>
                <w:szCs w:val="17"/>
                <w:color w:val="auto"/>
              </w:rPr>
              <w:t>Cash and cash equivalents at beginning of year</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668</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1,569</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7"/>
                <w:szCs w:val="17"/>
                <w:color w:val="auto"/>
              </w:rPr>
              <w:t>Cash and cash equivalents at end of year</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2,736</w:t>
            </w:r>
          </w:p>
        </w:tc>
        <w:tc>
          <w:tcPr>
            <w:tcW w:w="24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668</w:t>
            </w:r>
          </w:p>
        </w:tc>
        <w:tc>
          <w:tcPr>
            <w:tcW w:w="14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5"/>
        </w:trPr>
        <w:tc>
          <w:tcPr>
            <w:tcW w:w="56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00" w:type="dxa"/>
            <w:vAlign w:val="bottom"/>
          </w:tcPr>
          <w:p>
            <w:pPr>
              <w:spacing w:after="0"/>
              <w:rPr>
                <w:sz w:val="20"/>
                <w:szCs w:val="20"/>
                <w:color w:val="auto"/>
              </w:rPr>
            </w:pPr>
            <w:r>
              <w:rPr>
                <w:rFonts w:ascii="Arial" w:cs="Arial" w:eastAsia="Arial" w:hAnsi="Arial"/>
                <w:sz w:val="17"/>
                <w:szCs w:val="17"/>
                <w:color w:val="auto"/>
              </w:rPr>
              <w:t>Cash paid for interest (including amounts capitalized to the Project)</w:t>
            </w:r>
          </w:p>
        </w:tc>
        <w:tc>
          <w:tcPr>
            <w:tcW w:w="104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240" w:type="dxa"/>
            <w:vAlign w:val="bottom"/>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1,707</w:t>
            </w:r>
          </w:p>
        </w:tc>
        <w:tc>
          <w:tcPr>
            <w:tcW w:w="140" w:type="dxa"/>
            <w:vAlign w:val="bottom"/>
          </w:tcPr>
          <w:p>
            <w:pPr>
              <w:spacing w:after="0"/>
              <w:rPr>
                <w:sz w:val="24"/>
                <w:szCs w:val="24"/>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16"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October 31, 2021</w:t>
      </w:r>
    </w:p>
    <w:p>
      <w:pPr>
        <w:spacing w:after="0" w:line="200" w:lineRule="exact"/>
        <w:rPr>
          <w:sz w:val="20"/>
          <w:szCs w:val="20"/>
          <w:color w:val="auto"/>
        </w:rPr>
      </w:pPr>
    </w:p>
    <w:p>
      <w:pPr>
        <w:spacing w:after="0" w:line="356" w:lineRule="exact"/>
        <w:rPr>
          <w:sz w:val="20"/>
          <w:szCs w:val="20"/>
          <w:color w:val="auto"/>
        </w:rPr>
      </w:pPr>
    </w:p>
    <w:p>
      <w:pPr>
        <w:ind w:right="9080" w:firstLine="3"/>
        <w:spacing w:after="0" w:line="567" w:lineRule="auto"/>
        <w:tabs>
          <w:tab w:leader="none" w:pos="309"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Organization and Business</w:t>
      </w:r>
    </w:p>
    <w:p>
      <w:pPr>
        <w:jc w:val="both"/>
        <w:spacing w:after="0" w:line="231" w:lineRule="auto"/>
        <w:rPr>
          <w:sz w:val="20"/>
          <w:szCs w:val="20"/>
          <w:color w:val="auto"/>
        </w:rPr>
      </w:pPr>
      <w:r>
        <w:rPr>
          <w:rFonts w:ascii="Arial" w:cs="Arial" w:eastAsia="Arial" w:hAnsi="Arial"/>
          <w:sz w:val="19"/>
          <w:szCs w:val="19"/>
          <w:color w:val="auto"/>
        </w:rPr>
        <w:t>Limoneira Lewis Community Builders, LLC (“Limoneira Lewis” or the “Company”), a Delaware Limited Liability Company, is a joint venture between Lewis Santa Paula Member, LLC (“Lewis”) and Limoneira EA1 Land, LLC (“Limoneira”) (together, the “Members”) to develop a 501 acre area of land in Santa Paula, California into residential properties (the “Project”). Limoneira Lewis was formed on November 3, 2015 and began operations on November 10, 2015 in conjunction with the contribution of land and related entitlements for an agreed-upon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Lewis is the designated manager of the Company (“Manager”) and manages the business activities of the Company pursuant to the terms of the LLC Agreement through an affiliated entity, Lewis Management Corp., a California Corporation (the “Manager Affiliate”). All major decisions, as defined by the LLC Agreement, are decided by an executive committee consisting of two representatives each from Lewis and Limoneira.</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Capital contributions are made by the Members for funding of Project Costs pursuant to terms of the LLC Agreement. Through October 31, 2021, the Members’ capital contributions include the Members’ initial capital contributions representing the value of the contributed property and Pre-Assignment Expenses and additional contributions totaling $82,799,000 in the aggregate.</w:t>
      </w:r>
    </w:p>
    <w:p>
      <w:pPr>
        <w:spacing w:after="0" w:line="19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On March 3, 2008, Limoneira entered into a Development Agreement with the City of Santa Paula (the “City”) to develop the property which was transferred to the Company on November 10, 2015. The Development Agreement was amended and restated on February 26, 2015. The Amended Development Agreement currently provides for up to 1,500 total residential units, an estimated 240,000 square feet of office, retail, light industrial and assisted living facilities, approximately 19 acres for educational and other civic facilities and approximately 223 acres of undeveloped land, including open space and agricultural preserves, parks and greenways.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16"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880" w:firstLine="3"/>
        <w:spacing w:after="0" w:line="484" w:lineRule="auto"/>
        <w:tabs>
          <w:tab w:leader="none" w:pos="309"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Organization (continued) Distributions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Pursuant to the LLC Agreement, distributions of Net Cash Flow, as defined, shall be distributed to the Members in the following order of priority (using terms as defined in the LLC Agreement):</w:t>
      </w:r>
    </w:p>
    <w:p>
      <w:pPr>
        <w:spacing w:after="0" w:line="202" w:lineRule="exact"/>
        <w:rPr>
          <w:sz w:val="20"/>
          <w:szCs w:val="20"/>
          <w:color w:val="auto"/>
        </w:rPr>
      </w:pPr>
    </w:p>
    <w:p>
      <w:pPr>
        <w:ind w:left="620" w:hanging="307"/>
        <w:spacing w:after="0" w:line="233" w:lineRule="auto"/>
        <w:tabs>
          <w:tab w:leader="none" w:pos="617" w:val="left"/>
        </w:tabs>
        <w:numPr>
          <w:ilvl w:val="0"/>
          <w:numId w:val="61"/>
        </w:numPr>
        <w:rPr>
          <w:rFonts w:ascii="Arial" w:cs="Arial" w:eastAsia="Arial" w:hAnsi="Arial"/>
          <w:sz w:val="21"/>
          <w:szCs w:val="21"/>
          <w:color w:val="auto"/>
        </w:rPr>
      </w:pPr>
      <w:r>
        <w:rPr>
          <w:rFonts w:ascii="Arial" w:cs="Arial" w:eastAsia="Arial" w:hAnsi="Arial"/>
          <w:sz w:val="19"/>
          <w:szCs w:val="19"/>
          <w:color w:val="auto"/>
        </w:rPr>
        <w:t>First, to the Members in proportion to their respective Additional Capital Contribution IRR Deficiencies, until each Member’s Additional Contribution IRR Deficiency is reduced to zero, representing a 12% return, compounded annually;</w:t>
      </w:r>
    </w:p>
    <w:p>
      <w:pPr>
        <w:spacing w:after="0" w:line="210" w:lineRule="exact"/>
        <w:rPr>
          <w:rFonts w:ascii="Arial" w:cs="Arial" w:eastAsia="Arial" w:hAnsi="Arial"/>
          <w:sz w:val="21"/>
          <w:szCs w:val="21"/>
          <w:color w:val="auto"/>
        </w:rPr>
      </w:pPr>
    </w:p>
    <w:p>
      <w:pPr>
        <w:ind w:left="620" w:hanging="307"/>
        <w:spacing w:after="0" w:line="233" w:lineRule="auto"/>
        <w:tabs>
          <w:tab w:leader="none" w:pos="616" w:val="left"/>
        </w:tabs>
        <w:numPr>
          <w:ilvl w:val="0"/>
          <w:numId w:val="61"/>
        </w:numPr>
        <w:rPr>
          <w:rFonts w:ascii="Arial" w:cs="Arial" w:eastAsia="Arial" w:hAnsi="Arial"/>
          <w:sz w:val="21"/>
          <w:szCs w:val="21"/>
          <w:color w:val="auto"/>
        </w:rPr>
      </w:pPr>
      <w:r>
        <w:rPr>
          <w:rFonts w:ascii="Arial" w:cs="Arial" w:eastAsia="Arial" w:hAnsi="Arial"/>
          <w:sz w:val="19"/>
          <w:szCs w:val="19"/>
          <w:color w:val="auto"/>
        </w:rPr>
        <w:t>Second, 48% to Limoneira and 52% to Lewis until Lewis’ Initial Contribution IRR Deficiency is reduced to zero, representing a 12% return, compounded annually;</w:t>
      </w:r>
    </w:p>
    <w:p>
      <w:pPr>
        <w:spacing w:after="0" w:line="209" w:lineRule="exact"/>
        <w:rPr>
          <w:rFonts w:ascii="Arial" w:cs="Arial" w:eastAsia="Arial" w:hAnsi="Arial"/>
          <w:sz w:val="21"/>
          <w:szCs w:val="21"/>
          <w:color w:val="auto"/>
        </w:rPr>
      </w:pPr>
    </w:p>
    <w:p>
      <w:pPr>
        <w:ind w:left="620" w:hanging="307"/>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Third, 25% to Limoneira and 75% to Lewis until aggregate distributions on this tier equal $10,000,000;</w:t>
      </w:r>
    </w:p>
    <w:p>
      <w:pPr>
        <w:spacing w:after="0" w:line="209" w:lineRule="exact"/>
        <w:rPr>
          <w:rFonts w:ascii="Arial" w:cs="Arial" w:eastAsia="Arial" w:hAnsi="Arial"/>
          <w:sz w:val="21"/>
          <w:szCs w:val="21"/>
          <w:color w:val="auto"/>
        </w:rPr>
      </w:pPr>
    </w:p>
    <w:p>
      <w:pPr>
        <w:ind w:left="620" w:hanging="307"/>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Fourth, 60% to Limoneira and 40% to Lewis until aggregate distributions on this tier equal $20,000,000;</w:t>
      </w:r>
    </w:p>
    <w:p>
      <w:pPr>
        <w:spacing w:after="0" w:line="209" w:lineRule="exact"/>
        <w:rPr>
          <w:rFonts w:ascii="Arial" w:cs="Arial" w:eastAsia="Arial" w:hAnsi="Arial"/>
          <w:sz w:val="21"/>
          <w:szCs w:val="21"/>
          <w:color w:val="auto"/>
        </w:rPr>
      </w:pPr>
    </w:p>
    <w:p>
      <w:pPr>
        <w:ind w:left="620" w:hanging="307"/>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Fifth, 50% to Limoneira and 50% to Lewis until aggregate distributions on this tier equal $20,000,000;</w:t>
      </w:r>
    </w:p>
    <w:p>
      <w:pPr>
        <w:spacing w:after="0" w:line="209" w:lineRule="exact"/>
        <w:rPr>
          <w:rFonts w:ascii="Arial" w:cs="Arial" w:eastAsia="Arial" w:hAnsi="Arial"/>
          <w:sz w:val="21"/>
          <w:szCs w:val="21"/>
          <w:color w:val="auto"/>
        </w:rPr>
      </w:pPr>
    </w:p>
    <w:p>
      <w:pPr>
        <w:ind w:left="620" w:hanging="307"/>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Sixth, 78% to Limoneira and 22% to Lewis until aggregate distributions on this tier equal $25,000,000;</w:t>
      </w:r>
    </w:p>
    <w:p>
      <w:pPr>
        <w:spacing w:after="0" w:line="209" w:lineRule="exact"/>
        <w:rPr>
          <w:rFonts w:ascii="Arial" w:cs="Arial" w:eastAsia="Arial" w:hAnsi="Arial"/>
          <w:sz w:val="21"/>
          <w:szCs w:val="21"/>
          <w:color w:val="auto"/>
        </w:rPr>
      </w:pPr>
    </w:p>
    <w:p>
      <w:pPr>
        <w:ind w:left="620" w:hanging="307"/>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Seventh, 95% to Limoneira and 5% to Lewis until aggregate distributions on this tier equal $20,000,000;</w:t>
      </w:r>
    </w:p>
    <w:p>
      <w:pPr>
        <w:spacing w:after="0" w:line="209" w:lineRule="exact"/>
        <w:rPr>
          <w:rFonts w:ascii="Arial" w:cs="Arial" w:eastAsia="Arial" w:hAnsi="Arial"/>
          <w:sz w:val="21"/>
          <w:szCs w:val="21"/>
          <w:color w:val="auto"/>
        </w:rPr>
      </w:pPr>
    </w:p>
    <w:p>
      <w:pPr>
        <w:ind w:left="620" w:hanging="307"/>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Thereafter, 70% to Limoneira and 30% to Lewis.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Allocations of Income and Losses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Net income and losses each period are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16"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380" w:firstLine="3"/>
        <w:spacing w:after="0" w:line="484" w:lineRule="auto"/>
        <w:tabs>
          <w:tab w:leader="none" w:pos="309"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Basis of Presentation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Acreage, square footage, number of units or lots, and other similar non-financial measures included in these notes to the financial statements are presented on an unaudited basis.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and Cash Equivalents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All highly liquid investments with a remaining maturity of three months or less when purchased are considered to be cash equivalents. No cash balances held by the Company during the periods presented were legally restricted as to use.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demand deposits with a financial institution. The Company’s cash balances exceed federally insurable limits. However, the Company believes there is minimal credit risk relative to its cash balances.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Land Held for Development and Sale and Cost of Land Sales</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prepaid insurance policies and other similar costs which do not extend beyond the projected development period of the related project components.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Cost of land sales is determined based on an allocation of costs to individual land parcels sold based on specific identification, if practicable, or an allocation based on a method which approximates relative fair value in accordance with ASC 970, </w:t>
      </w:r>
      <w:r>
        <w:rPr>
          <w:rFonts w:ascii="Arial" w:cs="Arial" w:eastAsia="Arial" w:hAnsi="Arial"/>
          <w:sz w:val="18"/>
          <w:szCs w:val="18"/>
          <w:i w:val="1"/>
          <w:iCs w:val="1"/>
          <w:color w:val="auto"/>
        </w:rPr>
        <w:t>Real Estate - General</w:t>
      </w:r>
      <w:r>
        <w:rPr>
          <w:rFonts w:ascii="Arial" w:cs="Arial" w:eastAsia="Arial" w:hAnsi="Arial"/>
          <w:sz w:val="17"/>
          <w:szCs w:val="17"/>
          <w:color w:val="auto"/>
        </w:rPr>
        <w:t>.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16"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 (continued)</w:t>
      </w:r>
    </w:p>
    <w:p>
      <w:pPr>
        <w:spacing w:after="0" w:line="22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Land held for development and sale is carried at cost, unless the carrying amount is determined not to be recoverable, in which case the real estate inventory balance is written down to fair value in accordance with ASC 360, </w:t>
      </w:r>
      <w:r>
        <w:rPr>
          <w:rFonts w:ascii="Arial" w:cs="Arial" w:eastAsia="Arial" w:hAnsi="Arial"/>
          <w:sz w:val="18"/>
          <w:szCs w:val="18"/>
          <w:i w:val="1"/>
          <w:iCs w:val="1"/>
          <w:color w:val="auto"/>
        </w:rPr>
        <w:t>Property, Plant and Equipment</w:t>
      </w:r>
      <w:r>
        <w:rPr>
          <w:rFonts w:ascii="Arial" w:cs="Arial" w:eastAsia="Arial" w:hAnsi="Arial"/>
          <w:sz w:val="17"/>
          <w:szCs w:val="17"/>
          <w:color w:val="auto"/>
        </w:rPr>
        <w:t xml:space="preserve"> (“ASC 360”). ASC 360 requires that real estate assets be tested for impairment whenever events or changes in circumstances indicate that their carrying amounts may not be recoverable.</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Impairment of real estate inventories is measured by comparing the carrying amount of the asset to the undiscounted future net cash flows expected to be generated from the project. These evaluations for impairment are significantly impacted by estimates of the amounts and timing of revenues, costs and expenses, and other factors. If real estate assets are considered to be impaired, the impairment to be recognized is measured by the amount by which the carrying value of the assets exceeds the fair value of the asset. Fair value is determined based on estimated future cash flows discounted for inherent risks associated with the real estate asset, or other valuation techniques.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 at a point in time or over time. 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 toward the satisfaction of the related performance obligation, which is generally measured based on costs incurred relative to the total costs expected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16"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 (continued)</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land sales contracts to homebuilders also generally provide for additional variable consideration in the form of a marketing fee based on a percentage of the sales prices of homes built and sold on the land as well as the ability to receive future profit participation payments on profitability above specified thresholds achieved on sales of the homes by the homebuilder. The Company’s performance obligations related to these fees are generally satisfied as of or in advance of when payments for such fees are received, which may result in the recognition of a contract asset for the estimated future variable consideration expected to be received. In determining the amount of revenue to recognize related to these fees,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amount and timing of revenue and cash flows related to marketing fee and profit participation payments are impacted by the ultimate timing and sales prices of homes sold by homebuilders.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collectability in accordance with respective guidance. All of the Company’s contracts with its customers and the related performance obligations have an original expected duration of one year or less.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Line of Credit</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line of credit is recorded at amortized cost. Loan costs associated with securing the line of credit are deferred and are recognized as a component of interest cost over the term of the line of credit and are presented as a reduction of the line of credit balance on the accompanying balance sheets. In periods where there are no balances outstanding on the line of credit, unamortized loan costs are reclassified to other assets. Interest costs are capitalized to the Project during periods in which development activities are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16"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520" w:firstLine="3"/>
        <w:spacing w:after="0" w:line="484" w:lineRule="auto"/>
        <w:tabs>
          <w:tab w:leader="none" w:pos="193"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(continued) Income Taxes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As a limited liability company, the Company is subject to certain minimal taxes and fees; however, no provision for income taxes has been made in the accompanying financial statements as the Members are individual responsible for reporting their respective share of the Company’s income or loss.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Based on its evaluation under ASC 740, </w:t>
      </w:r>
      <w:r>
        <w:rPr>
          <w:rFonts w:ascii="Arial" w:cs="Arial" w:eastAsia="Arial" w:hAnsi="Arial"/>
          <w:sz w:val="20"/>
          <w:szCs w:val="20"/>
          <w:i w:val="1"/>
          <w:iCs w:val="1"/>
          <w:color w:val="auto"/>
        </w:rPr>
        <w:t>Income Taxes,</w:t>
      </w:r>
      <w:r>
        <w:rPr>
          <w:rFonts w:ascii="Arial" w:cs="Arial" w:eastAsia="Arial" w:hAnsi="Arial"/>
          <w:sz w:val="19"/>
          <w:szCs w:val="19"/>
          <w:color w:val="auto"/>
        </w:rPr>
        <w:t xml:space="preserve"> the Company has concluded that there are no significant tax positions requiring recognition in its financial statements, nor has the Company been assessed interest or penalties by any tax jurisdictions.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Income and Expenses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Other income and expenses are recorded in the period earned or incurred. Selling costs and costs related to marketing of the community are generally recorded to sales and marketing expenses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Comprehensive Income and Loss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For all periods presented, comprehensive income is the same as net income reported for the respective period.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16"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520" w:firstLine="3"/>
        <w:spacing w:after="0" w:line="482" w:lineRule="auto"/>
        <w:tabs>
          <w:tab w:leader="none" w:pos="193"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(continued) Recent Accounting Pronouncements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In May 2014, the Financial Accounting Standards Board (“FASB”) issued Accounting Standards Update (“ASU”) No. 2014-09, </w:t>
      </w:r>
      <w:r>
        <w:rPr>
          <w:rFonts w:ascii="Arial" w:cs="Arial" w:eastAsia="Arial" w:hAnsi="Arial"/>
          <w:sz w:val="20"/>
          <w:szCs w:val="20"/>
          <w:i w:val="1"/>
          <w:iCs w:val="1"/>
          <w:color w:val="auto"/>
        </w:rPr>
        <w:t>Revenue from</w:t>
      </w:r>
      <w:r>
        <w:rPr>
          <w:rFonts w:ascii="Arial" w:cs="Arial" w:eastAsia="Arial" w:hAnsi="Arial"/>
          <w:sz w:val="19"/>
          <w:szCs w:val="19"/>
          <w:color w:val="auto"/>
        </w:rPr>
        <w:t xml:space="preserve"> </w:t>
      </w:r>
      <w:r>
        <w:rPr>
          <w:rFonts w:ascii="Arial" w:cs="Arial" w:eastAsia="Arial" w:hAnsi="Arial"/>
          <w:sz w:val="20"/>
          <w:szCs w:val="20"/>
          <w:i w:val="1"/>
          <w:iCs w:val="1"/>
          <w:color w:val="auto"/>
        </w:rPr>
        <w:t xml:space="preserve">Contracts with Customers (Topic 606) </w:t>
      </w:r>
      <w:r>
        <w:rPr>
          <w:rFonts w:ascii="Arial" w:cs="Arial" w:eastAsia="Arial" w:hAnsi="Arial"/>
          <w:sz w:val="18"/>
          <w:szCs w:val="18"/>
          <w:color w:val="auto"/>
        </w:rPr>
        <w:t>(“ASU 2014-09”). ASU 2014-09 supersedes the revenue guidance in Accounting Standards Codification</w:t>
      </w:r>
      <w:r>
        <w:rPr>
          <w:rFonts w:ascii="Arial" w:cs="Arial" w:eastAsia="Arial" w:hAnsi="Arial"/>
          <w:sz w:val="20"/>
          <w:szCs w:val="20"/>
          <w:i w:val="1"/>
          <w:iCs w:val="1"/>
          <w:color w:val="auto"/>
        </w:rPr>
        <w:t xml:space="preserve"> </w:t>
      </w:r>
      <w:r>
        <w:rPr>
          <w:rFonts w:ascii="Arial" w:cs="Arial" w:eastAsia="Arial" w:hAnsi="Arial"/>
          <w:sz w:val="18"/>
          <w:szCs w:val="18"/>
          <w:color w:val="auto"/>
        </w:rPr>
        <w:t xml:space="preserve">(“ASC”) Topic 605, </w:t>
      </w:r>
      <w:r>
        <w:rPr>
          <w:rFonts w:ascii="Arial" w:cs="Arial" w:eastAsia="Arial" w:hAnsi="Arial"/>
          <w:sz w:val="20"/>
          <w:szCs w:val="20"/>
          <w:i w:val="1"/>
          <w:iCs w:val="1"/>
          <w:color w:val="auto"/>
        </w:rPr>
        <w:t>Revenue Recognition</w:t>
      </w:r>
      <w:r>
        <w:rPr>
          <w:rFonts w:ascii="Arial" w:cs="Arial" w:eastAsia="Arial" w:hAnsi="Arial"/>
          <w:sz w:val="18"/>
          <w:szCs w:val="18"/>
          <w:color w:val="auto"/>
        </w:rPr>
        <w:t>, and most industry-specific revenue and cost guidance in the accounting standards codification, including some cost guidance related to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the contract(s) which include (i) identifying the contract(s) with the customer, (ii) identifying the separate performance obligations in the contract, (iii) determining the transaction price, (iv) allocating the transaction price to the separate performance obligations, and (v) recognizing revenue when each performance obligation is satisfied.</w:t>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On November 1, 2018, the Company adopted ASU 2014-09 and its related amendments (collectively, “ASC 606”), using the modified retrospective method applied to contracts that were not completed as of the adoption date. Results for reporting periods beginning November 1, 2018 are presented under ASC 606. The initial adoption of ASC 606 did not impact the Company’s financial statements as there were no land sales which had closed prior to the adoption date and no other balances which were required to be expensed or reclassified upon adoption pursuant to the provisions of ASC 606.</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20"/>
          <w:szCs w:val="20"/>
          <w:i w:val="1"/>
          <w:iCs w:val="1"/>
          <w:color w:val="auto"/>
        </w:rPr>
        <w:t>Leases (Topic 842)</w:t>
      </w:r>
      <w:r>
        <w:rPr>
          <w:rFonts w:ascii="Arial" w:cs="Arial" w:eastAsia="Arial" w:hAnsi="Arial"/>
          <w:sz w:val="19"/>
          <w:szCs w:val="19"/>
          <w:color w:val="auto"/>
        </w:rPr>
        <w:t xml:space="preserve"> (including related amendments, “ASC 842”). ASC 842 requires organizations that lease assets to recognize on the balance sheet the assets and liabilities for the rights and obligations created by those leases. Under ASC 842, a lessee is required to recognize assets and liabilities for leases with lease terms of more than 12 months. Lessor accounting remains substantially similar to current GAAP. In addition, ASC 842 provides for expanded disclosures of leasing activities including qualitative along with specific quantitative information. ASC 842 was adopted by the Company effective November 1, 2019, and the Company elected the package of practical expedients offered under the standard. The adoption of ASC 842 did not have a material impact on the Company’s financial statements or disclosures.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9"/>
          <w:szCs w:val="19"/>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9"/>
          <w:szCs w:val="19"/>
          <w:i w:val="1"/>
          <w:iCs w:val="1"/>
          <w:color w:val="auto"/>
        </w:rPr>
        <w:t xml:space="preserve">Financial Instruments </w:t>
      </w:r>
      <w:r>
        <w:rPr>
          <w:rFonts w:ascii="Arial" w:cs="Arial" w:eastAsia="Arial" w:hAnsi="Arial"/>
          <w:sz w:val="17"/>
          <w:szCs w:val="17"/>
          <w:color w:val="auto"/>
        </w:rPr>
        <w:t>(“ASC 326”). This amendment requires the measurement of all expected credit losses for financial assets held at the</w:t>
      </w:r>
      <w:r>
        <w:rPr>
          <w:rFonts w:ascii="Arial" w:cs="Arial" w:eastAsia="Arial" w:hAnsi="Arial"/>
          <w:sz w:val="19"/>
          <w:szCs w:val="19"/>
          <w:i w:val="1"/>
          <w:iCs w:val="1"/>
          <w:color w:val="auto"/>
        </w:rPr>
        <w:t xml:space="preserve"> </w:t>
      </w:r>
      <w:r>
        <w:rPr>
          <w:rFonts w:ascii="Arial" w:cs="Arial" w:eastAsia="Arial" w:hAnsi="Arial"/>
          <w:sz w:val="17"/>
          <w:szCs w:val="17"/>
          <w:color w:val="auto"/>
        </w:rPr>
        <w:t>reporting date based on historical experience, current conditions, and forward-looking estimates. ASC 326 was adopted by the Company effective November 1, 2020. The adoption of ASC 326 did not have a material impact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16"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Land Held for Development and Sale</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Activity related to the Company’s land held for development and sale for the years ended October 31, 2021 and 2020 is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2021</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jc w:val="right"/>
              <w:ind w:right="966"/>
              <w:spacing w:after="0"/>
              <w:rPr>
                <w:sz w:val="20"/>
                <w:szCs w:val="20"/>
                <w:color w:val="auto"/>
              </w:rPr>
            </w:pPr>
            <w:r>
              <w:rPr>
                <w:rFonts w:ascii="Arial" w:cs="Arial" w:eastAsia="Arial" w:hAnsi="Arial"/>
                <w:sz w:val="19"/>
                <w:szCs w:val="19"/>
                <w:b w:val="1"/>
                <w:bCs w:val="1"/>
                <w:color w:val="auto"/>
              </w:rPr>
              <w:t>2020</w:t>
            </w:r>
          </w:p>
        </w:tc>
        <w:tc>
          <w:tcPr>
            <w:tcW w:w="0" w:type="dxa"/>
            <w:vAlign w:val="bottom"/>
          </w:tcPr>
          <w:p>
            <w:pPr>
              <w:spacing w:after="0"/>
              <w:rPr>
                <w:sz w:val="1"/>
                <w:szCs w:val="1"/>
                <w:color w:val="auto"/>
              </w:rPr>
            </w:pPr>
          </w:p>
        </w:tc>
      </w:tr>
      <w:tr>
        <w:trPr>
          <w:trHeight w:val="21"/>
        </w:trPr>
        <w:tc>
          <w:tcPr>
            <w:tcW w:w="6140" w:type="dxa"/>
            <w:vAlign w:val="bottom"/>
            <w:vMerge w:val="restart"/>
          </w:tcPr>
          <w:p>
            <w:pPr>
              <w:spacing w:after="0"/>
              <w:rPr>
                <w:sz w:val="20"/>
                <w:szCs w:val="20"/>
                <w:color w:val="auto"/>
              </w:rPr>
            </w:pPr>
            <w:r>
              <w:rPr>
                <w:rFonts w:ascii="Arial" w:cs="Arial" w:eastAsia="Arial" w:hAnsi="Arial"/>
                <w:sz w:val="19"/>
                <w:szCs w:val="19"/>
                <w:color w:val="auto"/>
              </w:rPr>
              <w:t>Beginning balance</w:t>
            </w:r>
          </w:p>
        </w:tc>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140" w:type="dxa"/>
            <w:vAlign w:val="bottom"/>
            <w:vMerge w:val="continue"/>
          </w:tcPr>
          <w:p>
            <w:pPr>
              <w:spacing w:after="0"/>
              <w:rPr>
                <w:sz w:val="21"/>
                <w:szCs w:val="21"/>
                <w:color w:val="auto"/>
              </w:rPr>
            </w:pPr>
          </w:p>
        </w:tc>
        <w:tc>
          <w:tcPr>
            <w:tcW w:w="1500" w:type="dxa"/>
            <w:vAlign w:val="bottom"/>
          </w:tcPr>
          <w:p>
            <w:pPr>
              <w:jc w:val="right"/>
              <w:ind w:right="1306"/>
              <w:spacing w:after="0"/>
              <w:rPr>
                <w:sz w:val="20"/>
                <w:szCs w:val="20"/>
                <w:color w:val="auto"/>
              </w:rPr>
            </w:pPr>
            <w:r>
              <w:rPr>
                <w:rFonts w:ascii="Arial" w:cs="Arial" w:eastAsia="Arial" w:hAnsi="Arial"/>
                <w:sz w:val="19"/>
                <w:szCs w:val="19"/>
                <w:color w:val="auto"/>
                <w:w w:val="75"/>
              </w:rPr>
              <w:t>$</w:t>
            </w:r>
          </w:p>
        </w:tc>
        <w:tc>
          <w:tcPr>
            <w:tcW w:w="1060" w:type="dxa"/>
            <w:vAlign w:val="bottom"/>
          </w:tcPr>
          <w:p>
            <w:pPr>
              <w:jc w:val="right"/>
              <w:spacing w:after="0"/>
              <w:rPr>
                <w:sz w:val="20"/>
                <w:szCs w:val="20"/>
                <w:color w:val="auto"/>
              </w:rPr>
            </w:pPr>
            <w:r>
              <w:rPr>
                <w:rFonts w:ascii="Arial" w:cs="Arial" w:eastAsia="Arial" w:hAnsi="Arial"/>
                <w:sz w:val="19"/>
                <w:szCs w:val="19"/>
                <w:color w:val="auto"/>
                <w:w w:val="90"/>
              </w:rPr>
              <w:t>122,206,000</w:t>
            </w:r>
          </w:p>
        </w:tc>
        <w:tc>
          <w:tcPr>
            <w:tcW w:w="600" w:type="dxa"/>
            <w:vAlign w:val="bottom"/>
          </w:tcPr>
          <w:p>
            <w:pPr>
              <w:jc w:val="right"/>
              <w:ind w:right="406"/>
              <w:spacing w:after="0"/>
              <w:rPr>
                <w:sz w:val="20"/>
                <w:szCs w:val="20"/>
                <w:color w:val="auto"/>
              </w:rPr>
            </w:pPr>
            <w:r>
              <w:rPr>
                <w:rFonts w:ascii="Arial" w:cs="Arial" w:eastAsia="Arial" w:hAnsi="Arial"/>
                <w:sz w:val="19"/>
                <w:szCs w:val="19"/>
                <w:color w:val="auto"/>
                <w:w w:val="75"/>
              </w:rPr>
              <w:t>$</w:t>
            </w:r>
          </w:p>
        </w:tc>
        <w:tc>
          <w:tcPr>
            <w:tcW w:w="1920" w:type="dxa"/>
            <w:vAlign w:val="bottom"/>
          </w:tcPr>
          <w:p>
            <w:pPr>
              <w:jc w:val="right"/>
              <w:spacing w:after="0"/>
              <w:rPr>
                <w:sz w:val="20"/>
                <w:szCs w:val="20"/>
                <w:color w:val="auto"/>
              </w:rPr>
            </w:pPr>
            <w:r>
              <w:rPr>
                <w:rFonts w:ascii="Arial" w:cs="Arial" w:eastAsia="Arial" w:hAnsi="Arial"/>
                <w:sz w:val="19"/>
                <w:szCs w:val="19"/>
                <w:color w:val="auto"/>
              </w:rPr>
              <w:t>135,374,000</w:t>
            </w:r>
          </w:p>
        </w:tc>
        <w:tc>
          <w:tcPr>
            <w:tcW w:w="0" w:type="dxa"/>
            <w:vAlign w:val="bottom"/>
          </w:tcPr>
          <w:p>
            <w:pPr>
              <w:spacing w:after="0"/>
              <w:rPr>
                <w:sz w:val="1"/>
                <w:szCs w:val="1"/>
                <w:color w:val="auto"/>
              </w:rPr>
            </w:pPr>
          </w:p>
        </w:tc>
      </w:tr>
      <w:tr>
        <w:trPr>
          <w:trHeight w:val="271"/>
        </w:trPr>
        <w:tc>
          <w:tcPr>
            <w:tcW w:w="6140" w:type="dxa"/>
            <w:vAlign w:val="bottom"/>
          </w:tcPr>
          <w:p>
            <w:pPr>
              <w:spacing w:after="0"/>
              <w:rPr>
                <w:sz w:val="20"/>
                <w:szCs w:val="20"/>
                <w:color w:val="auto"/>
              </w:rPr>
            </w:pPr>
            <w:r>
              <w:rPr>
                <w:rFonts w:ascii="Arial" w:cs="Arial" w:eastAsia="Arial" w:hAnsi="Arial"/>
                <w:sz w:val="19"/>
                <w:szCs w:val="19"/>
                <w:color w:val="auto"/>
              </w:rPr>
              <w:t>Additional costs incurred</w:t>
            </w:r>
          </w:p>
        </w:tc>
        <w:tc>
          <w:tcPr>
            <w:tcW w:w="1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12,679,000</w:t>
            </w:r>
          </w:p>
        </w:tc>
        <w:tc>
          <w:tcPr>
            <w:tcW w:w="6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9"/>
                <w:szCs w:val="19"/>
                <w:color w:val="auto"/>
              </w:rPr>
              <w:t>23,345,000</w:t>
            </w:r>
          </w:p>
        </w:tc>
        <w:tc>
          <w:tcPr>
            <w:tcW w:w="0" w:type="dxa"/>
            <w:vAlign w:val="bottom"/>
          </w:tcPr>
          <w:p>
            <w:pPr>
              <w:spacing w:after="0"/>
              <w:rPr>
                <w:sz w:val="1"/>
                <w:szCs w:val="1"/>
                <w:color w:val="auto"/>
              </w:rPr>
            </w:pPr>
          </w:p>
        </w:tc>
      </w:tr>
      <w:tr>
        <w:trPr>
          <w:trHeight w:val="271"/>
        </w:trPr>
        <w:tc>
          <w:tcPr>
            <w:tcW w:w="6140" w:type="dxa"/>
            <w:vAlign w:val="bottom"/>
          </w:tcPr>
          <w:p>
            <w:pPr>
              <w:spacing w:after="0"/>
              <w:rPr>
                <w:sz w:val="20"/>
                <w:szCs w:val="20"/>
                <w:color w:val="auto"/>
              </w:rPr>
            </w:pPr>
            <w:r>
              <w:rPr>
                <w:rFonts w:ascii="Arial" w:cs="Arial" w:eastAsia="Arial" w:hAnsi="Arial"/>
                <w:sz w:val="19"/>
                <w:szCs w:val="19"/>
                <w:color w:val="auto"/>
              </w:rPr>
              <w:t>CFD reimbursements (Note 8)</w:t>
            </w:r>
          </w:p>
        </w:tc>
        <w:tc>
          <w:tcPr>
            <w:tcW w:w="1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(3,199,000)</w:t>
            </w:r>
          </w:p>
        </w:tc>
        <w:tc>
          <w:tcPr>
            <w:tcW w:w="6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9"/>
                <w:szCs w:val="19"/>
                <w:color w:val="auto"/>
              </w:rPr>
              <w:t>(14,722,000)</w:t>
            </w:r>
          </w:p>
        </w:tc>
        <w:tc>
          <w:tcPr>
            <w:tcW w:w="0" w:type="dxa"/>
            <w:vAlign w:val="bottom"/>
          </w:tcPr>
          <w:p>
            <w:pPr>
              <w:spacing w:after="0"/>
              <w:rPr>
                <w:sz w:val="1"/>
                <w:szCs w:val="1"/>
                <w:color w:val="auto"/>
              </w:rPr>
            </w:pPr>
          </w:p>
        </w:tc>
      </w:tr>
      <w:tr>
        <w:trPr>
          <w:trHeight w:val="271"/>
        </w:trPr>
        <w:tc>
          <w:tcPr>
            <w:tcW w:w="6140" w:type="dxa"/>
            <w:vAlign w:val="bottom"/>
          </w:tcPr>
          <w:p>
            <w:pPr>
              <w:spacing w:after="0"/>
              <w:rPr>
                <w:sz w:val="20"/>
                <w:szCs w:val="20"/>
                <w:color w:val="auto"/>
              </w:rPr>
            </w:pPr>
            <w:r>
              <w:rPr>
                <w:rFonts w:ascii="Arial" w:cs="Arial" w:eastAsia="Arial" w:hAnsi="Arial"/>
                <w:sz w:val="19"/>
                <w:szCs w:val="19"/>
                <w:color w:val="auto"/>
              </w:rPr>
              <w:t>Cost of land sales</w:t>
            </w:r>
          </w:p>
        </w:tc>
        <w:tc>
          <w:tcPr>
            <w:tcW w:w="1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w w:val="94"/>
              </w:rPr>
              <w:t>(32,735,000)</w:t>
            </w:r>
          </w:p>
        </w:tc>
        <w:tc>
          <w:tcPr>
            <w:tcW w:w="6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9"/>
                <w:szCs w:val="19"/>
                <w:color w:val="auto"/>
              </w:rPr>
              <w:t>(21,791,000)</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6140" w:type="dxa"/>
            <w:vAlign w:val="bottom"/>
          </w:tcPr>
          <w:p>
            <w:pPr>
              <w:spacing w:after="0"/>
              <w:rPr>
                <w:sz w:val="20"/>
                <w:szCs w:val="20"/>
                <w:color w:val="auto"/>
              </w:rPr>
            </w:pPr>
            <w:r>
              <w:rPr>
                <w:rFonts w:ascii="Arial" w:cs="Arial" w:eastAsia="Arial" w:hAnsi="Arial"/>
                <w:sz w:val="19"/>
                <w:szCs w:val="19"/>
                <w:color w:val="auto"/>
              </w:rPr>
              <w:t>Ending balance</w:t>
            </w:r>
          </w:p>
        </w:tc>
        <w:tc>
          <w:tcPr>
            <w:tcW w:w="1500" w:type="dxa"/>
            <w:vAlign w:val="bottom"/>
          </w:tcPr>
          <w:p>
            <w:pPr>
              <w:jc w:val="right"/>
              <w:ind w:right="1306"/>
              <w:spacing w:after="0"/>
              <w:rPr>
                <w:sz w:val="20"/>
                <w:szCs w:val="20"/>
                <w:color w:val="auto"/>
              </w:rPr>
            </w:pPr>
            <w:r>
              <w:rPr>
                <w:rFonts w:ascii="Arial" w:cs="Arial" w:eastAsia="Arial" w:hAnsi="Arial"/>
                <w:sz w:val="19"/>
                <w:szCs w:val="19"/>
                <w:color w:val="auto"/>
                <w:w w:val="75"/>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98,951,000</w:t>
            </w:r>
          </w:p>
        </w:tc>
        <w:tc>
          <w:tcPr>
            <w:tcW w:w="600" w:type="dxa"/>
            <w:vAlign w:val="bottom"/>
          </w:tcPr>
          <w:p>
            <w:pPr>
              <w:jc w:val="right"/>
              <w:ind w:right="406"/>
              <w:spacing w:after="0"/>
              <w:rPr>
                <w:sz w:val="20"/>
                <w:szCs w:val="20"/>
                <w:color w:val="auto"/>
              </w:rPr>
            </w:pPr>
            <w:r>
              <w:rPr>
                <w:rFonts w:ascii="Arial" w:cs="Arial" w:eastAsia="Arial" w:hAnsi="Arial"/>
                <w:sz w:val="19"/>
                <w:szCs w:val="19"/>
                <w:color w:val="auto"/>
                <w:w w:val="75"/>
              </w:rPr>
              <w:t>$</w:t>
            </w:r>
          </w:p>
        </w:tc>
        <w:tc>
          <w:tcPr>
            <w:tcW w:w="1920" w:type="dxa"/>
            <w:vAlign w:val="bottom"/>
          </w:tcPr>
          <w:p>
            <w:pPr>
              <w:jc w:val="right"/>
              <w:spacing w:after="0"/>
              <w:rPr>
                <w:sz w:val="20"/>
                <w:szCs w:val="20"/>
                <w:color w:val="auto"/>
              </w:rPr>
            </w:pPr>
            <w:r>
              <w:rPr>
                <w:rFonts w:ascii="Arial" w:cs="Arial" w:eastAsia="Arial" w:hAnsi="Arial"/>
                <w:sz w:val="19"/>
                <w:szCs w:val="19"/>
                <w:color w:val="auto"/>
              </w:rPr>
              <w:t>122,206,000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Management concluded that no impairment charges were warranted related to land held for development and sale through October 31, 2021. During the year ended October 31, 2019, the Company closed on the sale of 210 lots in land sale transactions with three homebuilders and recognized total land sale revenues of $37,788,000. During the year ended October 31, 2020, the Company closed on the sale of 144 lots in land sale transactions with three homebuilders and recognized total land sale revenues of $25,906,000. During the year ended October 31, 2021, the Company closed on the sale of 232 lots in land sale transactions with three homebuilders and recognized total land sale revenues of $42,853,000. Land sale revenues for these periods include related deposit amounts received and reflected as unearned revenue in previous periods.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one of the land sales closed in June 2020, the Company provided seller financing in the form of a promissory note to the buyer for $6,000,000. The note accrued interest at a fixed rate of 5.0% per annum and was due and payable, along with accrued interest, on the earlier of January 12, 2021 or sale of the first residence from the community, as defined. During the year ended October 31, 2020, the Company recognized $84,000 of accrued interest on the note, which was included with the note receivable balance on the accompanying balance sheet. The note was subsequently repaid, along with accrued interest, in November 2020.</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Included in land sales revenues for the years ended October 31, 2021, 2020 and 2019 were marketing fee revenues of $1,176,000, $745,000 and $879,000. As of October 31, 2021 and 2020, $561,000 and $421,000 of contract assets were recorded representing estimated future variable consideration to be received related to marketing fee revenues. Additionally, land sales revenues for the year ended October 31, 2021 included revenues from profit participation arrangements totaling $413,000, of which $208,000 was receivable at October 31, 2021 and included in other assets on the accompanying balance sheet. No amounts from profit participation arrangements were recognized as revenues in the years ended October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16"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3.</w:t>
      </w:r>
      <w:r>
        <w:rPr>
          <w:sz w:val="20"/>
          <w:szCs w:val="20"/>
          <w:color w:val="auto"/>
        </w:rPr>
        <w:tab/>
      </w:r>
      <w:r>
        <w:rPr>
          <w:rFonts w:ascii="Arial" w:cs="Arial" w:eastAsia="Arial" w:hAnsi="Arial"/>
          <w:sz w:val="17"/>
          <w:szCs w:val="17"/>
          <w:b w:val="1"/>
          <w:bCs w:val="1"/>
          <w:color w:val="auto"/>
        </w:rPr>
        <w:t>Land Held for Development and Sale (continued)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As of October 31, 2021 and 2020, the Company had substantially completed all performance obligations related to the land sale transactions that closed during the respective years then ended.</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As of October 31, 2021, the Company had no deposits related to future lot sale transactions. As of October 31, 2020, the Company had received $696,000 of deposits related to lot sales transactions which closed and were recognized as land sales revenues during the year ended October 31, 2021.</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During the year ended October 31, 2020, the Company expensed $316,000 related to abandoned project costs which were incurred related to a potential apartment development within the Project which was no longer being pursued. There were no similar charges for the years ended October 31, 2021 or 2019.</w:t>
      </w:r>
    </w:p>
    <w:p>
      <w:pPr>
        <w:spacing w:after="0" w:line="192"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4.</w:t>
      </w:r>
      <w:r>
        <w:rPr>
          <w:sz w:val="20"/>
          <w:szCs w:val="20"/>
          <w:color w:val="auto"/>
        </w:rPr>
        <w:tab/>
      </w:r>
      <w:r>
        <w:rPr>
          <w:rFonts w:ascii="Arial" w:cs="Arial" w:eastAsia="Arial" w:hAnsi="Arial"/>
          <w:sz w:val="16"/>
          <w:szCs w:val="16"/>
          <w:b w:val="1"/>
          <w:bCs w:val="1"/>
          <w:color w:val="auto"/>
        </w:rPr>
        <w:t>Accounts Payable and Accrued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Accounts payable and accrued liabilities includes the following as of October 31, 2021 and 2020:</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6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2021</w:t>
            </w: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80" w:type="dxa"/>
            <w:vAlign w:val="bottom"/>
          </w:tcPr>
          <w:p>
            <w:pPr>
              <w:jc w:val="right"/>
              <w:ind w:right="886"/>
              <w:spacing w:after="0"/>
              <w:rPr>
                <w:sz w:val="20"/>
                <w:szCs w:val="20"/>
                <w:color w:val="auto"/>
              </w:rPr>
            </w:pPr>
            <w:r>
              <w:rPr>
                <w:rFonts w:ascii="Arial" w:cs="Arial" w:eastAsia="Arial" w:hAnsi="Arial"/>
                <w:sz w:val="19"/>
                <w:szCs w:val="19"/>
                <w:b w:val="1"/>
                <w:bCs w:val="1"/>
                <w:color w:val="auto"/>
              </w:rPr>
              <w:t>2020</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9"/>
                <w:szCs w:val="19"/>
                <w:color w:val="auto"/>
              </w:rPr>
              <w:t>Trade accounts payable</w:t>
            </w: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600" w:type="dxa"/>
            <w:vAlign w:val="bottom"/>
            <w:vMerge w:val="continue"/>
          </w:tcPr>
          <w:p>
            <w:pPr>
              <w:spacing w:after="0"/>
              <w:rPr>
                <w:sz w:val="21"/>
                <w:szCs w:val="21"/>
                <w:color w:val="auto"/>
              </w:rPr>
            </w:pPr>
          </w:p>
        </w:tc>
        <w:tc>
          <w:tcPr>
            <w:tcW w:w="1400" w:type="dxa"/>
            <w:vAlign w:val="bottom"/>
          </w:tcPr>
          <w:p>
            <w:pPr>
              <w:jc w:val="right"/>
              <w:ind w:right="1206"/>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113,000</w:t>
            </w:r>
          </w:p>
        </w:tc>
        <w:tc>
          <w:tcPr>
            <w:tcW w:w="580" w:type="dxa"/>
            <w:vAlign w:val="bottom"/>
          </w:tcPr>
          <w:p>
            <w:pPr>
              <w:jc w:val="right"/>
              <w:ind w:right="346"/>
              <w:spacing w:after="0"/>
              <w:rPr>
                <w:sz w:val="20"/>
                <w:szCs w:val="20"/>
                <w:color w:val="auto"/>
              </w:rPr>
            </w:pPr>
            <w:r>
              <w:rPr>
                <w:rFonts w:ascii="Arial" w:cs="Arial" w:eastAsia="Arial" w:hAnsi="Arial"/>
                <w:sz w:val="19"/>
                <w:szCs w:val="19"/>
                <w:color w:val="auto"/>
              </w:rPr>
              <w:t>$</w:t>
            </w:r>
          </w:p>
        </w:tc>
        <w:tc>
          <w:tcPr>
            <w:tcW w:w="1780" w:type="dxa"/>
            <w:vAlign w:val="bottom"/>
          </w:tcPr>
          <w:p>
            <w:pPr>
              <w:jc w:val="right"/>
              <w:spacing w:after="0"/>
              <w:rPr>
                <w:sz w:val="20"/>
                <w:szCs w:val="20"/>
                <w:color w:val="auto"/>
              </w:rPr>
            </w:pPr>
            <w:r>
              <w:rPr>
                <w:rFonts w:ascii="Arial" w:cs="Arial" w:eastAsia="Arial" w:hAnsi="Arial"/>
                <w:sz w:val="19"/>
                <w:szCs w:val="19"/>
                <w:color w:val="auto"/>
              </w:rPr>
              <w:t>75,000</w:t>
            </w:r>
          </w:p>
        </w:tc>
        <w:tc>
          <w:tcPr>
            <w:tcW w:w="0" w:type="dxa"/>
            <w:vAlign w:val="bottom"/>
          </w:tcPr>
          <w:p>
            <w:pPr>
              <w:spacing w:after="0"/>
              <w:rPr>
                <w:sz w:val="1"/>
                <w:szCs w:val="1"/>
                <w:color w:val="auto"/>
              </w:rPr>
            </w:pPr>
          </w:p>
        </w:tc>
      </w:tr>
      <w:tr>
        <w:trPr>
          <w:trHeight w:val="271"/>
        </w:trPr>
        <w:tc>
          <w:tcPr>
            <w:tcW w:w="6600" w:type="dxa"/>
            <w:vAlign w:val="bottom"/>
          </w:tcPr>
          <w:p>
            <w:pPr>
              <w:spacing w:after="0"/>
              <w:rPr>
                <w:sz w:val="20"/>
                <w:szCs w:val="20"/>
                <w:color w:val="auto"/>
              </w:rPr>
            </w:pPr>
            <w:r>
              <w:rPr>
                <w:rFonts w:ascii="Arial" w:cs="Arial" w:eastAsia="Arial" w:hAnsi="Arial"/>
                <w:sz w:val="19"/>
                <w:szCs w:val="19"/>
                <w:color w:val="auto"/>
              </w:rPr>
              <w:t>Retentions payable</w:t>
            </w:r>
          </w:p>
        </w:tc>
        <w:tc>
          <w:tcPr>
            <w:tcW w:w="1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4"/>
              </w:rPr>
              <w:t>2,096,000</w:t>
            </w:r>
          </w:p>
        </w:tc>
        <w:tc>
          <w:tcPr>
            <w:tcW w:w="5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2,055,000</w:t>
            </w:r>
          </w:p>
        </w:tc>
        <w:tc>
          <w:tcPr>
            <w:tcW w:w="0" w:type="dxa"/>
            <w:vAlign w:val="bottom"/>
          </w:tcPr>
          <w:p>
            <w:pPr>
              <w:spacing w:after="0"/>
              <w:rPr>
                <w:sz w:val="1"/>
                <w:szCs w:val="1"/>
                <w:color w:val="auto"/>
              </w:rPr>
            </w:pPr>
          </w:p>
        </w:tc>
      </w:tr>
      <w:tr>
        <w:trPr>
          <w:trHeight w:val="271"/>
        </w:trPr>
        <w:tc>
          <w:tcPr>
            <w:tcW w:w="6600" w:type="dxa"/>
            <w:vAlign w:val="bottom"/>
          </w:tcPr>
          <w:p>
            <w:pPr>
              <w:spacing w:after="0"/>
              <w:rPr>
                <w:sz w:val="20"/>
                <w:szCs w:val="20"/>
                <w:color w:val="auto"/>
              </w:rPr>
            </w:pPr>
            <w:r>
              <w:rPr>
                <w:rFonts w:ascii="Arial" w:cs="Arial" w:eastAsia="Arial" w:hAnsi="Arial"/>
                <w:sz w:val="19"/>
                <w:szCs w:val="19"/>
                <w:color w:val="auto"/>
              </w:rPr>
              <w:t>Accrued liabilities</w:t>
            </w:r>
          </w:p>
        </w:tc>
        <w:tc>
          <w:tcPr>
            <w:tcW w:w="1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4"/>
              </w:rPr>
              <w:t>2,448,000</w:t>
            </w:r>
          </w:p>
        </w:tc>
        <w:tc>
          <w:tcPr>
            <w:tcW w:w="5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1,642,000</w:t>
            </w:r>
          </w:p>
        </w:tc>
        <w:tc>
          <w:tcPr>
            <w:tcW w:w="0" w:type="dxa"/>
            <w:vAlign w:val="bottom"/>
          </w:tcPr>
          <w:p>
            <w:pPr>
              <w:spacing w:after="0"/>
              <w:rPr>
                <w:sz w:val="1"/>
                <w:szCs w:val="1"/>
                <w:color w:val="auto"/>
              </w:rPr>
            </w:pPr>
          </w:p>
        </w:tc>
      </w:tr>
      <w:tr>
        <w:trPr>
          <w:trHeight w:val="271"/>
        </w:trPr>
        <w:tc>
          <w:tcPr>
            <w:tcW w:w="6600" w:type="dxa"/>
            <w:vAlign w:val="bottom"/>
          </w:tcPr>
          <w:p>
            <w:pPr>
              <w:spacing w:after="0"/>
              <w:rPr>
                <w:sz w:val="20"/>
                <w:szCs w:val="20"/>
                <w:color w:val="auto"/>
              </w:rPr>
            </w:pPr>
            <w:r>
              <w:rPr>
                <w:rFonts w:ascii="Arial" w:cs="Arial" w:eastAsia="Arial" w:hAnsi="Arial"/>
                <w:sz w:val="19"/>
                <w:szCs w:val="19"/>
                <w:color w:val="auto"/>
              </w:rPr>
              <w:t>Environmental remediation obligation (Note 8)</w:t>
            </w:r>
          </w:p>
        </w:tc>
        <w:tc>
          <w:tcPr>
            <w:tcW w:w="1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71,000</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6600" w:type="dxa"/>
            <w:vAlign w:val="bottom"/>
          </w:tcPr>
          <w:p>
            <w:pPr>
              <w:spacing w:after="0"/>
              <w:rPr>
                <w:sz w:val="24"/>
                <w:szCs w:val="24"/>
                <w:color w:val="auto"/>
              </w:rPr>
            </w:pPr>
          </w:p>
        </w:tc>
        <w:tc>
          <w:tcPr>
            <w:tcW w:w="1400" w:type="dxa"/>
            <w:vAlign w:val="bottom"/>
          </w:tcPr>
          <w:p>
            <w:pPr>
              <w:jc w:val="right"/>
              <w:ind w:right="1206"/>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w w:val="94"/>
              </w:rPr>
              <w:t>4,657,000</w:t>
            </w:r>
          </w:p>
        </w:tc>
        <w:tc>
          <w:tcPr>
            <w:tcW w:w="580" w:type="dxa"/>
            <w:vAlign w:val="bottom"/>
          </w:tcPr>
          <w:p>
            <w:pPr>
              <w:jc w:val="right"/>
              <w:ind w:right="346"/>
              <w:spacing w:after="0"/>
              <w:rPr>
                <w:sz w:val="20"/>
                <w:szCs w:val="20"/>
                <w:color w:val="auto"/>
              </w:rPr>
            </w:pPr>
            <w:r>
              <w:rPr>
                <w:rFonts w:ascii="Arial" w:cs="Arial" w:eastAsia="Arial" w:hAnsi="Arial"/>
                <w:sz w:val="19"/>
                <w:szCs w:val="19"/>
                <w:color w:val="auto"/>
              </w:rPr>
              <w:t>$</w:t>
            </w:r>
          </w:p>
        </w:tc>
        <w:tc>
          <w:tcPr>
            <w:tcW w:w="1780" w:type="dxa"/>
            <w:vAlign w:val="bottom"/>
          </w:tcPr>
          <w:p>
            <w:pPr>
              <w:jc w:val="right"/>
              <w:spacing w:after="0"/>
              <w:rPr>
                <w:sz w:val="20"/>
                <w:szCs w:val="20"/>
                <w:color w:val="auto"/>
              </w:rPr>
            </w:pPr>
            <w:r>
              <w:rPr>
                <w:rFonts w:ascii="Arial" w:cs="Arial" w:eastAsia="Arial" w:hAnsi="Arial"/>
                <w:sz w:val="19"/>
                <w:szCs w:val="19"/>
                <w:color w:val="auto"/>
              </w:rPr>
              <w:t>3,843,000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16"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5.</w:t>
      </w:r>
      <w:r>
        <w:rPr>
          <w:sz w:val="20"/>
          <w:szCs w:val="20"/>
          <w:color w:val="auto"/>
        </w:rPr>
        <w:tab/>
      </w:r>
      <w:r>
        <w:rPr>
          <w:rFonts w:ascii="Arial" w:cs="Arial" w:eastAsia="Arial" w:hAnsi="Arial"/>
          <w:sz w:val="17"/>
          <w:szCs w:val="17"/>
          <w:b w:val="1"/>
          <w:bCs w:val="1"/>
          <w:color w:val="auto"/>
        </w:rPr>
        <w:t>Line of Credit</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February 2018, the Company entered into an unsecured revolving line of credit facility with a third-party lender to provide development financing for the Project. The line of credit, as modified and extended, has a maximum borrowing amount of $45,000,000 and matures February 22, 2023, The line of credit bears interest, payable monthly, at an annual rate of one-month LIBOR plus 2.85% (3.00% at October 31, 2021) plus an unused commitment fee of 0.20% per year, payable quarterly. The line of credit has a one-year extension option through February 22, 2024 subject to terms and conditions as defined in the agreement, with the maximum borrowing amount reduced to $35,000,000 during the extension period.</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October 31, 2021 and 2020, the Company had outstanding borrowings of $0 and $30,390,000 under the line of credit, respectively. Unamortized loan costs totaling $66,000 as of October 31, 2021 were classified as other assets as the line of credit had no outstanding borrowings as of that date. Unamortized loan costs totaling $22,000 as of October 31, 2020 were presented as a reduction of the outstanding loan balance. Loan costs amortized as interest costs during the years ended October 31, 2021 and 2020 totaled $159,000 and $99,000, respectively, all of which were capitalized to the Project. During the years ended October 31, 2021, 2020 and 2019, the Company recorded interest and unused commitment fees on the line of credit of $398,000, $1,736,000 and $2,015,000, respectively, all of which were capitalized to the Project.</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line of credit is guaranteed by Limoneira and certain owners of Lewis. The loan also requires compliance with certain financial covenants, including liquid asset and tangible net worth requirements of the guarantors, all of which were in compliance as of October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16"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6.</w:t>
      </w:r>
      <w:r>
        <w:rPr>
          <w:sz w:val="20"/>
          <w:szCs w:val="20"/>
          <w:color w:val="auto"/>
        </w:rPr>
        <w:tab/>
      </w:r>
      <w:r>
        <w:rPr>
          <w:rFonts w:ascii="Arial" w:cs="Arial" w:eastAsia="Arial" w:hAnsi="Arial"/>
          <w:sz w:val="16"/>
          <w:szCs w:val="16"/>
          <w:b w:val="1"/>
          <w:bCs w:val="1"/>
          <w:color w:val="auto"/>
        </w:rPr>
        <w:t>Fair Value Disclosures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ASC Topic 820, </w:t>
      </w:r>
      <w:r>
        <w:rPr>
          <w:rFonts w:ascii="Arial" w:cs="Arial" w:eastAsia="Arial" w:hAnsi="Arial"/>
          <w:sz w:val="20"/>
          <w:szCs w:val="20"/>
          <w:i w:val="1"/>
          <w:iCs w:val="1"/>
          <w:color w:val="auto"/>
        </w:rPr>
        <w:t>Fair Value Measurement,</w:t>
      </w:r>
      <w:r>
        <w:rPr>
          <w:rFonts w:ascii="Arial" w:cs="Arial" w:eastAsia="Arial" w:hAnsi="Arial"/>
          <w:sz w:val="19"/>
          <w:szCs w:val="19"/>
          <w:color w:val="auto"/>
        </w:rPr>
        <w:t xml:space="preserve"> provides a framework for measuring fair value and has established a fair value hierarchy which prioritizes the inputs used in measuring fair value. The hierarchy is summarized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Level 1 – Fair value determined based on quoted prices in active markets for identical assets.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Level 2 – Fair value determined using significant observable inputs, such as those principally derived from or corroborated by observable market data, by correlation or other means.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Level 3 – Fair value determined using significant unobservable inputs, such as pricing models, discounted cash flows, or similar techniques.</w:t>
      </w:r>
    </w:p>
    <w:p>
      <w:pPr>
        <w:spacing w:after="0" w:line="23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GAAP requires the measurement of certain financial instruments at fair value on a recurring basis, and certain other financial and non-financial assets at fair value on a nonrecurring basis. Additionally, GAAP requires fair value disclosures for certain assets and liabilities.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There were no recurring or nonrecurring fair value measurements made in the periods presented in the accompanying financial statements through October 31, 2021. The following table presents the carrying amounts and estimated fair values of the Company’s financial liabilities as of October 31, 2021 and 2020:</w:t>
      </w:r>
    </w:p>
    <w:p>
      <w:pPr>
        <w:spacing w:after="0" w:line="245" w:lineRule="exact"/>
        <w:rPr>
          <w:sz w:val="20"/>
          <w:szCs w:val="20"/>
          <w:color w:val="auto"/>
        </w:rPr>
      </w:pPr>
    </w:p>
    <w:p>
      <w:pPr>
        <w:ind w:left="3800"/>
        <w:spacing w:after="0"/>
        <w:tabs>
          <w:tab w:leader="none" w:pos="8320" w:val="left"/>
        </w:tabs>
        <w:rPr>
          <w:sz w:val="20"/>
          <w:szCs w:val="20"/>
          <w:color w:val="auto"/>
        </w:rPr>
      </w:pPr>
      <w:r>
        <w:rPr>
          <w:rFonts w:ascii="Arial" w:cs="Arial" w:eastAsia="Arial" w:hAnsi="Arial"/>
          <w:sz w:val="17"/>
          <w:szCs w:val="17"/>
          <w:b w:val="1"/>
          <w:bCs w:val="1"/>
          <w:color w:val="auto"/>
        </w:rPr>
        <w:t>October 31, 2021</w:t>
      </w:r>
      <w:r>
        <w:rPr>
          <w:sz w:val="20"/>
          <w:szCs w:val="20"/>
          <w:color w:val="auto"/>
        </w:rPr>
        <w:tab/>
      </w:r>
      <w:r>
        <w:rPr>
          <w:rFonts w:ascii="Arial" w:cs="Arial" w:eastAsia="Arial" w:hAnsi="Arial"/>
          <w:sz w:val="15"/>
          <w:szCs w:val="15"/>
          <w:b w:val="1"/>
          <w:bCs w:val="1"/>
          <w:color w:val="auto"/>
        </w:rPr>
        <w:t>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34925</wp:posOffset>
            </wp:positionV>
            <wp:extent cx="5656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6">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75"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Carrying</w:t>
      </w:r>
    </w:p>
    <w:p>
      <w:pPr>
        <w:spacing w:after="0" w:line="28" w:lineRule="exact"/>
        <w:rPr>
          <w:sz w:val="20"/>
          <w:szCs w:val="20"/>
          <w:color w:val="auto"/>
        </w:rPr>
      </w:pPr>
    </w:p>
    <w:p>
      <w:pPr>
        <w:ind w:left="3080"/>
        <w:spacing w:after="0"/>
        <w:tabs>
          <w:tab w:leader="none" w:pos="5080" w:val="left"/>
        </w:tabs>
        <w:rPr>
          <w:sz w:val="20"/>
          <w:szCs w:val="20"/>
          <w:color w:val="auto"/>
        </w:rPr>
      </w:pPr>
      <w:r>
        <w:rPr>
          <w:rFonts w:ascii="Arial" w:cs="Arial" w:eastAsia="Arial" w:hAnsi="Arial"/>
          <w:sz w:val="15"/>
          <w:szCs w:val="15"/>
          <w:b w:val="1"/>
          <w:bCs w:val="1"/>
          <w:color w:val="auto"/>
        </w:rPr>
        <w:t>Amount</w:t>
      </w:r>
      <w:r>
        <w:rPr>
          <w:sz w:val="20"/>
          <w:szCs w:val="20"/>
          <w:color w:val="auto"/>
        </w:rPr>
        <w:tab/>
      </w:r>
      <w:r>
        <w:rPr>
          <w:rFonts w:ascii="Arial" w:cs="Arial" w:eastAsia="Arial" w:hAnsi="Arial"/>
          <w:sz w:val="15"/>
          <w:szCs w:val="15"/>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4142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7">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Carrying</w:t>
      </w:r>
    </w:p>
    <w:p>
      <w:pPr>
        <w:spacing w:after="0" w:line="28"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15"/>
          <w:szCs w:val="15"/>
          <w:b w:val="1"/>
          <w:bCs w:val="1"/>
          <w:color w:val="auto"/>
        </w:rPr>
        <w:t>Amount</w:t>
      </w:r>
      <w:r>
        <w:rPr>
          <w:sz w:val="20"/>
          <w:szCs w:val="20"/>
          <w:color w:val="auto"/>
        </w:rPr>
        <w:tab/>
      </w:r>
      <w:r>
        <w:rPr>
          <w:rFonts w:ascii="Arial" w:cs="Arial" w:eastAsia="Arial" w:hAnsi="Arial"/>
          <w:sz w:val="15"/>
          <w:szCs w:val="15"/>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55245</wp:posOffset>
            </wp:positionV>
            <wp:extent cx="28981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8">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680" w:space="720"/>
            <w:col w:w="3840"/>
          </w:cols>
          <w:pgMar w:left="320" w:top="11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Financial liabilities:</w:t>
      </w:r>
    </w:p>
    <w:p>
      <w:pPr>
        <w:spacing w:after="0" w:line="62" w:lineRule="exact"/>
        <w:rPr>
          <w:sz w:val="20"/>
          <w:szCs w:val="20"/>
          <w:color w:val="auto"/>
        </w:rPr>
      </w:pPr>
    </w:p>
    <w:p>
      <w:pPr>
        <w:ind w:left="20"/>
        <w:spacing w:after="0"/>
        <w:tabs>
          <w:tab w:leader="none" w:pos="2340" w:val="left"/>
          <w:tab w:leader="none" w:pos="4180" w:val="left"/>
          <w:tab w:leader="none" w:pos="6260" w:val="left"/>
          <w:tab w:leader="none" w:pos="6680" w:val="left"/>
          <w:tab w:leader="none" w:pos="7940" w:val="left"/>
          <w:tab w:leader="none" w:pos="10380" w:val="left"/>
        </w:tabs>
        <w:rPr>
          <w:sz w:val="20"/>
          <w:szCs w:val="20"/>
          <w:color w:val="auto"/>
        </w:rPr>
      </w:pPr>
      <w:r>
        <w:rPr>
          <w:rFonts w:ascii="Arial" w:cs="Arial" w:eastAsia="Arial" w:hAnsi="Arial"/>
          <w:sz w:val="17"/>
          <w:szCs w:val="17"/>
          <w:color w:val="auto"/>
        </w:rPr>
        <w:t>Line of credit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w:t>
        <w:tab/>
        <w:t>$</w:t>
      </w:r>
      <w:r>
        <w:rPr>
          <w:sz w:val="20"/>
          <w:szCs w:val="20"/>
          <w:color w:val="auto"/>
        </w:rPr>
        <w:tab/>
      </w:r>
      <w:r>
        <w:rPr>
          <w:rFonts w:ascii="Arial" w:cs="Arial" w:eastAsia="Arial" w:hAnsi="Arial"/>
          <w:sz w:val="17"/>
          <w:szCs w:val="17"/>
          <w:color w:val="auto"/>
        </w:rPr>
        <w:t>30,368,000 $</w:t>
      </w:r>
      <w:r>
        <w:rPr>
          <w:sz w:val="20"/>
          <w:szCs w:val="20"/>
          <w:color w:val="auto"/>
        </w:rPr>
        <w:tab/>
      </w:r>
      <w:r>
        <w:rPr>
          <w:rFonts w:ascii="Arial" w:cs="Arial" w:eastAsia="Arial" w:hAnsi="Arial"/>
          <w:sz w:val="15"/>
          <w:szCs w:val="15"/>
          <w:color w:val="auto"/>
        </w:rPr>
        <w:t>30,481,000</w:t>
      </w:r>
    </w:p>
    <w:p>
      <w:pPr>
        <w:spacing w:after="0" w:line="200" w:lineRule="exact"/>
        <w:rPr>
          <w:sz w:val="20"/>
          <w:szCs w:val="20"/>
          <w:color w:val="auto"/>
        </w:rPr>
      </w:pPr>
    </w:p>
    <w:p>
      <w:pPr>
        <w:spacing w:after="0" w:line="38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fair value of the Company’s line of credit was estimated using a discounted cash flow analysis based on management’s estimates of current market interest rates for instruments with similar characteristics including remaining loan term and other credit enhancements. The Company classifies these inputs as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16" w:right="3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440" w:firstLine="3"/>
        <w:spacing w:after="0" w:line="575" w:lineRule="auto"/>
        <w:tabs>
          <w:tab w:leader="none" w:pos="309"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Cost Reimbursements to Members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reimburses for approved costs and expenses incurred by the Manager and Limoneira, or their affiliates, on behalf of the Company, including for employees providing services in conjunction with development activities for the Project. For the years ended October 31, 2021, 2020 and 2019, $1,597,000, $1,533,000 and $1,753,000, respectively, of such costs were incurred by the Members on behalf of the Company, all of which were capitalized to the Project. During the years ended October 31, 2021, 2020 and 2019, certain additional reimbursable employee costs of $119,000, $71,000, and $51,000, respectively, were incurred by the Company for employees of the Manager providing services for the Project which were recorded as sales and marketing expenses. As of October 31, 2021 and 2020, $51,000 and $95,000, respectively, of such cost reimbursements remained payable by the Company to the Members, which are included in due to affiliates on the accompanying balance sheets.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During the years ended October 31, 2021 and 2020, the Company received $3,199,000 and $15,042,000, respectively, in total CFD reimbursement proceeds (Note 8). Of the amount received during the year ended October 31, 2020, $320,000 was remitted to Limoneira related to proceeds pertaining to adjacent land owned by Limoneira, which was accounted for as a reduction in CFD reimbursements due to and received by the Company.</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Additionally, during the year ended October 31, 2020, the Company reimbursed an affiliate of the Manager $1,272,000 for pre-development costs incurred by such affiliate on behalf of the Company. There were no similar affiliated reimbursements during the year ended October 31, 2021 or 2019.</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Loans from Members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October 31, 2020, the Members made a short-term loan to the Company of $3,600,000 which was repaid during the year.</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Interest costs incurred and paid on the Member loans of $55,000 were capitalized to the Project.</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Retained Land and Infrastructure Cost Reimbursements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conjunction with Limoneira’s initial contribution of land to the Company, certain additional land (referred to as the “Retained Land”) was legally conveyed to the Company for which Limoneira retained beneficial ownership. The land was transferred back to Limoneira in August 2018 for no consideration upon recording of a revised tract map that subdivided the Retained Property as a legal parcel.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16"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Related Party Transactions (continued)</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As of October 31, 2021, estimated such reimbursements from Limoneira totaled $5,771,000 which are reflected as due from affiliates on the accompanying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Leasing Transactions with Related Parties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has agreed to lease two offices from Limoneira in two office buildings in Santa Paula, California. The leases are month-to-month leases at a rate of $472 and $1,350 per month and may be terminated by either party with 30 days’ notice.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has agreed to lease property from Limoneira in Santa Paula, California. The lease is a ten-year lease at a rate of $250 per month. The Company can terminate the lease with 30 days’ notice following the 3</w:t>
      </w:r>
      <w:r>
        <w:rPr>
          <w:rFonts w:ascii="Arial" w:cs="Arial" w:eastAsia="Arial" w:hAnsi="Arial"/>
          <w:sz w:val="22"/>
          <w:szCs w:val="22"/>
          <w:color w:val="auto"/>
          <w:vertAlign w:val="superscript"/>
        </w:rPr>
        <w:t>rd</w:t>
      </w:r>
      <w:r>
        <w:rPr>
          <w:rFonts w:ascii="Arial" w:cs="Arial" w:eastAsia="Arial" w:hAnsi="Arial"/>
          <w:sz w:val="19"/>
          <w:szCs w:val="19"/>
          <w:color w:val="auto"/>
        </w:rPr>
        <w:t xml:space="preserve"> anniversary of the effective date of the lease.</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agreed to lease to Limoneira certain agricultural land contained within the Property for nominal consideration until the Company required such land to commence development activities on such land. This lease was terminated during the year ending October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Commitments and Contingencies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 xml:space="preserve">During the year ended October 31, 2018, the Company identified environmental contamination affecting soils throughout various parts of the Project related to leakage of fuel on the land prior to the Company’s ownership of the property. The Company recorded an initial obligation of $12,100,000 during the year ended October 31, 2018 related to the estimated costs to remediate of such costs on an undiscounted basis in accordance with ASC 410-30, </w:t>
      </w:r>
      <w:r>
        <w:rPr>
          <w:rFonts w:ascii="Arial" w:cs="Arial" w:eastAsia="Arial" w:hAnsi="Arial"/>
          <w:sz w:val="20"/>
          <w:szCs w:val="20"/>
          <w:i w:val="1"/>
          <w:iCs w:val="1"/>
          <w:color w:val="auto"/>
        </w:rPr>
        <w:t>Environmental Obligations</w:t>
      </w:r>
      <w:r>
        <w:rPr>
          <w:rFonts w:ascii="Arial" w:cs="Arial" w:eastAsia="Arial" w:hAnsi="Arial"/>
          <w:sz w:val="19"/>
          <w:szCs w:val="19"/>
          <w:color w:val="auto"/>
        </w:rPr>
        <w:t>. As of October 31, 2021 and 2020, the remaining liability related to such estimated remediation costs was $0 and $71,000, respectively, and was included in accounts payable and accrued liabilities. All such costs were capitalized to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16"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4"/>
          <w:szCs w:val="24"/>
          <w:b w:val="1"/>
          <w:bCs w:val="1"/>
          <w:color w:val="auto"/>
        </w:rPr>
        <w:t>LIMONEIRA LEWIS COMMUNITY BUILDERS,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 Delaware Limited Liability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Commitments and Contingencies (continued)</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Although there can be no assurance, the Company is not aware of any other material environmental liability that could have a material adverse effect on its financial condition or results of operations. However, identification of additional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Currently, there are no guarantees by any of the Members or their affiliates in place on any of the obligations of the Company, except as related to the line of credit as described in Note 5. The Company is also required to complete development obligations related to the Project pursuant to the Development Agreement as well as pursuant to the terms of contracts with individual homebuilders and other parties.</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The Company expects to be reimbursed for certain infrastructure costs it incurs related to the Project from the proceeds of bonds to be issued from one or more communities facilities districts (“CFDs”). Through October 31, 2021, the Company had received $17,921,000 in net CFD reimbursements. As of October 31, 2021, there were $19,380,000 in total bonds issued and outstanding by the CFDs associated with the Project. These bond obligations are not recorded as liabilities of the Company as the estimated payments associated with the bonds are not fixed and determinable. Additionally, the Company is not liable to satisfy shortfalls in annual debt service obligations and has not pledged assets or provided other credit enhancements in support of the bond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Subsequent Events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has evaluated events subsequent to October 31, 2021 through December 20, 2021, the date the financial statements were available to be issued, for their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21</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lvl w:ilvl="1">
      <w:lvlJc w:val="left"/>
      <w:lvlText w:val="◦"/>
      <w:numFmt w:val="bullet"/>
      <w:start w:val="1"/>
    </w:lvl>
  </w:abstractNum>
  <w:abstractNum w:abstractNumId="36">
    <w:nsid w:val="1BA026FA"/>
    <w:multiLevelType w:val="hybridMultilevel"/>
    <w:lvl w:ilvl="0">
      <w:lvlJc w:val="left"/>
      <w:lvlText w:val="%1."/>
      <w:numFmt w:val="decimal"/>
      <w:start w:val="2"/>
    </w:lvl>
  </w:abstractNum>
  <w:abstractNum w:abstractNumId="37">
    <w:nsid w:val="79A1DEAA"/>
    <w:multiLevelType w:val="hybridMultilevel"/>
    <w:lvl w:ilvl="0">
      <w:lvlJc w:val="left"/>
      <w:lvlText w:val="%1."/>
      <w:numFmt w:val="decimal"/>
      <w:start w:val="2"/>
    </w:lvl>
  </w:abstractNum>
  <w:abstractNum w:abstractNumId="38">
    <w:nsid w:val="75C6C33A"/>
    <w:multiLevelType w:val="hybridMultilevel"/>
    <w:lvl w:ilvl="0">
      <w:lvlJc w:val="left"/>
      <w:lvlText w:val="%1."/>
      <w:numFmt w:val="decimal"/>
      <w:start w:val="2"/>
    </w:lvl>
  </w:abstractNum>
  <w:abstractNum w:abstractNumId="39">
    <w:nsid w:val="12E685FB"/>
    <w:multiLevelType w:val="hybridMultilevel"/>
    <w:lvl w:ilvl="0">
      <w:lvlJc w:val="left"/>
      <w:lvlText w:val="%1."/>
      <w:numFmt w:val="decimal"/>
      <w:start w:val="2"/>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2"/>
    </w:lvl>
  </w:abstractNum>
  <w:abstractNum w:abstractNumId="42">
    <w:nsid w:val="374A3FE6"/>
    <w:multiLevelType w:val="hybridMultilevel"/>
    <w:lvl w:ilvl="0">
      <w:lvlJc w:val="left"/>
      <w:lvlText w:val="%1."/>
      <w:numFmt w:val="decimal"/>
      <w:start w:val="8"/>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6"/>
    </w:lvl>
  </w:abstractNum>
  <w:abstractNum w:abstractNumId="45">
    <w:nsid w:val="649BB77C"/>
    <w:multiLevelType w:val="hybridMultilevel"/>
    <w:lvl w:ilvl="0">
      <w:lvlJc w:val="left"/>
      <w:lvlText w:val="%1."/>
      <w:numFmt w:val="decimal"/>
      <w:start w:val="18"/>
    </w:lvl>
  </w:abstractNum>
  <w:abstractNum w:abstractNumId="46">
    <w:nsid w:val="275AC794"/>
    <w:multiLevelType w:val="hybridMultilevel"/>
    <w:lvl w:ilvl="0">
      <w:lvlJc w:val="left"/>
      <w:lvlText w:val="%1."/>
      <w:numFmt w:val="decimal"/>
      <w:start w:val="19"/>
    </w:lvl>
  </w:abstractNum>
  <w:abstractNum w:abstractNumId="47">
    <w:nsid w:val="39386575"/>
    <w:multiLevelType w:val="hybridMultilevel"/>
    <w:lvl w:ilvl="0">
      <w:lvlJc w:val="left"/>
      <w:lvlText w:val="%1."/>
      <w:numFmt w:val="decimal"/>
      <w:start w:val="19"/>
    </w:lvl>
  </w:abstractNum>
  <w:abstractNum w:abstractNumId="48">
    <w:nsid w:val="1CF10FD8"/>
    <w:multiLevelType w:val="hybridMultilevel"/>
    <w:lvl w:ilvl="0">
      <w:lvlJc w:val="left"/>
      <w:lvlText w:val="%1."/>
      <w:numFmt w:val="decimal"/>
      <w:start w:val="20"/>
    </w:lvl>
  </w:abstractNum>
  <w:abstractNum w:abstractNumId="49">
    <w:nsid w:val="180115BE"/>
    <w:multiLevelType w:val="hybridMultilevel"/>
    <w:lvl w:ilvl="0">
      <w:lvlJc w:val="left"/>
      <w:lvlText w:val="%1."/>
      <w:numFmt w:val="decimal"/>
      <w:start w:val="20"/>
    </w:lvl>
  </w:abstractNum>
  <w:abstractNum w:abstractNumId="50">
    <w:nsid w:val="235BA861"/>
    <w:multiLevelType w:val="hybridMultilevel"/>
    <w:lvl w:ilvl="0">
      <w:lvlJc w:val="left"/>
      <w:lvlText w:val="(%1)"/>
      <w:numFmt w:val="lowerLetter"/>
      <w:start w:val="2"/>
    </w:lvl>
    <w:lvl w:ilvl="1">
      <w:lvlJc w:val="left"/>
      <w:lvlText w:val="%2)"/>
      <w:numFmt w:val="decimal"/>
      <w:start w:val="210"/>
    </w:lvl>
  </w:abstractNum>
  <w:abstractNum w:abstractNumId="51">
    <w:nsid w:val="47398C89"/>
    <w:multiLevelType w:val="hybridMultilevel"/>
    <w:lvl w:ilvl="0">
      <w:lvlJc w:val="left"/>
      <w:lvlText w:val="%1"/>
      <w:numFmt w:val="decimal"/>
      <w:start w:val="104"/>
    </w:lvl>
    <w:lvl w:ilvl="1">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lvl w:ilvl="1">
      <w:lvlJc w:val="left"/>
      <w:lvlText w:val="(%2)"/>
      <w:numFmt w:val="lowerLetter"/>
      <w:start w:val="1"/>
    </w:lvl>
  </w:abstractNum>
  <w:abstractNum w:abstractNumId="54">
    <w:nsid w:val="741226BB"/>
    <w:multiLevelType w:val="hybridMultilevel"/>
    <w:lvl w:ilvl="0">
      <w:lvlJc w:val="left"/>
      <w:lvlText w:val="%1."/>
      <w:numFmt w:val="decimal"/>
      <w:start w:val="1"/>
    </w:lvl>
    <w:lvl w:ilvl="1">
      <w:lvlJc w:val="left"/>
      <w:lvlText w:val="(%2)"/>
      <w:numFmt w:val="lowerLetter"/>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2"/>
    </w:lvl>
  </w:abstractNum>
  <w:abstractNum w:abstractNumId="62">
    <w:nsid w:val="310C50B3"/>
    <w:multiLevelType w:val="hybridMultilevel"/>
    <w:lvl w:ilvl="0">
      <w:lvlJc w:val="left"/>
      <w:lvlText w:val="%1."/>
      <w:numFmt w:val="decimal"/>
      <w:start w:val="2"/>
    </w:lvl>
  </w:abstractNum>
  <w:abstractNum w:abstractNumId="63">
    <w:nsid w:val="5FF87E05"/>
    <w:multiLevelType w:val="hybridMultilevel"/>
    <w:lvl w:ilvl="0">
      <w:lvlJc w:val="left"/>
      <w:lvlText w:val="%1."/>
      <w:numFmt w:val="decimal"/>
      <w:start w:val="2"/>
    </w:lvl>
  </w:abstractNum>
  <w:abstractNum w:abstractNumId="64">
    <w:nsid w:val="2F305DE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34" Type="http://schemas.openxmlformats.org/officeDocument/2006/relationships/image" Target="media/image101.png"/><Relationship Id="rId148" Type="http://schemas.openxmlformats.org/officeDocument/2006/relationships/image" Target="media/image102.png"/><Relationship Id="rId162"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9" Type="http://schemas.openxmlformats.org/officeDocument/2006/relationships/image" Target="media/image106.png"/><Relationship Id="rId180" Type="http://schemas.openxmlformats.org/officeDocument/2006/relationships/image" Target="media/image107.png"/><Relationship Id="rId181" Type="http://schemas.openxmlformats.org/officeDocument/2006/relationships/image" Target="media/image108.png"/><Relationship Id="rId182" Type="http://schemas.openxmlformats.org/officeDocument/2006/relationships/image" Target="media/image109.png"/><Relationship Id="rId183" Type="http://schemas.openxmlformats.org/officeDocument/2006/relationships/image" Target="media/image110.png"/><Relationship Id="rId184" Type="http://schemas.openxmlformats.org/officeDocument/2006/relationships/image" Target="media/image111.png"/><Relationship Id="rId185" Type="http://schemas.openxmlformats.org/officeDocument/2006/relationships/image" Target="media/image112.png"/><Relationship Id="rId186" Type="http://schemas.openxmlformats.org/officeDocument/2006/relationships/image" Target="media/image113.png"/><Relationship Id="rId187" Type="http://schemas.openxmlformats.org/officeDocument/2006/relationships/image" Target="media/image114.png"/><Relationship Id="rId188" Type="http://schemas.openxmlformats.org/officeDocument/2006/relationships/image" Target="media/image115.png"/><Relationship Id="rId107" Type="http://schemas.openxmlformats.org/officeDocument/2006/relationships/hyperlink" Target="http://www.sec.gov/Archives/edgar/data/1342423/000114420410007241/v173157_ex3-2.htm" TargetMode="External"/><Relationship Id="rId108" Type="http://schemas.openxmlformats.org/officeDocument/2006/relationships/hyperlink" Target="http://www.sec.gov/Archives/edgar/data/1342423/000114420410007241/v173157_ex3-3.htm" TargetMode="External"/><Relationship Id="rId109" Type="http://schemas.openxmlformats.org/officeDocument/2006/relationships/hyperlink" Target="http://www.sec.gov/Archives/edgar/data/1342423/000114420410007241/v173157_ex3-6.htm" TargetMode="External"/><Relationship Id="rId110" Type="http://schemas.openxmlformats.org/officeDocument/2006/relationships/hyperlink" Target="http://www.sec.gov/Archives/edgar/data/1342423/000114420410007241/v173157_ex3-1.htm" TargetMode="External"/><Relationship Id="rId111" Type="http://schemas.openxmlformats.org/officeDocument/2006/relationships/hyperlink" Target="http://www.sec.gov/Archives/edgar/data/1342423/000114420410007241/v173157_ex3-7.htm" TargetMode="External"/><Relationship Id="rId112" Type="http://schemas.openxmlformats.org/officeDocument/2006/relationships/hyperlink" Target="http://www.sec.gov/Archives/edgar/data/1342423/000114420410017415/v178900_ex3-9.htm" TargetMode="External"/><Relationship Id="rId113" Type="http://schemas.openxmlformats.org/officeDocument/2006/relationships/hyperlink" Target="http://www.sec.gov/Archives/edgar/data/1342423/000114420417018212/v463210_ex3-1.htm" TargetMode="External"/><Relationship Id="rId114" Type="http://schemas.openxmlformats.org/officeDocument/2006/relationships/hyperlink" Target="http://www.sec.gov/Archives/edgar/data/1342423/000110465921130485/tm2131208d1_ex3-1.htm" TargetMode="External"/><Relationship Id="rId115" Type="http://schemas.openxmlformats.org/officeDocument/2006/relationships/hyperlink" Target="http://www.sec.gov/Archives/edgar/data/1342423/000114420410007241/v173157_ex4-1.htm" TargetMode="External"/><Relationship Id="rId116" Type="http://schemas.openxmlformats.org/officeDocument/2006/relationships/hyperlink" Target="http://www.sec.gov/Archives/edgar/data/1342423/000114420410007241/v173157_ex4-2.htm" TargetMode="External"/><Relationship Id="rId117" Type="http://schemas.openxmlformats.org/officeDocument/2006/relationships/hyperlink" Target="http://www.sec.gov/Archives/edgar/data/1342423/000114420410007241/v173157_ex3-8.htm" TargetMode="External"/><Relationship Id="rId118" Type="http://schemas.openxmlformats.org/officeDocument/2006/relationships/hyperlink" Target="http://www.sec.gov/Archives/edgar/data/1342423/000114420410007241/v173157_ex3-4.htm" TargetMode="External"/><Relationship Id="rId119" Type="http://schemas.openxmlformats.org/officeDocument/2006/relationships/hyperlink" Target="http://www.sec.gov/Archives/edgar/data/1342423/000114420410007241/v173157_ex3-5.htm" TargetMode="External"/><Relationship Id="rId121" Type="http://schemas.openxmlformats.org/officeDocument/2006/relationships/hyperlink" Target="http://www.sec.gov/Archives/edgar/data/1342423/000114420414017379/v372494_ex3-1.htm" TargetMode="External"/><Relationship Id="rId122" Type="http://schemas.openxmlformats.org/officeDocument/2006/relationships/hyperlink" Target="http://www.sec.gov/Archives/edgar/data/1342423/000114420410046536/v195082_ex10-1.htm" TargetMode="External"/><Relationship Id="rId123" Type="http://schemas.openxmlformats.org/officeDocument/2006/relationships/hyperlink" Target="http://www.sec.gov/Archives/edgar/data/1342423/000114420410046536/v195082_ex10-2.htm" TargetMode="External"/><Relationship Id="rId124" Type="http://schemas.openxmlformats.org/officeDocument/2006/relationships/hyperlink" Target="http://www.sec.gov/Archives/edgar/data/1342423/000114420410007241/v173157_ex10-2.htm" TargetMode="External"/><Relationship Id="rId125" Type="http://schemas.openxmlformats.org/officeDocument/2006/relationships/hyperlink" Target="http://www.sec.gov/Archives/edgar/data/1342423/000114420410007241/v173157_ex10-3.htm" TargetMode="External"/><Relationship Id="rId126" Type="http://schemas.openxmlformats.org/officeDocument/2006/relationships/hyperlink" Target="http://www.sec.gov/Archives/edgar/data/1342423/000114420410007241/v173157_ex10-4.htm" TargetMode="External"/><Relationship Id="rId127" Type="http://schemas.openxmlformats.org/officeDocument/2006/relationships/hyperlink" Target="http://www.sec.gov/Archives/edgar/data/1342423/000114420410007241/v173157_ex10-5.htm" TargetMode="External"/><Relationship Id="rId128" Type="http://schemas.openxmlformats.org/officeDocument/2006/relationships/hyperlink" Target="http://www.sec.gov/Archives/edgar/data/1342423/000114420410007241/v173157_ex10-6.htm" TargetMode="External"/><Relationship Id="rId129" Type="http://schemas.openxmlformats.org/officeDocument/2006/relationships/hyperlink" Target="http://www.sec.gov/Archives/edgar/data/1342423/000114420410017415/v178900_ex10-9.htm" TargetMode="External"/><Relationship Id="rId130" Type="http://schemas.openxmlformats.org/officeDocument/2006/relationships/hyperlink" Target="http://www.sec.gov/Archives/edgar/data/1342423/000114420410007241/v173157_ex10-10.htm" TargetMode="External"/><Relationship Id="rId131" Type="http://schemas.openxmlformats.org/officeDocument/2006/relationships/hyperlink" Target="http://www.sec.gov/Archives/edgar/data/1342423/000114420410007241/v173157_ex10-12.htm" TargetMode="External"/><Relationship Id="rId132" Type="http://schemas.openxmlformats.org/officeDocument/2006/relationships/hyperlink" Target="http://www.sec.gov/Archives/edgar/data/1342423/000114420412025512/v311570_ex10-2.htm" TargetMode="External"/><Relationship Id="rId133" Type="http://schemas.openxmlformats.org/officeDocument/2006/relationships/hyperlink" Target="http://www.sec.gov/Archives/edgar/data/1342423/000114420412025512/v311570_ex10-1.htm" TargetMode="External"/><Relationship Id="rId135" Type="http://schemas.openxmlformats.org/officeDocument/2006/relationships/hyperlink" Target="http://www.sec.gov/Archives/edgar/data/1342423/000114420417018212/v463210_ex10-1.htm" TargetMode="External"/><Relationship Id="rId136" Type="http://schemas.openxmlformats.org/officeDocument/2006/relationships/hyperlink" Target="http://www.sec.gov/Archives/edgar/data/1342423/000114420411004189/v209038_ex10-16.htm" TargetMode="External"/><Relationship Id="rId137" Type="http://schemas.openxmlformats.org/officeDocument/2006/relationships/hyperlink" Target="http://www.sec.gov/Archives/edgar/data/1342423/000114420410007241/v173157_ex10-15.htm" TargetMode="External"/><Relationship Id="rId138" Type="http://schemas.openxmlformats.org/officeDocument/2006/relationships/hyperlink" Target="http://www.sec.gov/Archives/edgar/data/1342423/000114420410017415/v178900_ex10-20.htm" TargetMode="External"/><Relationship Id="rId139" Type="http://schemas.openxmlformats.org/officeDocument/2006/relationships/hyperlink" Target="http://www.sec.gov/Archives/edgar/data/1342423/000114420410017415/v178900_ex10-24.htm" TargetMode="External"/><Relationship Id="rId140" Type="http://schemas.openxmlformats.org/officeDocument/2006/relationships/hyperlink" Target="http://www.sec.gov/Archives/edgar/data/1342423/000114420413034094/v345646_ex10-1.htm" TargetMode="External"/><Relationship Id="rId141" Type="http://schemas.openxmlformats.org/officeDocument/2006/relationships/hyperlink" Target="http://www.sec.gov/Archives/edgar/data/1342423/000114420413021619/v341341_ex10-1.htm" TargetMode="External"/><Relationship Id="rId142" Type="http://schemas.openxmlformats.org/officeDocument/2006/relationships/hyperlink" Target="http://www.sec.gov/Archives/edgar/data/1342423/000114420413037714/v349189_ex10-1.htm" TargetMode="External"/><Relationship Id="rId143" Type="http://schemas.openxmlformats.org/officeDocument/2006/relationships/hyperlink" Target="http://www.sec.gov/Archives/edgar/data/1342423/000114420415014822/v402486_ex10-1.htm" TargetMode="External"/><Relationship Id="rId144" Type="http://schemas.openxmlformats.org/officeDocument/2006/relationships/hyperlink" Target="http://www.sec.gov/Archives/edgar/data/1342423/000114420413050340/v354907_ex10-1.htm" TargetMode="External"/><Relationship Id="rId145" Type="http://schemas.openxmlformats.org/officeDocument/2006/relationships/hyperlink" Target="http://www.sec.gov/Archives/edgar/data/1342423/000114420413055079/v357305_10-1.htm" TargetMode="External"/><Relationship Id="rId146" Type="http://schemas.openxmlformats.org/officeDocument/2006/relationships/hyperlink" Target="http://www.sec.gov/Archives/edgar/data/1342423/000114420413065567/v362135_ex10-1.htm" TargetMode="External"/><Relationship Id="rId147" Type="http://schemas.openxmlformats.org/officeDocument/2006/relationships/hyperlink" Target="http://www.sec.gov/Archives/edgar/data/1342423/000114420413065567/v362135_ex10-2.htm" TargetMode="External"/><Relationship Id="rId149" Type="http://schemas.openxmlformats.org/officeDocument/2006/relationships/hyperlink" Target="http://www.sec.gov/Archives/edgar/data/1342423/000114420413065567/v362135_ex10-3.htm" TargetMode="External"/><Relationship Id="rId150" Type="http://schemas.openxmlformats.org/officeDocument/2006/relationships/hyperlink" Target="http://www.sec.gov/Archives/edgar/data/1342423/000114420413065567/v362135_ex10-4.htm" TargetMode="External"/><Relationship Id="rId151" Type="http://schemas.openxmlformats.org/officeDocument/2006/relationships/hyperlink" Target="http://www.sec.gov/Archives/edgar/data/1342423/000114420414017379/v372494_ex10-1.htm" TargetMode="External"/><Relationship Id="rId152" Type="http://schemas.openxmlformats.org/officeDocument/2006/relationships/hyperlink" Target="http://www.sec.gov/Archives/edgar/data/1342423/000114420415054410/v420019_ex10-1.htm" TargetMode="External"/><Relationship Id="rId153" Type="http://schemas.openxmlformats.org/officeDocument/2006/relationships/hyperlink" Target="http://www.sec.gov/Archives/edgar/data/1342423/000114420415065962/v424649_ex10-1.htm" TargetMode="External"/><Relationship Id="rId154" Type="http://schemas.openxmlformats.org/officeDocument/2006/relationships/hyperlink" Target="http://www.sec.gov/Archives/edgar/data/1342423/000114420415072332/v427639_ex10-1.htm" TargetMode="External"/><Relationship Id="rId155" Type="http://schemas.openxmlformats.org/officeDocument/2006/relationships/hyperlink" Target="http://www.sec.gov/Archives/edgar/data/1342423/000114420416087197/v433073_ex10-1.htm" TargetMode="External"/><Relationship Id="rId156" Type="http://schemas.openxmlformats.org/officeDocument/2006/relationships/hyperlink" Target="http://www.sec.gov/Archives/edgar/data/1342423/000114420416087197/v433073_ex10-2.htm" TargetMode="External"/><Relationship Id="rId157" Type="http://schemas.openxmlformats.org/officeDocument/2006/relationships/hyperlink" Target="http://www.sec.gov/Archives/edgar/data/1342423/000114420416083273/v432223_ex10-1.htm" TargetMode="External"/><Relationship Id="rId158" Type="http://schemas.openxmlformats.org/officeDocument/2006/relationships/hyperlink" Target="http://www.sec.gov/Archives/edgar/data/1342423/000114420415065962/v424649_ex10-2.htm" TargetMode="External"/><Relationship Id="rId159" Type="http://schemas.openxmlformats.org/officeDocument/2006/relationships/hyperlink" Target="http://www.sec.gov/Archives/edgar/data/1342423/000114420415065962/v424649_ex10-3.htm" TargetMode="External"/><Relationship Id="rId160" Type="http://schemas.openxmlformats.org/officeDocument/2006/relationships/hyperlink" Target="http://www.sec.gov/Archives/edgar/data/1342423/000114420416087197/v433073_ex10-8.htm" TargetMode="External"/><Relationship Id="rId161" Type="http://schemas.openxmlformats.org/officeDocument/2006/relationships/hyperlink" Target="http://www.sec.gov/Archives/edgar/data/1342423/000114420417033455/v469385_ex10-1.htm" TargetMode="External"/><Relationship Id="rId163" Type="http://schemas.openxmlformats.org/officeDocument/2006/relationships/hyperlink" Target="http://www.sec.gov/Archives/edgar/data/1342423/000114420417033455/v469385_ex10-2.htm" TargetMode="External"/><Relationship Id="rId164" Type="http://schemas.openxmlformats.org/officeDocument/2006/relationships/hyperlink" Target="http://www.sec.gov/Archives/edgar/data/1342423/000114420417033455/v469385_ex10-3.htm" TargetMode="External"/><Relationship Id="rId165" Type="http://schemas.openxmlformats.org/officeDocument/2006/relationships/hyperlink" Target="http://www.sec.gov/Archives/edgar/data/1342423/000114420418004312/tv484108_ex10-1.htm" TargetMode="External"/><Relationship Id="rId166" Type="http://schemas.openxmlformats.org/officeDocument/2006/relationships/hyperlink" Target="http://www.sec.gov/Archives/edgar/data/1342423/000114420418005148/tv484600_ex10-1.htm" TargetMode="External"/><Relationship Id="rId167" Type="http://schemas.openxmlformats.org/officeDocument/2006/relationships/hyperlink" Target="http://www.sec.gov/Archives/edgar/data/1342423/000114420418012594/tv487635_ex10-1.htm" TargetMode="External"/><Relationship Id="rId168" Type="http://schemas.openxmlformats.org/officeDocument/2006/relationships/hyperlink" Target="http://www.sec.gov/Archives/edgar/data/1342423/000114420418012594/tv487635_ex10-2.htm" TargetMode="External"/><Relationship Id="rId169" Type="http://schemas.openxmlformats.org/officeDocument/2006/relationships/hyperlink" Target="http://www.sec.gov/Archives/edgar/data/1342423/000114420418012594/tv487635_ex10-3.htm" TargetMode="External"/><Relationship Id="rId170" Type="http://schemas.openxmlformats.org/officeDocument/2006/relationships/hyperlink" Target="http://www.sec.gov/Archives/edgar/data/1342423/000114420418020153/tv490887_ex10-1.htm" TargetMode="External"/><Relationship Id="rId171" Type="http://schemas.openxmlformats.org/officeDocument/2006/relationships/hyperlink" Target="http://www.sec.gov/Archives/edgar/data/1342423/000114420418040123/tv499289_ex10-1.htm" TargetMode="External"/><Relationship Id="rId172" Type="http://schemas.openxmlformats.org/officeDocument/2006/relationships/hyperlink" Target="http://www.sec.gov/Archives/edgar/data/1342423/000110465921082346/tm2119967d1_ex10-1.htm" TargetMode="External"/><Relationship Id="rId173" Type="http://schemas.openxmlformats.org/officeDocument/2006/relationships/hyperlink" Target="http://www.sec.gov/Archives/edgar/data/1342423/000110465921082346/tm2119967d1_ex10-2.htm" TargetMode="External"/><Relationship Id="rId174" Type="http://schemas.openxmlformats.org/officeDocument/2006/relationships/hyperlink" Target="http://www.sec.gov/Archives/edgar/data/1342423/000110465921082346/tm2119967d1_ex10-3.htm" TargetMode="External"/><Relationship Id="rId175" Type="http://schemas.openxmlformats.org/officeDocument/2006/relationships/hyperlink" Target="http://www.sec.gov/Archives/edgar/data/1342423/000110465921082346/tm2119967d1_ex10-4.htm" TargetMode="External"/><Relationship Id="rId178" Type="http://schemas.openxmlformats.org/officeDocument/2006/relationships/hyperlink" Target="http://www.sec.gov/Archives/edgar/data/1342423/000114420419014012/0001144204-19-01401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2022-01-10T15:17:02Z</dcterms:created>
  <dcterms:modified xsi:type="dcterms:W3CDTF">2022-01-10T15:17:02Z</dcterms:modified>
</cp:coreProperties>
</file>