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776605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801370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190" w:lineRule="exact"/>
        <w:rPr>
          <w:sz w:val="24"/>
          <w:szCs w:val="24"/>
          <w:color w:val="auto"/>
        </w:rPr>
      </w:pPr>
    </w:p>
    <w:p>
      <w:pPr>
        <w:ind w:left="3740" w:right="3360" w:hanging="3653"/>
        <w:spacing w:after="0" w:line="358" w:lineRule="auto"/>
        <w:tabs>
          <w:tab w:leader="none" w:pos="33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OCTOBER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76" w:lineRule="exact"/>
        <w:rPr>
          <w:sz w:val="24"/>
          <w:szCs w:val="24"/>
          <w:color w:val="auto"/>
        </w:rPr>
      </w:pPr>
    </w:p>
    <w:p>
      <w:pPr>
        <w:ind w:left="320" w:hanging="233"/>
        <w:spacing w:after="0"/>
        <w:tabs>
          <w:tab w:leader="none" w:pos="32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001-34755</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LIMONEIRA COMPANY</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40" w:type="dxa"/>
            <w:vAlign w:val="bottom"/>
          </w:tcPr>
          <w:p>
            <w:pPr>
              <w:jc w:val="center"/>
              <w:ind w:left="621"/>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400" w:type="dxa"/>
            <w:vAlign w:val="bottom"/>
          </w:tcPr>
          <w:p>
            <w:pPr>
              <w:spacing w:after="0"/>
              <w:rPr>
                <w:sz w:val="19"/>
                <w:szCs w:val="19"/>
                <w:color w:val="auto"/>
              </w:rPr>
            </w:pPr>
          </w:p>
        </w:tc>
        <w:tc>
          <w:tcPr>
            <w:tcW w:w="3260" w:type="dxa"/>
            <w:vAlign w:val="bottom"/>
            <w:gridSpan w:val="3"/>
          </w:tcPr>
          <w:p>
            <w:pPr>
              <w:jc w:val="center"/>
              <w:ind w:left="1038"/>
              <w:spacing w:after="0"/>
              <w:rPr>
                <w:sz w:val="20"/>
                <w:szCs w:val="20"/>
                <w:color w:val="auto"/>
              </w:rPr>
            </w:pPr>
            <w:r>
              <w:rPr>
                <w:rFonts w:ascii="Times New Roman" w:cs="Times New Roman" w:eastAsia="Times New Roman" w:hAnsi="Times New Roman"/>
                <w:sz w:val="17"/>
                <w:szCs w:val="17"/>
                <w:b w:val="1"/>
                <w:bCs w:val="1"/>
                <w:color w:val="auto"/>
                <w:w w:val="99"/>
              </w:rPr>
              <w:t>77-0260692</w:t>
            </w:r>
          </w:p>
        </w:tc>
        <w:tc>
          <w:tcPr>
            <w:tcW w:w="1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40" w:type="dxa"/>
            <w:vAlign w:val="bottom"/>
          </w:tcPr>
          <w:p>
            <w:pPr>
              <w:jc w:val="center"/>
              <w:ind w:left="621"/>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400" w:type="dxa"/>
            <w:vAlign w:val="bottom"/>
          </w:tcPr>
          <w:p>
            <w:pPr>
              <w:spacing w:after="0"/>
              <w:rPr>
                <w:sz w:val="19"/>
                <w:szCs w:val="19"/>
                <w:color w:val="auto"/>
              </w:rPr>
            </w:pPr>
          </w:p>
        </w:tc>
        <w:tc>
          <w:tcPr>
            <w:tcW w:w="4980" w:type="dxa"/>
            <w:vAlign w:val="bottom"/>
            <w:gridSpan w:val="4"/>
          </w:tcPr>
          <w:p>
            <w:pPr>
              <w:jc w:val="center"/>
              <w:ind w:right="52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318"/>
        </w:trPr>
        <w:tc>
          <w:tcPr>
            <w:tcW w:w="20" w:type="dxa"/>
            <w:vAlign w:val="bottom"/>
          </w:tcPr>
          <w:p>
            <w:pPr>
              <w:spacing w:after="0"/>
              <w:rPr>
                <w:sz w:val="24"/>
                <w:szCs w:val="24"/>
                <w:color w:val="auto"/>
              </w:rPr>
            </w:pPr>
          </w:p>
        </w:tc>
        <w:tc>
          <w:tcPr>
            <w:tcW w:w="4840" w:type="dxa"/>
            <w:vAlign w:val="bottom"/>
          </w:tcPr>
          <w:p>
            <w:pPr>
              <w:jc w:val="center"/>
              <w:ind w:left="601"/>
              <w:spacing w:after="0"/>
              <w:rPr>
                <w:sz w:val="20"/>
                <w:szCs w:val="20"/>
                <w:color w:val="auto"/>
              </w:rPr>
            </w:pPr>
            <w:r>
              <w:rPr>
                <w:rFonts w:ascii="Times New Roman" w:cs="Times New Roman" w:eastAsia="Times New Roman" w:hAnsi="Times New Roman"/>
                <w:sz w:val="15"/>
                <w:szCs w:val="15"/>
                <w:b w:val="1"/>
                <w:bCs w:val="1"/>
                <w:color w:val="auto"/>
              </w:rPr>
              <w:t>1141 Cummings Road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5"/>
                <w:szCs w:val="15"/>
                <w:b w:val="1"/>
                <w:bCs w:val="1"/>
                <w:color w:val="auto"/>
              </w:rPr>
              <w:t xml:space="preserve"> Santa Paula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5"/>
                <w:szCs w:val="15"/>
                <w:b w:val="1"/>
                <w:bCs w:val="1"/>
                <w:color w:val="auto"/>
              </w:rPr>
              <w:t xml:space="preserve"> CA</w:t>
            </w:r>
          </w:p>
        </w:tc>
        <w:tc>
          <w:tcPr>
            <w:tcW w:w="1400" w:type="dxa"/>
            <w:vAlign w:val="bottom"/>
          </w:tcPr>
          <w:p>
            <w:pPr>
              <w:spacing w:after="0"/>
              <w:rPr>
                <w:sz w:val="24"/>
                <w:szCs w:val="24"/>
                <w:color w:val="auto"/>
              </w:rPr>
            </w:pPr>
          </w:p>
        </w:tc>
        <w:tc>
          <w:tcPr>
            <w:tcW w:w="2580" w:type="dxa"/>
            <w:vAlign w:val="bottom"/>
            <w:gridSpan w:val="2"/>
          </w:tcPr>
          <w:p>
            <w:pPr>
              <w:jc w:val="center"/>
              <w:ind w:left="1698"/>
              <w:spacing w:after="0"/>
              <w:rPr>
                <w:sz w:val="20"/>
                <w:szCs w:val="20"/>
                <w:color w:val="auto"/>
              </w:rPr>
            </w:pPr>
            <w:r>
              <w:rPr>
                <w:rFonts w:ascii="Times New Roman" w:cs="Times New Roman" w:eastAsia="Times New Roman" w:hAnsi="Times New Roman"/>
                <w:sz w:val="17"/>
                <w:szCs w:val="17"/>
                <w:b w:val="1"/>
                <w:bCs w:val="1"/>
                <w:color w:val="auto"/>
              </w:rPr>
              <w:t>93060</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840" w:type="dxa"/>
            <w:vAlign w:val="bottom"/>
          </w:tcPr>
          <w:p>
            <w:pPr>
              <w:jc w:val="center"/>
              <w:ind w:left="601"/>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400" w:type="dxa"/>
            <w:vAlign w:val="bottom"/>
          </w:tcPr>
          <w:p>
            <w:pPr>
              <w:spacing w:after="0"/>
              <w:rPr>
                <w:sz w:val="19"/>
                <w:szCs w:val="19"/>
                <w:color w:val="auto"/>
              </w:rPr>
            </w:pPr>
          </w:p>
        </w:tc>
        <w:tc>
          <w:tcPr>
            <w:tcW w:w="2580" w:type="dxa"/>
            <w:vAlign w:val="bottom"/>
            <w:gridSpan w:val="2"/>
          </w:tcPr>
          <w:p>
            <w:pPr>
              <w:jc w:val="center"/>
              <w:ind w:left="1698"/>
              <w:spacing w:after="0"/>
              <w:rPr>
                <w:sz w:val="20"/>
                <w:szCs w:val="20"/>
                <w:color w:val="auto"/>
              </w:rPr>
            </w:pPr>
            <w:r>
              <w:rPr>
                <w:rFonts w:ascii="Times New Roman" w:cs="Times New Roman" w:eastAsia="Times New Roman" w:hAnsi="Times New Roman"/>
                <w:sz w:val="17"/>
                <w:szCs w:val="17"/>
                <w:color w:val="auto"/>
              </w:rPr>
              <w:t>(Zip code)</w:t>
            </w: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510"/>
        </w:trPr>
        <w:tc>
          <w:tcPr>
            <w:tcW w:w="20" w:type="dxa"/>
            <w:vAlign w:val="bottom"/>
          </w:tcPr>
          <w:p>
            <w:pPr>
              <w:spacing w:after="0"/>
              <w:rPr>
                <w:sz w:val="24"/>
                <w:szCs w:val="24"/>
                <w:color w:val="auto"/>
              </w:rPr>
            </w:pPr>
          </w:p>
        </w:tc>
        <w:tc>
          <w:tcPr>
            <w:tcW w:w="8280" w:type="dxa"/>
            <w:vAlign w:val="bottom"/>
            <w:gridSpan w:val="3"/>
          </w:tcPr>
          <w:p>
            <w:pPr>
              <w:jc w:val="center"/>
              <w:ind w:left="2841"/>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(805) 525-5541</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8280" w:type="dxa"/>
            <w:vAlign w:val="bottom"/>
            <w:gridSpan w:val="3"/>
          </w:tcPr>
          <w:p>
            <w:pPr>
              <w:jc w:val="center"/>
              <w:ind w:left="2861"/>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40" w:type="dxa"/>
            <w:vAlign w:val="bottom"/>
            <w:gridSpan w:val="3"/>
          </w:tcPr>
          <w:p>
            <w:pPr>
              <w:jc w:val="center"/>
              <w:ind w:right="1143"/>
              <w:spacing w:after="0"/>
              <w:rPr>
                <w:sz w:val="20"/>
                <w:szCs w:val="20"/>
                <w:color w:val="auto"/>
              </w:rPr>
            </w:pPr>
            <w:r>
              <w:rPr>
                <w:rFonts w:ascii="Times New Roman" w:cs="Times New Roman" w:eastAsia="Times New Roman" w:hAnsi="Times New Roman"/>
                <w:sz w:val="15"/>
                <w:szCs w:val="15"/>
                <w:b w:val="1"/>
                <w:bCs w:val="1"/>
                <w:color w:val="auto"/>
              </w:rPr>
              <w:t>Name of Each Exchange</w:t>
            </w:r>
          </w:p>
        </w:tc>
      </w:tr>
      <w:tr>
        <w:trPr>
          <w:trHeight w:val="209"/>
        </w:trPr>
        <w:tc>
          <w:tcPr>
            <w:tcW w:w="20" w:type="dxa"/>
            <w:vAlign w:val="bottom"/>
          </w:tcPr>
          <w:p>
            <w:pPr>
              <w:spacing w:after="0"/>
              <w:rPr>
                <w:sz w:val="18"/>
                <w:szCs w:val="18"/>
                <w:color w:val="auto"/>
              </w:rPr>
            </w:pPr>
          </w:p>
        </w:tc>
        <w:tc>
          <w:tcPr>
            <w:tcW w:w="48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40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0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center"/>
              <w:ind w:right="1163"/>
              <w:spacing w:after="0"/>
              <w:rPr>
                <w:sz w:val="20"/>
                <w:szCs w:val="20"/>
                <w:color w:val="auto"/>
              </w:rPr>
            </w:pPr>
            <w:r>
              <w:rPr>
                <w:rFonts w:ascii="Times New Roman" w:cs="Times New Roman" w:eastAsia="Times New Roman" w:hAnsi="Times New Roman"/>
                <w:sz w:val="15"/>
                <w:szCs w:val="15"/>
                <w:b w:val="1"/>
                <w:bCs w:val="1"/>
                <w:color w:val="auto"/>
              </w:rPr>
              <w:t>On Which Registered</w:t>
            </w:r>
          </w:p>
        </w:tc>
      </w:tr>
      <w:tr>
        <w:trPr>
          <w:trHeight w:val="403"/>
        </w:trPr>
        <w:tc>
          <w:tcPr>
            <w:tcW w:w="20" w:type="dxa"/>
            <w:vAlign w:val="bottom"/>
          </w:tcPr>
          <w:p>
            <w:pPr>
              <w:spacing w:after="0"/>
              <w:rPr>
                <w:sz w:val="24"/>
                <w:szCs w:val="24"/>
                <w:color w:val="auto"/>
              </w:rPr>
            </w:pPr>
          </w:p>
        </w:tc>
        <w:tc>
          <w:tcPr>
            <w:tcW w:w="4840" w:type="dxa"/>
            <w:vAlign w:val="bottom"/>
          </w:tcPr>
          <w:p>
            <w:pPr>
              <w:ind w:left="70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40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LMNR</w:t>
            </w:r>
          </w:p>
        </w:tc>
        <w:tc>
          <w:tcPr>
            <w:tcW w:w="4980" w:type="dxa"/>
            <w:vAlign w:val="bottom"/>
            <w:gridSpan w:val="4"/>
          </w:tcPr>
          <w:p>
            <w:pPr>
              <w:jc w:val="center"/>
              <w:ind w:left="738"/>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r>
        <w:trPr>
          <w:trHeight w:val="20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980" w:type="dxa"/>
            <w:vAlign w:val="bottom"/>
            <w:gridSpan w:val="4"/>
          </w:tcPr>
          <w:p>
            <w:pPr>
              <w:jc w:val="center"/>
              <w:ind w:left="738"/>
              <w:spacing w:after="0"/>
              <w:rPr>
                <w:sz w:val="20"/>
                <w:szCs w:val="20"/>
                <w:color w:val="auto"/>
              </w:rPr>
            </w:pPr>
            <w:r>
              <w:rPr>
                <w:rFonts w:ascii="Times New Roman" w:cs="Times New Roman" w:eastAsia="Times New Roman" w:hAnsi="Times New Roman"/>
                <w:sz w:val="15"/>
                <w:szCs w:val="15"/>
                <w:b w:val="1"/>
                <w:bCs w:val="1"/>
                <w:color w:val="auto"/>
              </w:rPr>
              <w:t>(NASDAQ Global Select Market)</w:t>
            </w:r>
          </w:p>
        </w:tc>
      </w:tr>
      <w:tr>
        <w:trPr>
          <w:trHeight w:val="516"/>
        </w:trPr>
        <w:tc>
          <w:tcPr>
            <w:tcW w:w="20" w:type="dxa"/>
            <w:vAlign w:val="bottom"/>
          </w:tcPr>
          <w:p>
            <w:pPr>
              <w:spacing w:after="0"/>
              <w:rPr>
                <w:sz w:val="24"/>
                <w:szCs w:val="24"/>
                <w:color w:val="auto"/>
              </w:rPr>
            </w:pPr>
          </w:p>
        </w:tc>
        <w:tc>
          <w:tcPr>
            <w:tcW w:w="8280" w:type="dxa"/>
            <w:vAlign w:val="bottom"/>
            <w:gridSpan w:val="3"/>
          </w:tcPr>
          <w:p>
            <w:pPr>
              <w:jc w:val="center"/>
              <w:ind w:left="2841"/>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280" w:type="dxa"/>
            <w:vAlign w:val="bottom"/>
            <w:gridSpan w:val="3"/>
          </w:tcPr>
          <w:p>
            <w:pPr>
              <w:ind w:left="60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 Yes</w:t>
            </w:r>
          </w:p>
        </w:tc>
        <w:tc>
          <w:tcPr>
            <w:tcW w:w="540" w:type="dxa"/>
            <w:vAlign w:val="bottom"/>
          </w:tcPr>
          <w:p>
            <w:pPr>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tc>
        <w:tc>
          <w:tcPr>
            <w:tcW w:w="68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8280" w:type="dxa"/>
            <w:vAlign w:val="bottom"/>
            <w:gridSpan w:val="3"/>
          </w:tcPr>
          <w:p>
            <w:pPr>
              <w:ind w:left="60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 Yes</w:t>
            </w:r>
          </w:p>
        </w:tc>
        <w:tc>
          <w:tcPr>
            <w:tcW w:w="540" w:type="dxa"/>
            <w:vAlign w:val="bottom"/>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tc>
        <w:tc>
          <w:tcPr>
            <w:tcW w:w="68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11220" w:type="dxa"/>
            <w:vAlign w:val="bottom"/>
            <w:gridSpan w:val="6"/>
          </w:tcPr>
          <w:p>
            <w:pPr>
              <w:ind w:left="60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w:t>
            </w:r>
          </w:p>
        </w:tc>
      </w:tr>
      <w:tr>
        <w:trPr>
          <w:trHeight w:val="155"/>
        </w:trPr>
        <w:tc>
          <w:tcPr>
            <w:tcW w:w="486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preceding 12 months (or for such shorter period that the registrant was</w:t>
            </w:r>
          </w:p>
        </w:tc>
        <w:tc>
          <w:tcPr>
            <w:tcW w:w="140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required to file such</w:t>
            </w:r>
          </w:p>
        </w:tc>
        <w:tc>
          <w:tcPr>
            <w:tcW w:w="326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5"/>
                <w:szCs w:val="15"/>
                <w:color w:val="auto"/>
              </w:rPr>
              <w:t>reports), and (2) has been subject to such filing</w:t>
            </w:r>
          </w:p>
        </w:tc>
        <w:tc>
          <w:tcPr>
            <w:tcW w:w="172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color w:val="auto"/>
              </w:rPr>
              <w:t>requirements for the past</w:t>
            </w:r>
          </w:p>
        </w:tc>
      </w:tr>
      <w:tr>
        <w:trPr>
          <w:trHeight w:val="244"/>
        </w:trPr>
        <w:tc>
          <w:tcPr>
            <w:tcW w:w="4860" w:type="dxa"/>
            <w:vAlign w:val="bottom"/>
            <w:gridSpan w:val="2"/>
          </w:tcPr>
          <w:p>
            <w:pPr>
              <w:spacing w:after="0" w:line="173" w:lineRule="exact"/>
              <w:rPr>
                <w:sz w:val="20"/>
                <w:szCs w:val="20"/>
                <w:color w:val="auto"/>
              </w:rPr>
            </w:pPr>
            <w:r>
              <w:rPr>
                <w:rFonts w:ascii="Times New Roman" w:cs="Times New Roman" w:eastAsia="Times New Roman" w:hAnsi="Times New Roman"/>
                <w:sz w:val="15"/>
                <w:szCs w:val="15"/>
                <w:color w:val="auto"/>
              </w:rPr>
              <w:t xml:space="preserve">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c>
          <w:tcPr>
            <w:tcW w:w="14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11220" w:type="dxa"/>
            <w:vAlign w:val="bottom"/>
            <w:gridSpan w:val="6"/>
          </w:tcPr>
          <w:p>
            <w:pPr>
              <w:ind w:left="600"/>
              <w:spacing w:after="0"/>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w:t>
            </w:r>
          </w:p>
        </w:tc>
      </w:tr>
      <w:tr>
        <w:trPr>
          <w:trHeight w:val="244"/>
        </w:trPr>
        <w:tc>
          <w:tcPr>
            <w:tcW w:w="88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(§232.405 of this chapter) during the preceding 12 months (or for such shorter period that the registrant was required to submit such files). Yes</w:t>
            </w:r>
          </w:p>
        </w:tc>
        <w:tc>
          <w:tcPr>
            <w:tcW w:w="680" w:type="dxa"/>
            <w:vAlign w:val="bottom"/>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tc>
        <w:tc>
          <w:tcPr>
            <w:tcW w:w="172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r>
    </w:tbl>
    <w:p>
      <w:pPr>
        <w:spacing w:after="0" w:line="14" w:lineRule="exact"/>
        <w:rPr>
          <w:sz w:val="24"/>
          <w:szCs w:val="24"/>
          <w:color w:val="auto"/>
        </w:rPr>
      </w:pPr>
    </w:p>
    <w:p>
      <w:pPr>
        <w:jc w:val="both"/>
        <w:ind w:firstLine="619"/>
        <w:spacing w:after="0" w:line="28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640" w:type="dxa"/>
        <w:tblCellMar>
          <w:top w:w="0" w:type="dxa"/>
          <w:left w:w="0" w:type="dxa"/>
          <w:bottom w:w="0" w:type="dxa"/>
          <w:right w:w="0" w:type="dxa"/>
        </w:tblCellMar>
      </w:tblPr>
      <w:tr>
        <w:trPr>
          <w:trHeight w:val="137"/>
        </w:trPr>
        <w:tc>
          <w:tcPr>
            <w:tcW w:w="212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2300" w:type="dxa"/>
            <w:vAlign w:val="bottom"/>
            <w:vMerge w:val="restart"/>
          </w:tcPr>
          <w:p>
            <w:pPr>
              <w:ind w:left="7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2420" w:type="dxa"/>
            <w:vAlign w:val="bottom"/>
            <w:vMerge w:val="restart"/>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2140" w:type="dxa"/>
            <w:vAlign w:val="bottom"/>
          </w:tcPr>
          <w:p>
            <w:pPr>
              <w:jc w:val="center"/>
              <w:ind w:right="31"/>
              <w:spacing w:after="0" w:line="137" w:lineRule="exact"/>
              <w:rPr>
                <w:sz w:val="20"/>
                <w:szCs w:val="20"/>
                <w:color w:val="auto"/>
              </w:rPr>
            </w:pPr>
            <w:r>
              <w:rPr>
                <w:rFonts w:ascii="Times New Roman" w:cs="Times New Roman" w:eastAsia="Times New Roman" w:hAnsi="Times New Roman"/>
                <w:sz w:val="14"/>
                <w:szCs w:val="14"/>
                <w:color w:val="auto"/>
                <w:w w:val="97"/>
              </w:rPr>
              <w:t>Smaller reporting</w:t>
            </w:r>
          </w:p>
        </w:tc>
        <w:tc>
          <w:tcPr>
            <w:tcW w:w="1600" w:type="dxa"/>
            <w:vAlign w:val="bottom"/>
          </w:tcPr>
          <w:p>
            <w:pPr>
              <w:jc w:val="center"/>
              <w:ind w:left="571"/>
              <w:spacing w:after="0" w:line="137" w:lineRule="exact"/>
              <w:rPr>
                <w:sz w:val="20"/>
                <w:szCs w:val="20"/>
                <w:color w:val="auto"/>
              </w:rPr>
            </w:pPr>
            <w:r>
              <w:rPr>
                <w:rFonts w:ascii="Times New Roman" w:cs="Times New Roman" w:eastAsia="Times New Roman" w:hAnsi="Times New Roman"/>
                <w:sz w:val="14"/>
                <w:szCs w:val="14"/>
                <w:color w:val="auto"/>
                <w:w w:val="97"/>
              </w:rPr>
              <w:t>Emerging growth</w:t>
            </w: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2140" w:type="dxa"/>
            <w:vAlign w:val="bottom"/>
          </w:tcPr>
          <w:p>
            <w:pPr>
              <w:jc w:val="center"/>
              <w:ind w:right="31"/>
              <w:spacing w:after="0" w:line="161" w:lineRule="exact"/>
              <w:rPr>
                <w:sz w:val="20"/>
                <w:szCs w:val="20"/>
                <w:color w:val="auto"/>
              </w:rPr>
            </w:pPr>
            <w:r>
              <w:rPr>
                <w:rFonts w:ascii="Times New Roman" w:cs="Times New Roman" w:eastAsia="Times New Roman" w:hAnsi="Times New Roman"/>
                <w:sz w:val="14"/>
                <w:szCs w:val="14"/>
                <w:color w:val="auto"/>
                <w:w w:val="99"/>
              </w:rPr>
              <w:t xml:space="preserve">company  </w:t>
            </w:r>
            <w:r>
              <w:rPr>
                <w:rFonts w:ascii="MS PGothic" w:cs="MS PGothic" w:eastAsia="MS PGothic" w:hAnsi="MS PGothic"/>
                <w:sz w:val="14"/>
                <w:szCs w:val="14"/>
                <w:color w:val="auto"/>
                <w:w w:val="99"/>
              </w:rPr>
              <w:t>☐</w:t>
            </w:r>
          </w:p>
        </w:tc>
        <w:tc>
          <w:tcPr>
            <w:tcW w:w="1600" w:type="dxa"/>
            <w:vAlign w:val="bottom"/>
          </w:tcPr>
          <w:p>
            <w:pPr>
              <w:jc w:val="center"/>
              <w:ind w:left="571"/>
              <w:spacing w:after="0" w:line="161" w:lineRule="exact"/>
              <w:rPr>
                <w:sz w:val="20"/>
                <w:szCs w:val="20"/>
                <w:color w:val="auto"/>
              </w:rPr>
            </w:pPr>
            <w:r>
              <w:rPr>
                <w:rFonts w:ascii="Times New Roman" w:cs="Times New Roman" w:eastAsia="Times New Roman" w:hAnsi="Times New Roman"/>
                <w:sz w:val="14"/>
                <w:szCs w:val="14"/>
                <w:color w:val="auto"/>
              </w:rPr>
              <w:t xml:space="preserve">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56" w:lineRule="exact"/>
        <w:rPr>
          <w:sz w:val="24"/>
          <w:szCs w:val="24"/>
          <w:color w:val="auto"/>
        </w:rPr>
      </w:pPr>
    </w:p>
    <w:p>
      <w:pPr>
        <w:jc w:val="both"/>
        <w:ind w:firstLine="619"/>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6" w:lineRule="exact"/>
        <w:rPr>
          <w:sz w:val="24"/>
          <w:szCs w:val="24"/>
          <w:color w:val="auto"/>
        </w:rPr>
      </w:pPr>
    </w:p>
    <w:p>
      <w:pPr>
        <w:jc w:val="both"/>
        <w:ind w:firstLine="619"/>
        <w:spacing w:after="0" w:line="21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8" w:lineRule="exact"/>
        <w:rPr>
          <w:sz w:val="24"/>
          <w:szCs w:val="24"/>
          <w:color w:val="auto"/>
        </w:rPr>
      </w:pPr>
    </w:p>
    <w:p>
      <w:pPr>
        <w:ind w:left="6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37" w:lineRule="exact"/>
        <w:rPr>
          <w:sz w:val="24"/>
          <w:szCs w:val="24"/>
          <w:color w:val="auto"/>
        </w:rPr>
      </w:pPr>
    </w:p>
    <w:p>
      <w:pPr>
        <w:jc w:val="both"/>
        <w:ind w:firstLine="619"/>
        <w:spacing w:after="0" w:line="269" w:lineRule="auto"/>
        <w:rPr>
          <w:sz w:val="20"/>
          <w:szCs w:val="20"/>
          <w:color w:val="auto"/>
        </w:rPr>
      </w:pPr>
      <w:r>
        <w:rPr>
          <w:rFonts w:ascii="Times New Roman" w:cs="Times New Roman" w:eastAsia="Times New Roman" w:hAnsi="Times New Roman"/>
          <w:sz w:val="15"/>
          <w:szCs w:val="15"/>
          <w:color w:val="auto"/>
        </w:rPr>
        <w:t>Based on the closing price as reported on the NASDAQ Global Market, the aggregate market value of the Registrant’s Common Stock held by non-affiliates on April 30, 2022 (the last business day of the Registrant’s most recently completed second fiscal quarter) was approximately $199.3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2022 was 17,684,315.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347345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4" w:lineRule="exact"/>
        <w:rPr>
          <w:sz w:val="20"/>
          <w:szCs w:val="20"/>
          <w:color w:val="auto"/>
        </w:rPr>
      </w:pPr>
    </w:p>
    <w:p>
      <w:pPr>
        <w:ind w:firstLine="619"/>
        <w:spacing w:after="0" w:line="307" w:lineRule="auto"/>
        <w:rPr>
          <w:sz w:val="20"/>
          <w:szCs w:val="20"/>
          <w:color w:val="auto"/>
        </w:rPr>
      </w:pPr>
      <w:r>
        <w:rPr>
          <w:rFonts w:ascii="Times New Roman" w:cs="Times New Roman" w:eastAsia="Times New Roman" w:hAnsi="Times New Roman"/>
          <w:sz w:val="15"/>
          <w:szCs w:val="15"/>
          <w:color w:val="auto"/>
        </w:rPr>
        <w:t>Portions of the Registrant’s Proxy Statement for the 2023 Annual Meeting of Stockholders, which we intend to hold on March 21, 2023, are incorporated by reference into Part III of this Annual Report on Form 10-K. The definitive Proxy Statement will be filed within 120 days after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79375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20" w:type="dxa"/>
            <w:vAlign w:val="bottom"/>
            <w:gridSpan w:val="7"/>
          </w:tcPr>
          <w:p>
            <w:pPr>
              <w:ind w:left="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0"/>
        </w:trPr>
        <w:tc>
          <w:tcPr>
            <w:tcW w:w="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w w:val="86"/>
              </w:rPr>
              <w:t>PART I</w:t>
            </w:r>
          </w:p>
        </w:tc>
        <w:tc>
          <w:tcPr>
            <w:tcW w:w="10500" w:type="dxa"/>
            <w:vAlign w:val="bottom"/>
            <w:tcBorders>
              <w:left w:val="single" w:sz="8" w:color="CCEEFF"/>
            </w:tcBorders>
            <w:gridSpan w:val="23"/>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7"/>
                <w:szCs w:val="17"/>
                <w:color w:val="0000FF"/>
                <w:w w:val="70"/>
              </w:rPr>
              <w:t>5</w:t>
            </w: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1. Business</w:t>
            </w:r>
          </w:p>
        </w:tc>
        <w:tc>
          <w:tcPr>
            <w:tcW w:w="200" w:type="dxa"/>
            <w:vAlign w:val="bottom"/>
            <w:gridSpan w:val="3"/>
          </w:tcPr>
          <w:p>
            <w:pPr>
              <w:jc w:val="right"/>
              <w:ind w:right="40"/>
              <w:spacing w:after="0" w:line="181" w:lineRule="exact"/>
              <w:rPr>
                <w:sz w:val="20"/>
                <w:szCs w:val="20"/>
                <w:color w:val="auto"/>
              </w:rPr>
            </w:pPr>
            <w:r>
              <w:rPr>
                <w:rFonts w:ascii="Times New Roman" w:cs="Times New Roman" w:eastAsia="Times New Roman" w:hAnsi="Times New Roman"/>
                <w:sz w:val="17"/>
                <w:szCs w:val="17"/>
                <w:color w:val="0000FF"/>
              </w:rPr>
              <w:t>5</w:t>
            </w: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1A. Risk Factors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16</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1B. Unresolved Staff Comments</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27</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2. Properties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27</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3. Legal Proceedings</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29</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4. Mine Safety Disclosures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29</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620" w:type="dxa"/>
            <w:vAlign w:val="bottom"/>
            <w:tcBorders>
              <w:bottom w:val="single" w:sz="8" w:color="0000FF"/>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FF"/>
                <w:w w:val="98"/>
              </w:rPr>
              <w:t>PART II</w:t>
            </w:r>
          </w:p>
        </w:tc>
        <w:tc>
          <w:tcPr>
            <w:tcW w:w="10380" w:type="dxa"/>
            <w:vAlign w:val="bottom"/>
            <w:gridSpan w:val="22"/>
          </w:tcPr>
          <w:p>
            <w:pPr>
              <w:spacing w:after="0"/>
              <w:rPr>
                <w:sz w:val="16"/>
                <w:szCs w:val="16"/>
                <w:color w:val="auto"/>
              </w:rPr>
            </w:pPr>
          </w:p>
        </w:tc>
        <w:tc>
          <w:tcPr>
            <w:tcW w:w="160" w:type="dxa"/>
            <w:vAlign w:val="bottom"/>
            <w:tcBorders>
              <w:bottom w:val="single" w:sz="8" w:color="0000FF"/>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30</w:t>
            </w:r>
          </w:p>
        </w:tc>
        <w:tc>
          <w:tcPr>
            <w:tcW w:w="40" w:type="dxa"/>
            <w:vAlign w:val="bottom"/>
          </w:tcPr>
          <w:p>
            <w:pPr>
              <w:spacing w:after="0"/>
              <w:rPr>
                <w:sz w:val="16"/>
                <w:szCs w:val="16"/>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30</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6. Reserved</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32</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33</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7A. Quantitative and Qualitative Disclosures about Market Risk</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44</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45</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84</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9A. Controls and Procedures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84</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9B. Other Information</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spacing w:after="0" w:line="181" w:lineRule="exact"/>
              <w:rPr>
                <w:sz w:val="20"/>
                <w:szCs w:val="20"/>
                <w:color w:val="auto"/>
              </w:rPr>
            </w:pPr>
            <w:r>
              <w:rPr>
                <w:rFonts w:ascii="Times New Roman" w:cs="Times New Roman" w:eastAsia="Times New Roman" w:hAnsi="Times New Roman"/>
                <w:sz w:val="17"/>
                <w:szCs w:val="17"/>
                <w:color w:val="0000FF"/>
              </w:rPr>
              <w:t>PART III</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11. Executive Compensation</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86</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spacing w:after="0" w:line="181" w:lineRule="exact"/>
              <w:rPr>
                <w:sz w:val="20"/>
                <w:szCs w:val="20"/>
                <w:color w:val="auto"/>
              </w:rPr>
            </w:pPr>
            <w:r>
              <w:rPr>
                <w:rFonts w:ascii="Times New Roman" w:cs="Times New Roman" w:eastAsia="Times New Roman" w:hAnsi="Times New Roman"/>
                <w:sz w:val="17"/>
                <w:szCs w:val="17"/>
                <w:color w:val="0000FF"/>
              </w:rPr>
              <w:t>Part IV</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87</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87</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1" w:lineRule="exact"/>
              <w:rPr>
                <w:sz w:val="20"/>
                <w:szCs w:val="20"/>
                <w:color w:val="auto"/>
              </w:rPr>
            </w:pPr>
            <w:r>
              <w:rPr>
                <w:rFonts w:ascii="Times New Roman" w:cs="Times New Roman" w:eastAsia="Times New Roman" w:hAnsi="Times New Roman"/>
                <w:sz w:val="17"/>
                <w:szCs w:val="17"/>
                <w:color w:val="0000FF"/>
              </w:rPr>
              <w:t>Item 16. Form 10-K Summary</w:t>
            </w:r>
          </w:p>
        </w:tc>
        <w:tc>
          <w:tcPr>
            <w:tcW w:w="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87</w:t>
            </w:r>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SIGNATURES</w:t>
            </w:r>
          </w:p>
        </w:tc>
        <w:tc>
          <w:tcPr>
            <w:tcW w:w="16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88</w:t>
            </w:r>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4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potential risks and uncertainties that could cause our actual financial condition, results of operations and future performance to differ materially from those expressed or implied in this Annual Report include:</w:t>
      </w:r>
    </w:p>
    <w:p>
      <w:pPr>
        <w:spacing w:after="0" w:line="229" w:lineRule="exact"/>
        <w:rPr>
          <w:sz w:val="20"/>
          <w:szCs w:val="20"/>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related to the COVID-19 pandemic and our Company's responses to the pandemic;</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regulations, rules, quotas, tariffs and import laws;</w:t>
      </w:r>
    </w:p>
    <w:p>
      <w:pPr>
        <w:spacing w:after="0" w:line="62" w:lineRule="exact"/>
        <w:rPr>
          <w:rFonts w:ascii="Times New Roman" w:cs="Times New Roman" w:eastAsia="Times New Roman" w:hAnsi="Times New Roman"/>
          <w:sz w:val="17"/>
          <w:szCs w:val="17"/>
          <w:color w:val="auto"/>
        </w:rPr>
      </w:pPr>
    </w:p>
    <w:p>
      <w:pPr>
        <w:ind w:left="780" w:hanging="467"/>
        <w:spacing w:after="0" w:line="284" w:lineRule="auto"/>
        <w:tabs>
          <w:tab w:leader="none" w:pos="7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conditions, natural disasters and other adverse natural conditions, including freezes, rains, fires and droughts, that affect the production, transportation, storage, import and export of fresh produce;</w:t>
      </w:r>
    </w:p>
    <w:p>
      <w:pPr>
        <w:spacing w:after="0" w:line="1"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responses to industry volume pressures;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pressure from disease, insects and other pests;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of water supplies or changes in water allocations;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in the global supply chain;</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and raw materials supplies and pricing;</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supply and pricing;</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and the impact of inflation;</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 for development activities;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for residential and commercial real estate development;</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changes and economic crises;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conflict;</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terrorism;</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disruptions, strikes, shortages or work stoppages;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foreign exchange rate movements;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maintain compliance with covenants under our loan agreements;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important intellectual property rights;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disclosed in our public filings with the Securities and Exchange Commission (the "SEC").</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or estimates. We urge you to carefully review this Annual Report, particularly the section entitled “Risk Factors,” for a complete discussion of the risks of an investment in our common stock.</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All references to “we,” “us,” “our,” “our Company,” “the Company,” or “Limoneira” in this Annual Report mean Limoneira Company, a Delaware corporation, and its consolidated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Limoneira Company, a Delaware corporation, is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at www.limoneira.com. All of our filings with the SEC, including but not limited to, annual reports on Form 10-K, quarterly reports on Form 10-Q, current reports on Form 8-K, and any amendments thereto, are available free of charge on our website as soon as reasonably practicable after such material is electronically filed with or furnished to the SEC. The contents of our website referred to above are not incorporated into this Annual Report. Further, any references to our website are intended to be interactive textual references only.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Agribusiness activities are performed through these four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164465</wp:posOffset>
            </wp:positionV>
            <wp:extent cx="4911725" cy="818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1725" cy="818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5,600 acres of lemons, 900 acres of avocados, 1,000 acres of oranges and 1,000 acres of specialty citrus and other crops.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than 100 years, we have been making strategic investments in California agriculture and real estate. We currently have an interest in two real estate development projects in California. These projects include multi-family housing, single-family homes and apartments of approximately 900 units in various stages of planning and development.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2022 Highlights and Recent Developments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equal partners in a joint venture with The Lewis Group of Companies (“Lewis”) for the residential development of our East Area I real estate development project and formed Limoneira Lewis Community Builders, LLC ("LLCB") as the development entity. LLCB has closed on lot sales representing 586 units from inception through October 31, 2022. In October 2022, we entered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p>
      <w:pPr>
        <w:jc w:val="both"/>
        <w:spacing w:after="0" w:line="260" w:lineRule="auto"/>
        <w:rPr>
          <w:sz w:val="20"/>
          <w:szCs w:val="20"/>
          <w:color w:val="auto"/>
        </w:rPr>
      </w:pPr>
      <w:r>
        <w:rPr>
          <w:rFonts w:ascii="Times New Roman" w:cs="Times New Roman" w:eastAsia="Times New Roman" w:hAnsi="Times New Roman"/>
          <w:sz w:val="17"/>
          <w:szCs w:val="17"/>
          <w:color w:val="auto"/>
        </w:rPr>
        <w:t>into a joint venture with Lewis for the development of our 17-acre East Area I Retained Property (“Retained Property”). We formed LLCB II, LLC ("LLCB II") as the development entity, contributed our Retained Property to the joint venture and sold a 50% interest to Lewis for $8.0 million. We recorded a gain on the transaction of approximately $4.7 million, of which $0.5 million was deferred. The joint venture partners will share in the capital contributions to fund project costs until loan proceeds and/or revenues are sufficient to fund the project. In connection with the closing, we amended LLCB’s Limited Liability Company Agreement to provide that LLCB is to include the processing of final approval for additional residential units to be developed and constructed on the Retained Property. For further information see Note 5 – Real Estate Development.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September 2021, we signed a Memorandum of Understanding with Wileman Bros. &amp; Elliott, Inc. ("Wileman"), to form an alliance to sell their combined citrus volumes under Limoneira's One World of Citrus trademark. Wileman is a 95-year-old citrus business located in California’s Central Valley with a focus on oranges, mandarins and specialty citrus. Effective November 1, 2021, the majority of our oranges and certain specialty citrus are packed by Wileman.</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In January 2022, we were notified of Alex M. Teague’s decision to retire as Senior Vice President and Chief Operating Officer of our Company, effective February 1, 2022. In connection with his retirement, we entered into a separation agreement with Mr. Teague whereas, (i) Mr. Teague was paid one year of his annual base salary, which was paid in one lump sum within 90 business days of January 12, 2022; (ii) 23,999 shares of our common stock granted to Mr. Teague pursuant to the Limoneira Company Omnibus Incentive Plan fully vested; and (iii) Mr. Teague received certain other benefits as set forth in the agreement. In fiscal year 2022, Mr. Teague received $0.4 million cash severance and $0.3 million accelerated vesting of stock-based compensation.</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February 2022, we terminated our Avocado Marketing Agreement and the associated Letter Agreement Regarding Fruit Commitment with Calavo to pursue opportunities with other packing and marketing companies.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March 2022, we signed an agreement to lease Finca Santa Clara, our 1,200-acre lemon ranch in Argentina, to FGF Trapani ("FGF"), our 49% partner in Trapani Fresh. The lease is retroactive beginning November 1, 2021, with a term of 14 months at a fixed sum of $0.4 million, payable in five equal, monthly installments from August 2022 through December 2022. We expect to extend the lease agreement for an additional year.</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April 2022, the promissory note previously received for the sale of our Centennial property, with a net carrying value of $2.4 million, was paid in full and the deferred gain of $0.2 million was recognized.</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June 2022, we engaged with YMIDD in a two-year fallowing and forbearance program at our Associated Citrus Packers, Inc. ("Associated") ranch in Yuma, Arizona. We expect to receive payments totaling approximately $1.3 million during the program. With the fallowing program in place, this ranch will have approximately 700 acres of productive lemons, 400 fallowed acres and 200 acres of other crops.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October 2022, we sold our Oxnard Lemon property and packing facility located in Ventura County, California. We received net proceeds of $19.1 million and recognized a gain of approximately $0.8 million. Concurrent with the closing of the sale, we entered into a lease agreement to continue our use of the property as a lessee for a period of 36 months from the closing date, with extension options for an additional 24 months.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December 20, 2022, we declared a cash dividend of $0.075 per common share payable on January 13, 2023, in the aggregate amount of $1.3 million to stockholders of record as of January 3, 2023.</w:t>
      </w:r>
    </w:p>
    <w:p>
      <w:pPr>
        <w:spacing w:after="0" w:line="1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fiscal year 2020, we entered into an agreement to sell our Sevilla property for $2.7 million, which closed on November 30, 2022. We received net proceeds of $2.6 million and recorded an immaterial loss in the first quarter of fiscal year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Pandemic</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COVID-19 pandemic has had an adverse impact on the industries and markets in which we conduct business. In particular, the United States lemon market saw a significant decline in volume, with lemon demand falling since widespread shelter in place orders were issued in March 2020, resulting in a significant market oversupply. The export market for fresh produce also significantly declined due to the COVID-19 pandemic impacts. As of October 31, 2022, the demand within both markets is recovering but has not yet returned to pre-pandemic levels.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decline in demand for our products beginning the second quarter of fiscal year 2020, which we believe was due to the COVID-19 pandemic, negatively impacted our sales and profitability for the last three quarters of fiscal year 2020 and all of fiscal years 2021 and 2022. The COVID-19 pandemic may impact our sales and profitability in future periods. The duration of these trends and the magnitude of such impacts cannot be estimated at this time, as they are influenced by a number of factors, many of which are outside management’s control, including, but not limited, to those presented in Item 1A. Risk Factors of this Annual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 w:name="page7"/>
    <w:bookmarkEnd w:id="6"/>
    <w:p>
      <w:pPr>
        <w:jc w:val="both"/>
        <w:spacing w:after="0" w:line="287" w:lineRule="auto"/>
        <w:rPr>
          <w:sz w:val="20"/>
          <w:szCs w:val="20"/>
          <w:color w:val="auto"/>
        </w:rPr>
      </w:pPr>
      <w:r>
        <w:rPr>
          <w:rFonts w:ascii="Times New Roman" w:cs="Times New Roman" w:eastAsia="Times New Roman" w:hAnsi="Times New Roman"/>
          <w:sz w:val="17"/>
          <w:szCs w:val="17"/>
          <w:color w:val="auto"/>
        </w:rPr>
        <w:t>Report. Notwithstanding the adverse impacts and subject to unforeseen changes that may arise as the COVID-19 pandemic continues, we currently expect improvement in fiscal year 2023 compared to fiscal year 2022.</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Given the economic uncertainty as a result of the COVID-19 pandemic over the past three years, we have taken actions to improve our current liquidity position, including temporarily postponing capital expenditures, selling equity securities to increase cash, reducing operating costs, substantially reducing discretionary spending and strategically selling certain assets.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There is continued uncertainty around the breadth and duration of our business disruptions related to the COVID-19 pandemic, as well as its impact on the U.S. economy and the ongoing business operations of our customers. The ongoing impact of the COVID-19 pandemic on our results of operations, financial condition, or liquidity for fiscal year 2023 and beyond cannot be fully estimated at this point. The following discussions are subject to the future effects of the COVID-19 pandemic on our ongoing business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Division Summary</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citrus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Annual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Agribusiness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11430</wp:posOffset>
            </wp:positionV>
            <wp:extent cx="4911725" cy="3274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1172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876300</wp:posOffset>
            </wp:positionH>
            <wp:positionV relativeFrom="page">
              <wp:posOffset>555625</wp:posOffset>
            </wp:positionV>
            <wp:extent cx="5795645" cy="4133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79564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Farming</w:t>
      </w:r>
    </w:p>
    <w:p>
      <w:pPr>
        <w:spacing w:after="0" w:line="2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Lemons. </w:t>
      </w:r>
      <w:r>
        <w:rPr>
          <w:rFonts w:ascii="Times New Roman" w:cs="Times New Roman" w:eastAsia="Times New Roman" w:hAnsi="Times New Roman"/>
          <w:sz w:val="17"/>
          <w:szCs w:val="17"/>
          <w:color w:val="auto"/>
        </w:rPr>
        <w:t>We market and sell lemons directly to our food service, wholesale and retail customers throughout the United States, Canada, Asia, Australia, Europe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other international markets. We are one of the largest lemon growers in the United States with approximately 5,600 acres of lemons planted primarily in Ventura, Tulare and San Bernardino Counties in California and in Yuma County, Arizona. In California, the lemon growing area stretches from the Coachella Valley to Fresno and Monterey Counties, with the majority of the growing areas located in the coastal areas from Ventura County to Monterey County. Ventura County is California’s top lemon producing county. Approximately 29% of our lemons are grown in Ventura County, 20% are grown in Tulare County, 12% are grown in Yuma County, Arizona and 11% are grown in San Bernardino County, California. We also grow approximately 9% of our lemons near La Serena, Chile and 19% of our lemons in Argentina.</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There are many varieties of lemons, with the Lisbon, Eureka and Genoa being the predominant varieties marketed on a worldwide basis. Approximately 88% of our lemon plantings are of the Lisbon, Eureka and Genoa varieties and approximately 12% are of other varieties such as sweet Meyer lemons, Proprietary Seedless lemons and Pink Variegated lemons. California-grown lemons are available throughout the year, with peak production periods occurring from January through August. The storage life of fresh lemons generally ranges from one to 18 weeks, depending upon the maturity of the fruit, the growing methods used and the handling conditions in the distribution chain.</w:t>
      </w:r>
    </w:p>
    <w:p>
      <w:pPr>
        <w:spacing w:after="0" w:line="1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Avocados. </w:t>
      </w:r>
      <w:r>
        <w:rPr>
          <w:rFonts w:ascii="Times New Roman" w:cs="Times New Roman" w:eastAsia="Times New Roman" w:hAnsi="Times New Roman"/>
          <w:sz w:val="17"/>
          <w:szCs w:val="17"/>
          <w:color w:val="auto"/>
        </w:rPr>
        <w:t>We are one of the largest avocado growers in the United States with approximately 900 acres of avocados planted throughout Ventura County.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California, the avocado growing area stretches from San Diego County to Monterey County, with the majority of the growing areas located approximately 100 miles north and south of Los Angeles County.</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California-grown avocados have peak production periods occurring between February and July. Other avocado varieties have a more limited picking season and typically command a lower price. Because of superior eating quality, the Hass avocado has contributed greatly to the avocado’s growing popularity through its retail, restaurant and other food service uses. Approximately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87" w:lineRule="auto"/>
        <w:rPr>
          <w:sz w:val="20"/>
          <w:szCs w:val="20"/>
          <w:color w:val="auto"/>
        </w:rPr>
      </w:pPr>
      <w:r>
        <w:rPr>
          <w:rFonts w:ascii="Times New Roman" w:cs="Times New Roman" w:eastAsia="Times New Roman" w:hAnsi="Times New Roman"/>
          <w:sz w:val="17"/>
          <w:szCs w:val="17"/>
          <w:color w:val="auto"/>
        </w:rPr>
        <w:t>95% of our avocado plantings are of the Hass variety. The storage life of fresh avocados generally ranges from one to four weeks, depending upon the maturity of the fruit, the growing methods used and the handling conditions in the distribution chain.</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Through fiscal year 2021, the Company sold the majority of its avocado production to Calavo Growers, Inc. (“Calavo”), a packing and marketing company listed on the NASDAQ Global Select Market under the symbol CVGW. In February 2022, the Company terminated its Avocado Marketing Agreement and the associated Letter Agreement Regarding Fruit Commitment with Calavo to pursue opportunities with other packing and marketing companies.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Primarily due to differing soil conditions, the care of avocado trees is intensive.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Oranges, Specialty Citrus and Other Crops. </w:t>
      </w:r>
      <w:r>
        <w:rPr>
          <w:rFonts w:ascii="Times New Roman" w:cs="Times New Roman" w:eastAsia="Times New Roman" w:hAnsi="Times New Roman"/>
          <w:sz w:val="17"/>
          <w:szCs w:val="17"/>
          <w:color w:val="auto"/>
        </w:rPr>
        <w:t>We have approximately 1,000 acres of oranges planted primarily in Tulare County, California. In California,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growing area for oranges stretches from Imperial County to Yolo County. California-grown Navel oranges are available from October to June, with peak production periods occurring between January and April. Approximately 96% of our orange plantings are of the Navel variety and approximately 4% are of the Valencia variety. We estimate approximately 70% of our oranges are sold to retail customers and approximately 30% are sold to wholesale customers. We currently have approximately 1,000 acres of specialty citrus and other crops planted such as Moro blood oranges, Cara Cara oranges, Minneola tangelos, Star Ruby grapefruit, pummelos, pistachios and wine grapes.</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utilize third-party packinghouses to process and pack our oranges and specialty citrus. A portion of our oranges and specialty citrus is marketed and sold under the Sunkist brand by Sunkist and orders are processed by Sunkist-member packinghouses. As an agricultural cooperative, Sunkist coordinates the sales and marketing of the oranges and specialty citrus and orders are processed by Sunkist-member packinghouses for direct shipment to customers.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market our other crops, such as pistachios and wine grapes, utilizing processors that are not members of agricultural cooperatives. Our pistachios are harvested and sold to a roaster, packager and marketer of nuts, and our wine grapes are sold to various wine producers.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Plantings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agricultural plantings on properties located in the United States, Chile and Argentina. The following is a description of our agriculture properties: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Ranch Name</w:t>
            </w: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County / State or</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Lemons</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Avocados</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Oranges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Specialty</w:t>
            </w: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32"/>
        </w:trPr>
        <w:tc>
          <w:tcPr>
            <w:tcW w:w="2420" w:type="dxa"/>
            <w:vAlign w:val="bottom"/>
            <w:gridSpan w:val="2"/>
            <w:vMerge w:val="continue"/>
          </w:tcPr>
          <w:p>
            <w:pPr>
              <w:spacing w:after="0"/>
              <w:rPr>
                <w:sz w:val="20"/>
                <w:szCs w:val="20"/>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Acres</w:t>
            </w:r>
          </w:p>
        </w:tc>
        <w:tc>
          <w:tcPr>
            <w:tcW w:w="118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Crops</w:t>
            </w: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Limoneira/Olivelands</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Ventura, CA</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1,700</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 Campana</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Ventura, CA</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Teague McKevett</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Ventura, CA</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Orchard Farm</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Ventura, CA</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Rancho La Cuesta</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Ventura, CA</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Limco Del Mar</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Ventura, CA</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Porterville Ranches</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Tulare, CA</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Ducor Ranches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Tulare, CA</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Sheldon Ranches</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Tulare, CA</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Lemons 400</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Tulare, CA</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Windfall Farms</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 Luis Obispo, CA</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Cadiz</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San Bernardino, CA</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Associated Citrus Packers</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Yuma, AZ</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Pan de Azucar &amp; San Pablo</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 Serena, Chile</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2,900</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 Clara</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Jujuy, Argentina</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agribusiness land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Various Counties, CA</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15,400</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6,900</w:t>
            </w:r>
          </w:p>
        </w:tc>
        <w:tc>
          <w:tcPr>
            <w:tcW w:w="0" w:type="dxa"/>
            <w:vAlign w:val="bottom"/>
          </w:tcPr>
          <w:p>
            <w:pPr>
              <w:spacing w:after="0"/>
              <w:rPr>
                <w:sz w:val="1"/>
                <w:szCs w:val="1"/>
                <w:color w:val="auto"/>
              </w:rPr>
            </w:pPr>
          </w:p>
        </w:tc>
      </w:tr>
      <w:tr>
        <w:trPr>
          <w:trHeight w:val="21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Percentage of Total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Limoneira/Olivelands Ranch</w:t>
      </w:r>
      <w:r>
        <w:rPr>
          <w:rFonts w:ascii="Times New Roman" w:cs="Times New Roman" w:eastAsia="Times New Roman" w:hAnsi="Times New Roman"/>
          <w:sz w:val="17"/>
          <w:szCs w:val="17"/>
          <w:color w:val="auto"/>
        </w:rPr>
        <w:t xml:space="preserve"> is the original site of our Company. Our headquarters, lemon packing operations and storage facilities are located on this property.</w:t>
      </w:r>
    </w:p>
    <w:p>
      <w:pPr>
        <w:spacing w:after="0" w:line="200" w:lineRule="exact"/>
        <w:rPr>
          <w:sz w:val="20"/>
          <w:szCs w:val="20"/>
          <w:color w:val="auto"/>
        </w:rPr>
      </w:pPr>
    </w:p>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Teague McKevett Ranch</w:t>
      </w:r>
      <w:r>
        <w:rPr>
          <w:rFonts w:ascii="Times New Roman" w:cs="Times New Roman" w:eastAsia="Times New Roman" w:hAnsi="Times New Roman"/>
          <w:sz w:val="17"/>
          <w:szCs w:val="17"/>
          <w:color w:val="auto"/>
        </w:rPr>
        <w:t xml:space="preserve"> is the site of our real estate development project known as East Area I and described below under the “Real Estate Development Summary” heading.</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other agribusiness land in the table above includes corporate and lemon packing facilities, land leased to other agricultural businesses, rental units, roads, creeks, hillsides and other open land.</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to five years after the year of planting. Orchards may continue producing fruit longer than their depreciable lives. The following table presents the number of acres planted by fruit variety and approximate age of our orchards: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Age of Orchards</w:t>
            </w:r>
          </w:p>
        </w:tc>
        <w:tc>
          <w:tcPr>
            <w:tcW w:w="1260" w:type="dxa"/>
            <w:vAlign w:val="bottom"/>
            <w:tcBorders>
              <w:bottom w:val="single" w:sz="8" w:color="auto"/>
            </w:tcBorders>
          </w:tcPr>
          <w:p>
            <w:pPr>
              <w:spacing w:after="0"/>
              <w:rPr>
                <w:sz w:val="19"/>
                <w:szCs w:val="19"/>
                <w:color w:val="auto"/>
              </w:rPr>
            </w:pPr>
          </w:p>
        </w:tc>
      </w:tr>
      <w:tr>
        <w:trPr>
          <w:trHeight w:val="212"/>
        </w:trPr>
        <w:tc>
          <w:tcPr>
            <w:tcW w:w="59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0-5 Years</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6-25 Years</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Over 25 Years</w:t>
            </w: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Lemons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w:t>
            </w: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Avocados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Oranges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Specialty citrus and other</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7"/>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Lemon Packing and Sales</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one of the oldest continuous lemon packing operations in North America. We pack and sell lemons grown by us as well as lemons grown by others, the operations of which are included in our financial statements under the lemon packing segment. Lemons delivered to our packinghouse in Santa Paula,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significant portion of the costs related to our lemon packing operation is fixed. We invest considerable time and research into refining and improving our lemon packing through innovation and are continuously searching for new techniques to refine how premium lemons are delivered to our consumers.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Operations Summary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rental operations include our residential and commercial rentals, leased land operations and organic recycling.</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own and maintain 257 residential housing units located mainly in Ventura and Tulare Counties in California that we lease to employees, former employees and non-employees. We also own several commercial office buildings. These properties generate reliable cash flows that we use to partially fund the operating cost's of our business. As of October 31, 2022, we lease approximately 500 acres of our land to third-party agricultural tenants who grow a variety of row crops. Our leased land business provides us with a profitable method to diversify the use of our land. We also partner with one of our tenants and have an organic recycling facility on our land in Ventura County. Effective November 1, 2021, we also lease our 1,200 acre Santa Clara ranch in Argentina.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 Development Summary</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invest in real estate development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 w:name="page11"/>
    <w:bookmarkEnd w:id="10"/>
    <w:p>
      <w:pPr>
        <w:jc w:val="both"/>
        <w:spacing w:after="0" w:line="287" w:lineRule="auto"/>
        <w:rPr>
          <w:sz w:val="20"/>
          <w:szCs w:val="20"/>
          <w:color w:val="auto"/>
        </w:rPr>
      </w:pPr>
      <w:r>
        <w:rPr>
          <w:rFonts w:ascii="Times New Roman" w:cs="Times New Roman" w:eastAsia="Times New Roman" w:hAnsi="Times New Roman"/>
          <w:sz w:val="17"/>
          <w:szCs w:val="17"/>
          <w:color w:val="auto"/>
        </w:rPr>
        <w:t>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900 units in various stages of planning and development. The following is a summary of each of the strategic real estate investment properties in which we own an interest: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East Area I - Santa Paula, California. </w:t>
      </w:r>
      <w:r>
        <w:rPr>
          <w:rFonts w:ascii="Times New Roman" w:cs="Times New Roman" w:eastAsia="Times New Roman" w:hAnsi="Times New Roman"/>
          <w:sz w:val="17"/>
          <w:szCs w:val="17"/>
          <w:color w:val="auto"/>
        </w:rPr>
        <w:t>East Area I consists of 523 acres that we historically used as agricultural land and is located in Santa Paula approximately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ten miles from the City of Ventura and the Pacific Ocean. This property was formerly known as our Teague McKevett Ranch. East Area I is the location for our master planned community of commercial and residential properties, named </w:t>
      </w:r>
      <w:r>
        <w:rPr>
          <w:rFonts w:ascii="Times New Roman" w:cs="Times New Roman" w:eastAsia="Times New Roman" w:hAnsi="Times New Roman"/>
          <w:sz w:val="17"/>
          <w:szCs w:val="17"/>
          <w:i w:val="1"/>
          <w:iCs w:val="1"/>
          <w:color w:val="auto"/>
        </w:rPr>
        <w:t>Harvest at Limoneira</w:t>
      </w:r>
      <w:r>
        <w:rPr>
          <w:rFonts w:ascii="Times New Roman" w:cs="Times New Roman" w:eastAsia="Times New Roman" w:hAnsi="Times New Roman"/>
          <w:sz w:val="17"/>
          <w:szCs w:val="17"/>
          <w:color w:val="auto"/>
        </w:rPr>
        <w:t>, designed to satisfy expected demand in a region that we believe will have few other developments in this coming decade.</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November 2015, we entered into a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The first phase of the project broke ground to commence mass grading in November 2017. Project plans include approximately 1,500 residential units and site improvements. A total of 586 residential units have closed from the project's inception to October 31, 2022.</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In October 2022, we entered into another joint venture with Lewis for the development of our 17-acre East Area I Retained Property (“Retained Property”), which is located within the East Area I property. We formed LLCB II, LLC as the development entity, contributed our Retained Property to the joint venture and sold a 50% interest to Lewis for approximately $8.0 million. In connection with the closing, we amended LLCB’s Limited Liability Company Agreement to provide that LLCB is to include the processing of final approval for additional residential units to be developed and constructed on the Retained Property.</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joint venture partners will share in capital contributions to fund project costs until loan proceeds and/or revenues are sufficient to fund the projects. Since inception, each partner has made funding contributions of $21.4 million to LLCB. We expect to receive approximately $115.0 million from LLCB and LLCB II over the seven remaining years of the projects, including the $8.0 million received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140335</wp:posOffset>
            </wp:positionV>
            <wp:extent cx="5730240" cy="3274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3024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East Area II - Santa Paula, California. </w:t>
      </w:r>
      <w:r>
        <w:rPr>
          <w:rFonts w:ascii="Times New Roman" w:cs="Times New Roman" w:eastAsia="Times New Roman" w:hAnsi="Times New Roman"/>
          <w:sz w:val="17"/>
          <w:szCs w:val="17"/>
          <w:color w:val="auto"/>
        </w:rPr>
        <w:t>Our design associates and we are in the process of formulating plans for East Area II, a parcel of approximately 30 acres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adjacent to East Area I. In July 2021, we entered into a non-binding letter of intent to sell approximately 25 acres of our East Area II property in five staged purchases to an investment company for the purpose of constructing a medical campus consisting of medical office buildings and an acute care hospital. Completion of the transaction is subject to the execution of a purchase and sale agreement and resolution of certain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133985</wp:posOffset>
            </wp:positionV>
            <wp:extent cx="4093210" cy="2865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93210"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Santa Maria - Santa Barbara County, California. </w:t>
      </w:r>
      <w:r>
        <w:rPr>
          <w:rFonts w:ascii="Times New Roman" w:cs="Times New Roman" w:eastAsia="Times New Roman" w:hAnsi="Times New Roman"/>
          <w:sz w:val="17"/>
          <w:szCs w:val="17"/>
          <w:color w:val="auto"/>
        </w:rPr>
        <w:t>As of October 31, 2022, we were invested in one entitled development parcel, Sevilla, located in Santa Maria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Santa Barbara County, California. In fiscal year 2020, we entered into an agreement to sell our Sevilla property for $2.7 million, which closed in the first quarter of fiscal year 2023.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Markets and Competitive Strengths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Agribusiness Operations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avocados and oranges. The following is a brief list of what we believe are our significant competitive strengths with respect to our agribusiness operations:</w:t>
      </w:r>
    </w:p>
    <w:p>
      <w:pPr>
        <w:spacing w:after="0" w:line="243" w:lineRule="exact"/>
        <w:rPr>
          <w:sz w:val="20"/>
          <w:szCs w:val="20"/>
          <w:color w:val="auto"/>
        </w:rPr>
      </w:pPr>
    </w:p>
    <w:p>
      <w:pPr>
        <w:jc w:val="both"/>
        <w:ind w:left="780" w:hanging="467"/>
        <w:spacing w:after="0" w:line="270" w:lineRule="auto"/>
        <w:tabs>
          <w:tab w:leader="none" w:pos="7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agricultural properties in Ventura County are located near the Pacific Ocean, which provides an ideal environment for growing lemons, avocados and row crops. Our agricultural properties in Tulare County, which is in the San Joaquin Valley in Central California, and in Yuma, Arizona, are also located in areas that are well-suited for growing citrus crops.</w:t>
      </w:r>
    </w:p>
    <w:p>
      <w:pPr>
        <w:spacing w:after="0" w:line="10" w:lineRule="exact"/>
        <w:rPr>
          <w:rFonts w:ascii="Times New Roman" w:cs="Times New Roman" w:eastAsia="Times New Roman" w:hAnsi="Times New Roman"/>
          <w:sz w:val="17"/>
          <w:szCs w:val="17"/>
          <w:color w:val="auto"/>
        </w:rPr>
      </w:pPr>
    </w:p>
    <w:p>
      <w:pPr>
        <w:ind w:left="780" w:hanging="467"/>
        <w:spacing w:after="0" w:line="284" w:lineRule="auto"/>
        <w:tabs>
          <w:tab w:leader="none" w:pos="7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Historically, a higher percentage of our crops goes to the fresh market, which is commonly referred to as fresh utilization, than that of other growers and packers with which we compete.</w:t>
      </w:r>
    </w:p>
    <w:p>
      <w:pPr>
        <w:spacing w:after="0" w:line="1"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contiguous and nearby land resources that permit us to efficiently use our agricultural land and resources.</w:t>
      </w:r>
    </w:p>
    <w:p>
      <w:pPr>
        <w:spacing w:after="0" w:line="62" w:lineRule="exact"/>
        <w:rPr>
          <w:rFonts w:ascii="Times New Roman" w:cs="Times New Roman" w:eastAsia="Times New Roman" w:hAnsi="Times New Roman"/>
          <w:sz w:val="17"/>
          <w:szCs w:val="17"/>
          <w:color w:val="auto"/>
        </w:rPr>
      </w:pPr>
    </w:p>
    <w:p>
      <w:pPr>
        <w:ind w:left="780" w:hanging="467"/>
        <w:spacing w:after="0" w:line="263" w:lineRule="auto"/>
        <w:tabs>
          <w:tab w:leader="none" w:pos="7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but one of our properties, we are not dependent on State or Federal water projects to support our agribusiness or real estate development operations.</w:t>
      </w:r>
    </w:p>
    <w:p>
      <w:pPr>
        <w:spacing w:after="0" w:line="249"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own approximately 94% of our agricultural land and take a long view on our fruit production practices.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amount of our agribusiness property was acquired many years ago, which results in a low-cost basis and associated expenses.</w:t>
      </w:r>
    </w:p>
    <w:p>
      <w:pPr>
        <w:spacing w:after="0" w:line="62" w:lineRule="exact"/>
        <w:rPr>
          <w:rFonts w:ascii="Times New Roman" w:cs="Times New Roman" w:eastAsia="Times New Roman" w:hAnsi="Times New Roman"/>
          <w:sz w:val="17"/>
          <w:szCs w:val="17"/>
          <w:color w:val="auto"/>
        </w:rPr>
      </w:pPr>
    </w:p>
    <w:p>
      <w:pPr>
        <w:ind w:left="780" w:hanging="467"/>
        <w:spacing w:after="0" w:line="287" w:lineRule="auto"/>
        <w:tabs>
          <w:tab w:leader="none" w:pos="7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our fresh lemons and lemon packing segments, our integrated business model with respect to growing, packing, marketing and selling citrus allows us to better serve our customers.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2" w:name="page13"/>
    <w:bookmarkEnd w:id="12"/>
    <w:p>
      <w:pPr>
        <w:ind w:left="780" w:hanging="467"/>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lemon packing operations provide marketing opportunities with other citrus companies and their respective products.</w:t>
      </w:r>
    </w:p>
    <w:p>
      <w:pPr>
        <w:spacing w:after="0" w:line="62" w:lineRule="exact"/>
        <w:rPr>
          <w:rFonts w:ascii="Times New Roman" w:cs="Times New Roman" w:eastAsia="Times New Roman" w:hAnsi="Times New Roman"/>
          <w:sz w:val="17"/>
          <w:szCs w:val="17"/>
          <w:color w:val="auto"/>
        </w:rPr>
      </w:pPr>
    </w:p>
    <w:p>
      <w:pPr>
        <w:jc w:val="both"/>
        <w:ind w:left="780" w:hanging="467"/>
        <w:spacing w:after="0" w:line="258" w:lineRule="auto"/>
        <w:tabs>
          <w:tab w:leader="none" w:pos="7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and provides a significant portion of the electricity required to operate four deep-water well pumps at one of our ranches in Tulare County, California. Additionally, these investments support our sustainable agricultural practices, reduce our dependence on fossil-based electricity generation and lower our carbon footprint. Moreover, electricity that we generate and do not use is conveyed seamlessly back to the investor-owned utilities operating in these two markets. Finally, over time, we expect that our customers and the end consumers of our fruit will value the investments that we have made in renewable energy as a part of our farming and packing operations, which we believe may help us differentiate our products from similar commodities.</w:t>
      </w:r>
    </w:p>
    <w:p>
      <w:pPr>
        <w:spacing w:after="0" w:line="20" w:lineRule="exact"/>
        <w:rPr>
          <w:rFonts w:ascii="Times New Roman" w:cs="Times New Roman" w:eastAsia="Times New Roman" w:hAnsi="Times New Roman"/>
          <w:sz w:val="17"/>
          <w:szCs w:val="17"/>
          <w:color w:val="auto"/>
        </w:rPr>
      </w:pPr>
    </w:p>
    <w:p>
      <w:pPr>
        <w:jc w:val="both"/>
        <w:ind w:left="780" w:hanging="467"/>
        <w:spacing w:after="0" w:line="270" w:lineRule="auto"/>
        <w:tabs>
          <w:tab w:leader="none" w:pos="7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made various other investments in water rights and mutual water companies. We own shares in the following mutual water companies: Farmers Irrigation Co., Canyon Irrigation Co., San Cayetano Mutual Water Co., Middle Road Mutual Water Co. and Pioneer Water Company, Inc. Additionally, we acquired water rights in the adjudicated Santa Paula Basin (aquifer), the YMIDD and in Chile.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Development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our real estate development operations, we believe our competitive advantages are as follows:</w:t>
      </w:r>
    </w:p>
    <w:p>
      <w:pPr>
        <w:spacing w:after="0" w:line="294" w:lineRule="exact"/>
        <w:rPr>
          <w:sz w:val="20"/>
          <w:szCs w:val="20"/>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entitlements to build approximately 1,500 residential units in our East Area I development.</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partnered with an experienced and financially strong land developer for our East Area I residential master plan development.</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of our agricultural and real estate investment properties are unique and carry longer-term development potential.</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East Area II property has approximately 30 acres of land commercially zoned, which is adjacent to our East Area I property.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an agribusiness and real estate development company that generates revenue and annual cash flows to support investments in agricultural efficiencies and acquisitions and real estate development activities. As our agricultural and non-strategic real estate development investments are monetized, we intend to use the cash flow to reduce existing debt, fund acquisitions, invest in farming efficiencies and expand packing capacities through our One World of Citrus Asset Light Business Model. We will also use more third-party grower and supplier fruit to reduce the impact of pricing volatility and rising farming costs.</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the asset-lighter model will enable us to achieve revenue and cash flow growth by reducing investment risk in North and South America, generating more stable and higher growth in cash flow and earnings, and improving our annual return on invested capital.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describes the key elements of our business strategy.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Agribusiness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our agribusiness operations, key elements of our strategy are:</w:t>
      </w:r>
    </w:p>
    <w:p>
      <w:pPr>
        <w:spacing w:after="0" w:line="239"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Expand our One World of Citrus Asset Light Business Model in three main channels:</w:t>
      </w:r>
    </w:p>
    <w:p>
      <w:pPr>
        <w:spacing w:after="0" w:line="26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7"/>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Growing, packing, marketing and distributing fruit grown on our properties;</w:t>
      </w:r>
    </w:p>
    <w:p>
      <w:pPr>
        <w:spacing w:after="0" w:line="13" w:lineRule="exact"/>
        <w:rPr>
          <w:rFonts w:ascii="Arial" w:cs="Arial" w:eastAsia="Arial" w:hAnsi="Arial"/>
          <w:sz w:val="21"/>
          <w:szCs w:val="21"/>
          <w:color w:val="auto"/>
        </w:rPr>
      </w:pPr>
    </w:p>
    <w:p>
      <w:pPr>
        <w:ind w:left="1240" w:hanging="309"/>
        <w:spacing w:after="0" w:line="229" w:lineRule="auto"/>
        <w:tabs>
          <w:tab w:leader="none" w:pos="1240" w:val="left"/>
        </w:tabs>
        <w:numPr>
          <w:ilvl w:val="1"/>
          <w:numId w:val="7"/>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Utilizing third-party fruit by packing, marketing and distributing their fruit through Limoneira channels; and</w:t>
      </w:r>
    </w:p>
    <w:p>
      <w:pPr>
        <w:spacing w:after="0" w:line="14" w:lineRule="exact"/>
        <w:rPr>
          <w:rFonts w:ascii="Arial" w:cs="Arial" w:eastAsia="Arial" w:hAnsi="Arial"/>
          <w:sz w:val="21"/>
          <w:szCs w:val="21"/>
          <w:color w:val="auto"/>
        </w:rPr>
      </w:pPr>
    </w:p>
    <w:p>
      <w:pPr>
        <w:ind w:left="1240" w:hanging="309"/>
        <w:spacing w:after="0" w:line="229" w:lineRule="auto"/>
        <w:tabs>
          <w:tab w:leader="none" w:pos="1240" w:val="left"/>
        </w:tabs>
        <w:numPr>
          <w:ilvl w:val="1"/>
          <w:numId w:val="7"/>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Marketing and distributing brokered fruit.</w:t>
      </w:r>
    </w:p>
    <w:p>
      <w:pPr>
        <w:spacing w:after="0" w:line="229"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We intend to strategically sell certain assets to reduce existing debt, fund acquisitions, increase farming efficiencies and expand packing capabilities. Increased volume of fruit sales is expected to be fueled by sourcing from third-party growers and suppliers, thus mitigating the volatility that commodity pricing has on growers.</w:t>
      </w:r>
    </w:p>
    <w:p>
      <w:pPr>
        <w:spacing w:after="0" w:line="187" w:lineRule="exact"/>
        <w:rPr>
          <w:sz w:val="20"/>
          <w:szCs w:val="20"/>
          <w:color w:val="auto"/>
        </w:rPr>
      </w:pPr>
    </w:p>
    <w:p>
      <w:pPr>
        <w:ind w:left="620" w:hanging="307"/>
        <w:spacing w:after="0" w:line="292"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Expand our Sources of Lemon Supply. </w:t>
      </w:r>
      <w:r>
        <w:rPr>
          <w:rFonts w:ascii="Times New Roman" w:cs="Times New Roman" w:eastAsia="Times New Roman" w:hAnsi="Times New Roman"/>
          <w:sz w:val="17"/>
          <w:szCs w:val="17"/>
          <w:color w:val="auto"/>
        </w:rPr>
        <w:t>Peak lemon production occurs at different times of the year depending on geographic region. In addition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lemon production in California and Arizona and lemons we acquire from domestic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3" w:name="page14"/>
    <w:bookmarkEnd w:id="13"/>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third-party growers and suppliers, we have expanded our lemon supply sources to international markets such as Mexico, Chile and Argentina. Increases in lemons procured from third-party growers and suppliers and international sources improve our ability to provide our customers with fresh lemons throughout the year.</w:t>
      </w:r>
    </w:p>
    <w:p>
      <w:pPr>
        <w:spacing w:after="0" w:line="213" w:lineRule="exact"/>
        <w:rPr>
          <w:sz w:val="20"/>
          <w:szCs w:val="20"/>
          <w:color w:val="auto"/>
        </w:rPr>
      </w:pPr>
    </w:p>
    <w:p>
      <w:pPr>
        <w:jc w:val="both"/>
        <w:ind w:left="620" w:hanging="307"/>
        <w:spacing w:after="0" w:line="241"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Increase the Volume of our Lemon Packing Operations</w:t>
      </w:r>
      <w:r>
        <w:rPr>
          <w:rFonts w:ascii="Times New Roman" w:cs="Times New Roman" w:eastAsia="Times New Roman" w:hAnsi="Times New Roman"/>
          <w:sz w:val="17"/>
          <w:szCs w:val="17"/>
          <w:color w:val="auto"/>
        </w:rPr>
        <w:t>. We regularly monitor our costs for redundancies and opportunities for cost reductions.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regard, cost per carton is a function of throughput. We continually seek to acquire additional lemons from third-party growers and suppliers to pack through our packing facilities. Third-party growers and suppliers are only added if we determine their fruit is of good quality and can be cost effective for both the grower and us. Of most importance is the overall fresh utilization rate for our fruit, which is directly related to quality.</w:t>
      </w:r>
    </w:p>
    <w:p>
      <w:pPr>
        <w:spacing w:after="0" w:line="199" w:lineRule="exact"/>
        <w:rPr>
          <w:rFonts w:ascii="Arial" w:cs="Arial" w:eastAsia="Arial" w:hAnsi="Arial"/>
          <w:sz w:val="21"/>
          <w:szCs w:val="21"/>
          <w:color w:val="auto"/>
        </w:rPr>
      </w:pPr>
    </w:p>
    <w:p>
      <w:pPr>
        <w:jc w:val="both"/>
        <w:ind w:left="620" w:hanging="307"/>
        <w:spacing w:after="0" w:line="26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Expand International Sales and Marketing of Lemons</w:t>
      </w:r>
      <w:r>
        <w:rPr>
          <w:rFonts w:ascii="Times New Roman" w:cs="Times New Roman" w:eastAsia="Times New Roman" w:hAnsi="Times New Roman"/>
          <w:sz w:val="17"/>
          <w:szCs w:val="17"/>
          <w:color w:val="auto"/>
        </w:rPr>
        <w:t>. We estimate that we currently have approximately 10% of the fresh lemon market in the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States and a larger share of the United States lemon export market. We intend to explore opportunities to expand our international sales and marketing of lemons. We have the ability to supply a wide range of customers and markets and, because we produce high quality lemons, we can export our lemons to international customers, which many of our competitors are unable to supply.</w:t>
      </w:r>
    </w:p>
    <w:p>
      <w:pPr>
        <w:spacing w:after="0" w:line="190"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Opportunistically Expand our Plantings of Avocados</w:t>
      </w:r>
      <w:r>
        <w:rPr>
          <w:rFonts w:ascii="Times New Roman" w:cs="Times New Roman" w:eastAsia="Times New Roman" w:hAnsi="Times New Roman"/>
          <w:sz w:val="17"/>
          <w:szCs w:val="17"/>
          <w:color w:val="auto"/>
        </w:rPr>
        <w:t>. Our plantings of avocados have been profitable and have been pursued to diversify our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line. Agricultural land that we believe is not suitable for lemons is typically planted with avocados, oranges, specialty citrus or other crops. While we may expand our avocados, we expect to do so on an opportunistic basis in locations that we believe offer a record of historical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our rental operations and real estate development activities, key elements of our strategy include the following:</w:t>
      </w:r>
    </w:p>
    <w:p>
      <w:pPr>
        <w:spacing w:after="0" w:line="239" w:lineRule="exact"/>
        <w:rPr>
          <w:sz w:val="20"/>
          <w:szCs w:val="20"/>
          <w:color w:val="auto"/>
        </w:rPr>
      </w:pPr>
    </w:p>
    <w:p>
      <w:pPr>
        <w:jc w:val="both"/>
        <w:ind w:left="620" w:hanging="307"/>
        <w:spacing w:after="0" w:line="272"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Selectively Secure Additional Rental and Housing Units</w:t>
      </w:r>
      <w:r>
        <w:rPr>
          <w:rFonts w:ascii="Times New Roman" w:cs="Times New Roman" w:eastAsia="Times New Roman" w:hAnsi="Times New Roman"/>
          <w:sz w:val="17"/>
          <w:szCs w:val="17"/>
          <w:color w:val="auto"/>
        </w:rPr>
        <w:t>. Our housing, commercial and land rental operations provide us with a consistent, dependable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source of cash flow that helps to fund our overall activities. Additionally, we believe our housing rental operation allows us to offer a unique benefit to our employees.</w:t>
      </w:r>
    </w:p>
    <w:p>
      <w:pPr>
        <w:spacing w:after="0" w:line="186"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Opportunistically Lease Land to Third-Party Crop Farmers</w:t>
      </w:r>
      <w:r>
        <w:rPr>
          <w:rFonts w:ascii="Times New Roman" w:cs="Times New Roman" w:eastAsia="Times New Roman" w:hAnsi="Times New Roman"/>
          <w:sz w:val="17"/>
          <w:szCs w:val="17"/>
          <w:color w:val="auto"/>
        </w:rPr>
        <w:t>. We regularly monitor the profitability of our fruit-producing acreage to ensure acceptable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 acre returns. When we determine that leasing the land to third-party row crop farmers would be more profitable than farming the land, we intend to seek third-party row crop tenants.</w:t>
      </w:r>
    </w:p>
    <w:p>
      <w:pPr>
        <w:spacing w:after="0" w:line="186"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Opportunistically Expand our Income-Producing Commercial and Industrial Rental Assets</w:t>
      </w:r>
      <w:r>
        <w:rPr>
          <w:rFonts w:ascii="Times New Roman" w:cs="Times New Roman" w:eastAsia="Times New Roman" w:hAnsi="Times New Roman"/>
          <w:sz w:val="17"/>
          <w:szCs w:val="17"/>
          <w:color w:val="auto"/>
        </w:rPr>
        <w:t>. We intend to redeploy our future financial gains to acquire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income-producing real estate investments and agricultural properties.</w:t>
      </w:r>
    </w:p>
    <w:p>
      <w:pPr>
        <w:spacing w:after="0" w:line="168" w:lineRule="exact"/>
        <w:rPr>
          <w:rFonts w:ascii="Times New Roman" w:cs="Times New Roman" w:eastAsia="Times New Roman" w:hAnsi="Times New Roman"/>
          <w:sz w:val="17"/>
          <w:szCs w:val="17"/>
          <w:color w:val="auto"/>
        </w:rPr>
      </w:pPr>
    </w:p>
    <w:p>
      <w:pPr>
        <w:jc w:val="both"/>
        <w:ind w:left="620" w:hanging="307"/>
        <w:spacing w:after="0" w:line="266" w:lineRule="auto"/>
        <w:tabs>
          <w:tab w:leader="none" w:pos="616"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i w:val="1"/>
          <w:iCs w:val="1"/>
          <w:color w:val="auto"/>
        </w:rPr>
        <w:t>Selectively and Responsibly Develop our Agricultural Land</w:t>
      </w:r>
      <w:r>
        <w:rPr>
          <w:rFonts w:ascii="Times New Roman" w:cs="Times New Roman" w:eastAsia="Times New Roman" w:hAnsi="Times New Roman"/>
          <w:sz w:val="17"/>
          <w:szCs w:val="17"/>
          <w:color w:val="auto"/>
        </w:rPr>
        <w:t>. We recognize that long-term strategies are required for successful real estate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market and sell our lemons directly to our food service, wholesale and retail customers in the United States, Canada, Asia, Australia, Europe and certain other international markets. We sold lemons to approximately 200 U.S. and international customers during fiscal year 2022. We sell our avocados, oranges, specialty citrus and other crops to third-party packinghouses and our wine grapes to wine producers.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agribusiness crop markets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third-party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7"/>
          <w:szCs w:val="17"/>
          <w:color w:val="auto"/>
        </w:rPr>
        <w:t>packinghouses similar to that of Limoneira. Our lemons and oranges also compete with other fruits and vegetables for the share of consumer expenditures devoted to fresh fruit and vegetables: apples, pears, melons, pineapples and other tropical fruit. Avocado products compete in the supermarket with hummus products and other dips and salsas. For our specific crops, the size of the U.S. market is approximately $661 million for lemons, both fresh and juice, approximately $340 million for avocados, and approximately $1.6 billion for oranges, both fresh and juice. Competition in the various agribusiness markets is affected by reliability of supply, product quality, brand recognition and perception, price and the ability to satisfy changing customer preferences through innovative product offerings.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County comes from other residential and commercial developments in nearby areas.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Resources and Raw Materials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our fresh lemons and lemon packing segments, paper is considered a material raw product for our business because most of our products are packed in cardboard cartons for shipment. Paper is readily available and we have numerous suppliers for such material. In our agribusiness division, petroleum-based products such as herbicides and pesticides are considered raw materials and we have numerous suppliers for these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numerous trademarks and brands under which we market and sell our fruits, particularly lemons, domestically and internationally, many of which have been owned for decades. The material brands of Limoneira lemons include, but are not limited to, One World of Citrus®, Santa®, Paula®, Bridal Veil®, Fountain®, Golden Bowl® and Level®. These trademarks are owned by us and registered with the United States Patent and Trademark Office. We also acquired certain lemon brands with acquisitions, including Kiva®, Kachina®, Oxnard Lemon and Trapani Fresh.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 Nature of Business</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with any agribusiness enterprise, our agribusiness operations are predominantly seasonal in nature. The harvest and sale of our lemons, avocados, oranges and specialty citrus and other crops occurs in all quarters, but is generally more concentrated during our third quarter. Our lemons are generally grown and marketed throughout the year, our avocados are primarily sold from January through August, our oranges are primarily sold from January through June, our specialty citrus is primarily sold from November through April and our other crops, such as pistachios and wine grapes, are primarily sold in September and October.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and Regulatory Matters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that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various risks we face from regulation and compliance matters, see Item 1A. Risk Factors of this Annual Report.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October 31, 2022, we had 265 employees, of which 95 were salaried and 170 were hourly. None of our employees are subject to a collective bargaining agreement. We believe that our relations with our employees are good.</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an environment of diversity, inclusion and belonging fosters innovation, strengthens our global workforce, and drives our ability to serve customers. Our global presence is strengthened by having a workforce that reflects the diversity of the customers we serve and by maintaining an environment in which such diversity contributes to our mission.</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Limoneira is committed to protecting the human rights, safety and dignity of the people who contribute to the success of our business. We are committed to improving the lives of all our stakeholders by helping to provide access to our products and increasing the diversity of our workforce. We also seek to support the welfare of the people who produce, process and harvest the products we sell. We have established several new diversity, inclusion and belonging efforts and programs to better ensure that we are supporting our employees.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Limoneira’s overall culture emphasizes the health and safety of our employees and the customers we serve. Limoneira has an Illness and Injury Prevention Plan (IIPP), a Safety Guide and conforms to and follows regulations and guidelines set forth by OSHA in all facilities and operations. Where a particular jurisdiction's guidelines, such as Cal OHSA, are different from the OSHA standard, Limoneira adheres to the most extensive guidelines. We have excellent results from our safety programs compared to similar companies within our industry. In response to the COVID-19 pandemic, we implemented, and continue to improve, appropriate safety measures in all our facilities and locations.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strive to be a great place for our employees to work and live. We offer competitive pay and best-in-class benefits, including a 401k plan with matching contribution opportunities, comprehensive paid healthcare plans, wellness programs, and tuition reimbursement.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own and maintain 257 residential housing units located mainly in Ventura and Tulare Counties in California. We lease these housing units to employees, former employees and non-employees. Our residential units provide affordable housing to many of our employees, including our agribusiness employees. Employees live close to their work, which reduces traffic and commuting times. This unique employment benefit helps us maintain a dependable, long-term employee base. We partner with some local schools to provide transportation for residents.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Agribusiness Operations</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 We purchase crop insurance for certain crops which partially mitigates our exposure.</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of our crops are subject to damage from frosts and freezes, and this has happened periodically in the past. In some cases, the fruit is damaged or ruined; in the case of extended periods of cold, the trees can also be damaged or killed.</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6" w:name="page17"/>
    <w:bookmarkEnd w:id="16"/>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Fresh produce is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ACP is an aphid-like insect that is a serious pest to all citrus plants because it can transmit the disease Huanglongbing ("HLB") when it feeds on the plants' leaves and trees. 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Due to the discovery of ACP in our orchards, we have experienced costs related to the quarantine and treatment of ACP. To date, HLB has been detected in California, however there has been no HLB detected in our orchards. There can be no assurance that HLB will not be further detected in the future.</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strategy of marketing and selling our lemons directly to our food service, wholesale and retail customers may not continue to be successful.</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 leverage of the major grocery retailers in our markets, which may put further downward pressure on our pricing and volume and could adversely affect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earnings are sensitive to fluctuations in market supply and prices and demand for our products.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Excess supply often causes severe price competition in our industry. Growing conditions in various parts of the world, particularly weather conditions such as windstorms, floods, droughts and freezes, as well as diseases and pests, are primary factors affecting market prices because of their influence on the supply and quality of product. The ongoing COVID-19 pandemic has also reduced the demand for our products resulting in excess supply.</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Fresh produce is highly perishable and generally must be brought to market and sold soon after harvest. Some items, such as avocados, oranges and specialty citrus,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earnings may be subject to seasonal variability.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earnings may be affected by seasonal factors, including:</w:t>
      </w:r>
    </w:p>
    <w:p>
      <w:pPr>
        <w:spacing w:after="0" w:line="294" w:lineRule="exact"/>
        <w:rPr>
          <w:sz w:val="20"/>
          <w:szCs w:val="20"/>
          <w:color w:val="auto"/>
        </w:rPr>
      </w:pPr>
    </w:p>
    <w:p>
      <w:pPr>
        <w:ind w:left="780" w:hanging="467"/>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seasonality of our supplies and consumer demand;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process products during critical harvest periods;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effects of ripening and perishability.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commodity or raw product costs, such as fuel and paper, could adversely affect our operating results.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cost of paper is also significant to us because some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labor, personnel and benefits costs could adversely affect our operating results.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labor contractors and we are subject to government mandated wage and benefit laws and regulations. For example, the State of California, where a substantial number of our labor contractors are located, passed regulations that increased minimum wage rates from $14.00 per hour to $15.00 per hour, effective January 1, 2022, and will increase to $15.50 per hour in 2023. The State of Arizona wage rates rise each year based on the annual cost of living and increased from $12.15 per hour to $12.80 per hour, effective January 1, 2022, and will increase to $13.85 per hour in 2023. In addition, current or future federal or state healthcare legislation and regulation, including the Affordable Care Act, may increase our medical costs or the medical costs of our labor contractors that could be passed on to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immigration laws could impact the ability of Limoneira to harvest its crops.</w:t>
      </w:r>
    </w:p>
    <w:p>
      <w:pPr>
        <w:spacing w:after="0" w:line="2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grove operations, financial position, results of operations and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lack of sufficient water would severely impact our ability to produce crops or develop real estate.</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average rainfall in Ventura, Tulare, San Luis Obispo and San Bernardino Counties in California is substantially below amounts required to grow crops and therefore we are dependent on our surface water rights and rights to pump water from underground aquifers. Extended periods of drought in California may put additional pressure on the use and availability of water for agricultural uses, and in some cases, governmental authorities have diverted water to other uses. As California has grown in population, there are increasing and multiple pressures on the use and distribution of water, which many view as a finite resource. Lack of available potable water can also limit real estate development.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We use federal project water in Arizona from the Colorado River through the YMIDD. We also have acquired water rights in Chile.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7"/>
          <w:szCs w:val="17"/>
          <w:color w:val="auto"/>
        </w:rPr>
        <w:t>California has experienced below average precipitation since the 2019 - 2020 rainfall season. According to the U.S. Drought Monitor, San Bernardino County was experiencing severe drought conditions, Ventura County was experiencing extreme drought conditions and Tulare County was experiencing exceptional drought conditions as of October 31, 2022. In October 2021, the California Governor declared a drought state of emergency statewide. Federal officials who oversee the Central Valley Project, California’s largest water delivery system, allocated 0% of the contracted amount of water to San Joaquin Valley farmers in 2022, compared to 5% in 2021 and 100% in 2017 through 2020. We are assessing the impact these reductions may have on our California orchards.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August 2021, the U.S. Bureau of Reclamation declared a Level 1 Shortage Condition at Lake Mead in the Lower Colorado River Basin for the first time ever, requiring shortage reductions and water savings contributions for states in the southwest. In January 2022, Arizona experienced water releases from Lake Mead reduced by approximately 18% of the state’s annual apportionment. In August 2022, the U.S. Bureau of Reclamation announced Lake Mead to operate in a Tier 2 shortage, which increases water restrictions for states in the southwest. In January 2023, Arizona will forfeit approximately 21% of the state's yearly allotment of water from Lake Mead. In response, we entered into a fallowing agreement and we are assessing the impact these additional reductions may have on our Arizona orchards.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fiscal year 2022, irrigation costs for our agricultural operations were $1.9 million higher than fiscal year 2021. Costs may increase as we pump more water than our historical averages and federal, state and local water delivery infrastructure costs may increase to access these limited water supplies. We have an ongoing plan for irrigation improvements continuing in fiscal year 2023 that includes drilling new wells and upgrading existing wells and irrigation systems.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we have access to adequate supplies of water for our agricultural operations as well as our real estate development and rental operations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use of herbicides, pesticides and other potentially hazardous substances in our operations may lead to environmental damage and result in increased costs to us.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fundamentally changed the pesticide approval process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global economic downturn may have an adverse impact on participants in our industry, which cannot be fully predicted.</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full impact of a global economic downturn on customers, vendors and other business partners, such as that seen with the COVID-19 pandemic,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9" w:name="page20"/>
    <w:bookmarkEnd w:id="19"/>
    <w:p>
      <w:pPr>
        <w:jc w:val="both"/>
        <w:spacing w:after="0" w:line="287" w:lineRule="auto"/>
        <w:rPr>
          <w:sz w:val="20"/>
          <w:szCs w:val="20"/>
          <w:color w:val="auto"/>
        </w:rPr>
      </w:pPr>
      <w:r>
        <w:rPr>
          <w:rFonts w:ascii="Times New Roman" w:cs="Times New Roman" w:eastAsia="Times New Roman" w:hAnsi="Times New Roman"/>
          <w:sz w:val="17"/>
          <w:szCs w:val="17"/>
          <w:color w:val="auto"/>
        </w:rPr>
        <w:t>partner that is unable to meet its contractual commitments to us. Similarly, stresses and pressures in the industry may result in impacts on our business partners and competitors, which could have wide-ranging impacts on the future of the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the risk of product contamination and product liability claims.</w:t>
      </w:r>
    </w:p>
    <w:p>
      <w:pPr>
        <w:spacing w:after="0" w:line="2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transportation risks.</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 extended interruption in our ability to ship our products could have a material adverse effect on our business, financial condition and results of operations. Similarly, any extended disruption in the distribution of our products or supply chain issues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Events or rumors relating to LIMONEIRA or our other trademarks and related brands could significantly impact our business.</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Consumer and institutional recognition of the LIMONEIRA, One World of Citrus®, Santa®, Paula®, Bridal Veil®, Fountain®, Golden Bowl®, Level®, Kiva®, Kachina®, Oxnard Lemon and Trapani Fresh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could increase our costs of production and increase legal and regulatory expenses.</w:t>
      </w:r>
    </w:p>
    <w:p>
      <w:pPr>
        <w:spacing w:after="0" w:line="2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Growing, packaging, storing and distributing food products are activities subject to extensive federal, state and local regulation, as well as foreign regulation. The U.S. Food and Drug Administration (the “FDA”), the USDA and various state and local public health and agricultural agencies regulate these aspects of our operations. Our business is subject to the FDA Food Safety Modernization Act to ensure food safety.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Import and export controls and similar laws and regulations, in both the United States and elsewhere affect our business.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strategy to expand international production and marketing may not be successful and may subject us to risks associated with doing business in corrupt environments.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While we intend to expand our lemon supply sources to international markets and explore opportunities to expand our international production and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infrastructure to have sufficient capacity to handle our annual lemon production needs.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an infrastructure that has sufficient capacity for our lemon production needs, but if we lose machinery or facilities due to natural disasters or mechanical failure, we may not be able to operate at a sufficient capacity to meet our lemon production needs. This could have a material adverse effect on our business, which could impact our results of operations and our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generate sufficient cash flow to service our debt obligations.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To service our debt, we require a significant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243" w:lineRule="exact"/>
        <w:rPr>
          <w:sz w:val="20"/>
          <w:szCs w:val="20"/>
          <w:color w:val="auto"/>
        </w:rPr>
      </w:pPr>
    </w:p>
    <w:p>
      <w:pPr>
        <w:ind w:left="780" w:hanging="467"/>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competitive conditions;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difficulties, increased operating costs or pricing pressures we may experience;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implementing any strategic projects.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revolving and non-revolving credit and term loan facilities contain various restrictive covenants that limit our ability to take certain actions. In particular, these agreements limit our ability to, among other things:</w:t>
      </w:r>
    </w:p>
    <w:p>
      <w:pPr>
        <w:spacing w:after="0" w:line="229" w:lineRule="exact"/>
        <w:rPr>
          <w:sz w:val="20"/>
          <w:szCs w:val="20"/>
          <w:color w:val="auto"/>
        </w:rPr>
      </w:pPr>
    </w:p>
    <w:p>
      <w:pPr>
        <w:ind w:left="780" w:hanging="467"/>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 or acquisitions;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certain liens on our assets;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certain types of transactions with affiliates;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consolidate or transfer substantially all our assets;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and sell assets.</w:t>
      </w:r>
    </w:p>
    <w:p>
      <w:pPr>
        <w:spacing w:after="0" w:line="2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revolving and non-revolving credit facility with the Farm Credit West Credit Facility contain a financial covenant that requires us to maintain compliance with a specified debt service coverage ratio greater than or equal to 1:25:1.0 on an annual basis. At October 31, 2022, we were in compliance with such debt service coverage ratio. Our failure to comply with this covenant in the future may result in the declaration of an event of default under our Farm Credit West Credit Facility.</w:t>
      </w: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 w:name="page22"/>
    <w:bookmarkEnd w:id="21"/>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Despite our relatively high current indebtedness levels and the restrictive covenants set forth in agreements governing our indebtedness, we may still incur significant additional indebtedness, including secured and guaranteed indebtedness. Incurring more indebtedness could increase the risks associated with our substantial indebtedness.</w:t>
      </w:r>
    </w:p>
    <w:p>
      <w:pPr>
        <w:spacing w:after="0" w:line="1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Subject to the restrictions in our credit facilities, we may incur significant additional indebtedness. If new debt is added to our current debt levels, the related risks that we now face could increase.</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January 2018, LLCB entered into a $45.0 million unsecured Line of Credit Loan Agreement and Promissory Note (the “Loan”) with Bank of America, N.A. to fund early development activities. The Loan, as modified and extended, matures February 22, 2023 and has a one-year extension option through February 22, 2024 subject to terms and conditions as defined in the agreement, with the maximum borrowing amount reduced to $35.0 million during the extension period. In December 2022, LLCB exercised the extension option. The Loan contains certain customary default provisions and LLCB may prepay any amounts outstanding under the Loan without penalty. The obligations under the Loan are guaranteed by certain principals from Lewis and us. Defaults by LLCB could increase our indebtedness.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debt is based on variable rates of interest, which could result in higher interest expenses in the event of an increase in the interest rates.</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Farm Credit West Credit Facility currently bears interest at a variable rate, which will generally change as interest rates change. We bear the risk that the rates we are charged by our lender will increase faster than the earnings and cash flow of our business, which could reduce profitability, adversely affect our ability to service our debt, cause us to breach covenants contained in our Farm Credit West Credit Facility, which could materially adversely affect our business, financial condition and results of operations. Several of our Company’s debt agreements use LIBOR as a reference rate, which will be converted to the Secure Overnight Financing Rate ("SOFR") on January 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capital and credit market issues affect our liquidity, increase our borrowing costs and may affect the operations of our suppliers and customers.</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global capital and credit markets have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Real Estate Development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involved in a cyclical industry and are affected by changes in general and local economic conditions.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real estate development industry is cyclical and is affected by changes in general and local economic conditions, including:</w:t>
      </w:r>
    </w:p>
    <w:p>
      <w:pPr>
        <w:spacing w:after="0" w:line="294" w:lineRule="exact"/>
        <w:rPr>
          <w:sz w:val="20"/>
          <w:szCs w:val="20"/>
          <w:color w:val="auto"/>
        </w:rPr>
      </w:pPr>
    </w:p>
    <w:p>
      <w:pPr>
        <w:ind w:left="780" w:hanging="467"/>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levels;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confidence;</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the developed product, whether residential or industrial;</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of similar product, whether residential or industrial; and</w:t>
      </w:r>
    </w:p>
    <w:p>
      <w:pPr>
        <w:spacing w:after="0" w:line="62" w:lineRule="exact"/>
        <w:rPr>
          <w:rFonts w:ascii="Times New Roman" w:cs="Times New Roman" w:eastAsia="Times New Roman" w:hAnsi="Times New Roman"/>
          <w:sz w:val="17"/>
          <w:szCs w:val="17"/>
          <w:color w:val="auto"/>
        </w:rPr>
      </w:pPr>
    </w:p>
    <w:p>
      <w:pPr>
        <w:ind w:left="780" w:right="540" w:hanging="467"/>
        <w:spacing w:after="0" w:line="287" w:lineRule="auto"/>
        <w:tabs>
          <w:tab w:leader="none" w:pos="7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state and federal government regulation, including eminent domain laws, which may result in taking for less compensation than the owner believes the property is worth.</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A recession in the global economy, or a downturn in national or regional economic conditions, could adversely impact our real estate development business.</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Future economic instability or tightening in the credit markets could lead to another housing market collapse, which could adversely affect our real estate development operations and those of our equity method investments. Future real estate sales, revenues, financial condition, results of operations and equity in earnings of investments could suffer as a result. Our business is sensitive to economic conditions in California, where our real estate development properties are located.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Higher interest rates and lack of available financing can have significant impacts on the real estate industry.</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In 2022, the Board of Governors of the Federal Reserve System took actions in tightening the monetary policy that resulted in higher interest rates prevailing in the marketplace. Market interest rates may continue to increase in the future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various land use regulations and require governmental approvals for our developments that could be denied.</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in the past, many states, cities and counties (including Ventura County) have approved various “slow growth” or “urban limit line” measures.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unforeseen regulatory challenges with East Areas I and II occur, we may not be able to develop these projects as planned.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litigation could increase the time and cost of our real estate development efforts.</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where a significant amount of our developable land is located,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real estate development projects are concentrated entirely in California.</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of our real estate development projects are located in California, and our business is especially sensitive to the economic conditions within California. Any adverse change in the economic climate of California, and any adverse change in the political or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3" w:name="page24"/>
    <w:bookmarkEnd w:id="23"/>
    <w:p>
      <w:pPr>
        <w:jc w:val="both"/>
        <w:spacing w:after="0" w:line="287" w:lineRule="auto"/>
        <w:rPr>
          <w:sz w:val="20"/>
          <w:szCs w:val="20"/>
          <w:color w:val="auto"/>
        </w:rPr>
      </w:pPr>
      <w:r>
        <w:rPr>
          <w:rFonts w:ascii="Times New Roman" w:cs="Times New Roman" w:eastAsia="Times New Roman" w:hAnsi="Times New Roman"/>
          <w:sz w:val="17"/>
          <w:szCs w:val="17"/>
          <w:color w:val="auto"/>
        </w:rPr>
        <w:t>regulatory climate of California or Ventura County, could adversely affect our real estate development activities. Ultimately, our ability to sell or lease lots may decline as a result of weak economic conditions or restrictive regulations.</w:t>
      </w:r>
    </w:p>
    <w:p>
      <w:pPr>
        <w:spacing w:after="0" w:line="1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real estate industry weakens or instability of the mortgage industry and commercial real estate financing exists, it could have an adverse effect on our real estate activities.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contractual arrangements with third-party advisors to assist us in carrying out our real estate development projects and are subject to risks associated with such arrangements.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utilize third-party contractor and consultant arrangements to assist us in operating our real estate development segment. These contractual arrangements may not be as effective in providing direct control over this business segment. For example, our third-party advisors could fail to take actions required for our real estate development businesses despite their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complete land development projects within forecasted time and budget expectations, if at all, our financial results may be negatively affected.</w:t>
      </w:r>
    </w:p>
    <w:p>
      <w:pPr>
        <w:spacing w:after="0" w:line="200" w:lineRule="exact"/>
        <w:rPr>
          <w:sz w:val="20"/>
          <w:szCs w:val="20"/>
          <w:color w:val="auto"/>
        </w:rPr>
      </w:pPr>
    </w:p>
    <w:p>
      <w:pPr>
        <w:spacing w:after="0" w:line="2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229" w:lineRule="exact"/>
        <w:rPr>
          <w:sz w:val="20"/>
          <w:szCs w:val="20"/>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delays or cost overruns that may increase project costs;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zoning, occupancy and other required governmental permits and authorizations;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costs incurred for projects that are not pursued to completion;</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earthquakes, hurricanes, floods, fires or other natural disasters that could adversely affect a project;</w:t>
      </w:r>
    </w:p>
    <w:p>
      <w:pPr>
        <w:spacing w:after="0" w:line="62" w:lineRule="exact"/>
        <w:rPr>
          <w:rFonts w:ascii="Times New Roman" w:cs="Times New Roman" w:eastAsia="Times New Roman" w:hAnsi="Times New Roman"/>
          <w:sz w:val="17"/>
          <w:szCs w:val="17"/>
          <w:color w:val="auto"/>
        </w:rPr>
      </w:pPr>
    </w:p>
    <w:p>
      <w:pPr>
        <w:ind w:left="780" w:hanging="467"/>
        <w:spacing w:after="0" w:line="284" w:lineRule="auto"/>
        <w:tabs>
          <w:tab w:leader="none" w:pos="7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design or construction that may result in additional costs to remedy or require all or a portion of a property to be closed during the period required to rectify the situation;</w:t>
      </w:r>
    </w:p>
    <w:p>
      <w:pPr>
        <w:spacing w:after="0" w:line="1"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capital;</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governmental assessments such as park fees or affordable housing requirements;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restrictions on the nature and size of a project or timing of completion;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lack of adequate building/construction capacity for large development projects.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any development project is not completed on time or within budget, our financial results may be negatively affected.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obtain required land use entitlements at reasonable costs, or at all, our operating results would be adversely affected.</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financial performance of our real estate development activities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could experience a reduction in revenues or reduced cash flows if we are unable to obtain reasonably priced financing to support our real estate development projects and land development activities.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4" w:name="page25"/>
    <w:bookmarkEnd w:id="24"/>
    <w:p>
      <w:pPr>
        <w:jc w:val="both"/>
        <w:spacing w:after="0" w:line="264" w:lineRule="auto"/>
        <w:rPr>
          <w:sz w:val="20"/>
          <w:szCs w:val="20"/>
          <w:color w:val="auto"/>
        </w:rPr>
      </w:pPr>
      <w:r>
        <w:rPr>
          <w:rFonts w:ascii="Times New Roman" w:cs="Times New Roman" w:eastAsia="Times New Roman" w:hAnsi="Times New Roman"/>
          <w:sz w:val="17"/>
          <w:szCs w:val="17"/>
          <w:color w:val="auto"/>
        </w:rPr>
        <w:t>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encounter risks associated with the real estate joint ventures we entered into in November 2015 and October 2022 with the Lewis Group of Companies including:</w:t>
      </w:r>
    </w:p>
    <w:p>
      <w:pPr>
        <w:spacing w:after="0" w:line="223" w:lineRule="exact"/>
        <w:rPr>
          <w:sz w:val="20"/>
          <w:szCs w:val="20"/>
          <w:color w:val="auto"/>
        </w:rPr>
      </w:pPr>
    </w:p>
    <w:p>
      <w:pPr>
        <w:ind w:left="780" w:hanging="46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ventures may not perform financially or operationally as expected;</w:t>
      </w:r>
    </w:p>
    <w:p>
      <w:pPr>
        <w:spacing w:after="0" w:line="62" w:lineRule="exact"/>
        <w:rPr>
          <w:rFonts w:ascii="Times New Roman" w:cs="Times New Roman" w:eastAsia="Times New Roman" w:hAnsi="Times New Roman"/>
          <w:sz w:val="17"/>
          <w:szCs w:val="17"/>
          <w:color w:val="auto"/>
        </w:rPr>
      </w:pPr>
    </w:p>
    <w:p>
      <w:pPr>
        <w:ind w:left="780" w:hanging="467"/>
        <w:spacing w:after="0" w:line="284"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 values, project costs, sales absorption or other assumptions included in the development plans may cause the joint ventures’ operating results to be less than expected;</w:t>
      </w:r>
    </w:p>
    <w:p>
      <w:pPr>
        <w:spacing w:after="0" w:line="1"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ventures may not be able to obtain project loans on acceptable terms;</w:t>
      </w:r>
    </w:p>
    <w:p>
      <w:pPr>
        <w:spacing w:after="0" w:line="62" w:lineRule="exact"/>
        <w:rPr>
          <w:rFonts w:ascii="Times New Roman" w:cs="Times New Roman" w:eastAsia="Times New Roman" w:hAnsi="Times New Roman"/>
          <w:sz w:val="17"/>
          <w:szCs w:val="17"/>
          <w:color w:val="auto"/>
        </w:rPr>
      </w:pPr>
    </w:p>
    <w:p>
      <w:pPr>
        <w:ind w:left="780" w:hanging="467"/>
        <w:spacing w:after="0" w:line="284"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venture partners may not be able to provide capital to the joint ventures in the event external financing or project cash flows are not sufficient to finance the joint ventures’ operations;</w:t>
      </w:r>
    </w:p>
    <w:p>
      <w:pPr>
        <w:spacing w:after="0" w:line="1"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venture partners may not manage the project properly; and</w:t>
      </w:r>
    </w:p>
    <w:p>
      <w:pPr>
        <w:spacing w:after="0" w:line="62" w:lineRule="exact"/>
        <w:rPr>
          <w:rFonts w:ascii="Times New Roman" w:cs="Times New Roman" w:eastAsia="Times New Roman" w:hAnsi="Times New Roman"/>
          <w:sz w:val="17"/>
          <w:szCs w:val="17"/>
          <w:color w:val="auto"/>
        </w:rPr>
      </w:pPr>
    </w:p>
    <w:p>
      <w:pPr>
        <w:ind w:left="780" w:hanging="467"/>
        <w:spacing w:after="0" w:line="287"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could occur between the joint venture partners that could affect the operating results of the joint ventures or could result in a sale of a partner’s interest or the joint ventures at undesirable values.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other risks that could impact our ability to develop our land.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also encounter other difficulties in developing our land, including:</w:t>
      </w:r>
    </w:p>
    <w:p>
      <w:pPr>
        <w:spacing w:after="0" w:line="294" w:lineRule="exact"/>
        <w:rPr>
          <w:sz w:val="20"/>
          <w:szCs w:val="20"/>
          <w:color w:val="auto"/>
        </w:rPr>
      </w:pPr>
    </w:p>
    <w:p>
      <w:pPr>
        <w:ind w:left="780" w:hanging="46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risks, such as geological and soil problems, earthquakes, fire, heavy rains and flooding and heavy winds;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qualified trades people;</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local contractors, who may be inadequately capitalized;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materials;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cost of certain materials;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remediation costs.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 and Risks Related to Our Common Stock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highly competitive and we cannot assure you that we will maintain our current market share.</w:t>
      </w:r>
    </w:p>
    <w:p>
      <w:pPr>
        <w:spacing w:after="0" w:line="2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factors with respect to our competitors include the following:</w:t>
      </w:r>
    </w:p>
    <w:p>
      <w:pPr>
        <w:spacing w:after="0" w:line="294" w:lineRule="exact"/>
        <w:rPr>
          <w:sz w:val="20"/>
          <w:szCs w:val="20"/>
          <w:color w:val="auto"/>
        </w:rPr>
      </w:pPr>
    </w:p>
    <w:p>
      <w:pPr>
        <w:ind w:left="780" w:hanging="467"/>
        <w:spacing w:after="0" w:line="284" w:lineRule="auto"/>
        <w:tabs>
          <w:tab w:leader="none" w:pos="77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spacing w:after="0" w:line="1"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predict the pricing or promotional actions of our competitors or whether those actions will have a negative effect on us.</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Currency exchange fluctuation may impact the results of our operations.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distribute our products both nationally and internationally. Our international sales are primarily transacted in U.S. dollars. Our results of operations are affected by fluctuations in currency exchange rates in both sourcing and selling locations. In the past, periods of a strong U.S. dollar relative to other currencies have led international customers, particularly in Asia, to find alternative sources of fruit.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7"/>
          <w:szCs w:val="17"/>
          <w:i w:val="1"/>
          <w:iCs w:val="1"/>
          <w:color w:val="auto"/>
        </w:rPr>
        <w:t>.</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depend heavily on the services of our key management personnel. The loss of any key personnel could materially and adversely affect our results of operations or financial condition. Our success will also depend in part on our ability to attract and retain additional qualified management personnel.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can have a significant adverse effect on our operations.</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Inflation can have a major impact on our agribusiness operations. The farming operations are most affected by escalating costs and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and we cannot pass on cost increases caused by general inflation, except to the extent reflected in market conditions and commodity prices.</w:t>
      </w:r>
    </w:p>
    <w:p>
      <w:pPr>
        <w:spacing w:after="0" w:line="19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acquisition of other businesses could pose risks to our operating income.</w:t>
      </w:r>
    </w:p>
    <w:p>
      <w:pPr>
        <w:spacing w:after="0" w:line="2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continue to consider acquisition prospects that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value of our common stock could be volatile.</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There are numerous and varied risks, known and unknown, that may prevent us from achieving our goals. The risks described here are not the only ones we will face. If any of these risks or other risks actually occurs, our business, financial condition, results of operations or future prospects could be materially and adversely affected. In such event, the trading price of our common stock could decline and investors in our common stock could lose all or part of their investment.</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6" w:name="page27"/>
    <w:bookmarkEnd w:id="26"/>
    <w:p>
      <w:pPr>
        <w:ind w:left="780" w:hanging="467"/>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fluctuations in our operating results;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investors’ and analysts’ perception of the business risks and conditions of our business;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the earnings estimates and other performance expectations of financial analysts or investors;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commentary or downgrades of our stock by equity research analysts;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stock prices of our peer companies or in stock markets in general;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or political conditions.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Concentrated ownership of our common stock creates a risk of sudden change in our share price.</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October 31, 2022, directors and members of our executive management team beneficially owned or controlled approximately 3.2%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charter documents contain provisions that may delay, defer or prevent a change of control.</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Provisions of our certificate of incorporation and bylaws could make it more difficult for a third-party to acquire control of us, even if the change in control would be beneficial to stockholders. These provisions include the following:</w:t>
      </w:r>
    </w:p>
    <w:p>
      <w:pPr>
        <w:spacing w:after="0" w:line="229" w:lineRule="exact"/>
        <w:rPr>
          <w:sz w:val="20"/>
          <w:szCs w:val="20"/>
          <w:color w:val="auto"/>
        </w:rPr>
      </w:pPr>
    </w:p>
    <w:p>
      <w:pPr>
        <w:ind w:left="780" w:hanging="467"/>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division of our board of directors into three classes, with each class serving a staggered three-year term;</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removal of directors by stockholders by a supermajority of two-thirds of the outstanding shares;</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of the board of directors to authorize the issuance of preferred stock in series without stockholder approval; and</w:t>
      </w:r>
    </w:p>
    <w:p>
      <w:pPr>
        <w:spacing w:after="0" w:line="6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prohibitions on our stockholders that prevent them from acting by written consent and limitations on calling special meetings.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being a publicly traded company.</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Company with publicly traded securities, we have incurred, and will continue to incur, significant legal, accounting and other expenses.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own our corporate headquarters in Santa Paula, California. We own approximately 8,300 acres of farm land in California, 1,200 acres located in Yuma, Arizona, 3,500 acres in La Serena, Chile and 1,200 acres in Jujuy, Argentina. We also lease approximately 1,000 acres of land and have an interest in a partnership that owns approximately 200 acres of land. The land used for agricultural plantings consists of approximately 5,600 acres of lemons, approximately 900 acres of avocados, approximately 1,000 acres of oranges and approximately 1,000 acres of specialty citrus and other crops. Our agribusiness land holdings are summarized below as of October 31, 2022 (in thousands, except per acre amounts):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5880" w:type="dxa"/>
            <w:vAlign w:val="bottom"/>
            <w:gridSpan w:val="2"/>
            <w:vMerge w:val="restart"/>
          </w:tcPr>
          <w:p>
            <w:pPr>
              <w:ind w:left="2420"/>
              <w:spacing w:after="0"/>
              <w:rPr>
                <w:sz w:val="20"/>
                <w:szCs w:val="20"/>
                <w:color w:val="auto"/>
              </w:rPr>
            </w:pPr>
            <w:r>
              <w:rPr>
                <w:rFonts w:ascii="Times New Roman" w:cs="Times New Roman" w:eastAsia="Times New Roman" w:hAnsi="Times New Roman"/>
                <w:sz w:val="17"/>
                <w:szCs w:val="17"/>
                <w:b w:val="1"/>
                <w:bCs w:val="1"/>
                <w:color w:val="auto"/>
              </w:rPr>
              <w:t>Ranch Name</w:t>
            </w:r>
          </w:p>
        </w:tc>
        <w:tc>
          <w:tcPr>
            <w:tcW w:w="13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b w:val="1"/>
                <w:bCs w:val="1"/>
                <w:color w:val="auto"/>
              </w:rPr>
              <w:t>Acres</w:t>
            </w:r>
          </w:p>
        </w:tc>
        <w:tc>
          <w:tcPr>
            <w:tcW w:w="160" w:type="dxa"/>
            <w:vAlign w:val="bottom"/>
          </w:tcPr>
          <w:p>
            <w:pPr>
              <w:spacing w:after="0"/>
              <w:rPr>
                <w:sz w:val="17"/>
                <w:szCs w:val="17"/>
                <w:color w:val="auto"/>
              </w:rPr>
            </w:pPr>
          </w:p>
        </w:tc>
        <w:tc>
          <w:tcPr>
            <w:tcW w:w="112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Book Value</w:t>
            </w:r>
          </w:p>
        </w:tc>
        <w:tc>
          <w:tcPr>
            <w:tcW w:w="100" w:type="dxa"/>
            <w:vAlign w:val="bottom"/>
          </w:tcPr>
          <w:p>
            <w:pPr>
              <w:spacing w:after="0"/>
              <w:rPr>
                <w:sz w:val="17"/>
                <w:szCs w:val="17"/>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Acquisition Date</w:t>
            </w:r>
          </w:p>
        </w:tc>
        <w:tc>
          <w:tcPr>
            <w:tcW w:w="160" w:type="dxa"/>
            <w:vAlign w:val="bottom"/>
          </w:tcPr>
          <w:p>
            <w:pPr>
              <w:spacing w:after="0"/>
              <w:rPr>
                <w:sz w:val="17"/>
                <w:szCs w:val="17"/>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Book Value</w:t>
            </w:r>
          </w:p>
        </w:tc>
        <w:tc>
          <w:tcPr>
            <w:tcW w:w="0" w:type="dxa"/>
            <w:vAlign w:val="bottom"/>
          </w:tcPr>
          <w:p>
            <w:pPr>
              <w:spacing w:after="0"/>
              <w:rPr>
                <w:sz w:val="1"/>
                <w:szCs w:val="1"/>
                <w:color w:val="auto"/>
              </w:rPr>
            </w:pPr>
          </w:p>
        </w:tc>
      </w:tr>
      <w:tr>
        <w:trPr>
          <w:trHeight w:val="232"/>
        </w:trPr>
        <w:tc>
          <w:tcPr>
            <w:tcW w:w="588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 Acre</w:t>
            </w:r>
          </w:p>
        </w:tc>
        <w:tc>
          <w:tcPr>
            <w:tcW w:w="0" w:type="dxa"/>
            <w:vAlign w:val="bottom"/>
          </w:tcPr>
          <w:p>
            <w:pPr>
              <w:spacing w:after="0"/>
              <w:rPr>
                <w:sz w:val="1"/>
                <w:szCs w:val="1"/>
                <w:color w:val="auto"/>
              </w:rPr>
            </w:pPr>
          </w:p>
        </w:tc>
      </w:tr>
      <w:tr>
        <w:trPr>
          <w:trHeight w:val="212"/>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Limoneira/Olivelands Ranch</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1907, 1913, 1920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 Campana Ranch</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1964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Orchard Farm Ranch</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3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1990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Rancho La Cuesta Ranch</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1994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14,495</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Porterville Ranch</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6,427</w:t>
            </w:r>
          </w:p>
        </w:tc>
        <w:tc>
          <w:tcPr>
            <w:tcW w:w="13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1997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9,181</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Ducor Ranch</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6,223</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1997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6,914</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Jencks Ranch</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3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Windfall Farms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16,162</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23,089</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Stage Coach Ranch</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3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Martinez Ranch</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6,815</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Associated Citrus Packers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15,035</w:t>
            </w:r>
          </w:p>
        </w:tc>
        <w:tc>
          <w:tcPr>
            <w:tcW w:w="13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11,565</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Lemons 400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5,182</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6,478</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Sheldon Ranches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w:t>
            </w:r>
          </w:p>
        </w:tc>
        <w:tc>
          <w:tcPr>
            <w:tcW w:w="13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16,030</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Pan de Azucar</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11,461</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 Pablo</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5,586</w:t>
            </w:r>
          </w:p>
        </w:tc>
        <w:tc>
          <w:tcPr>
            <w:tcW w:w="13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Santa Clara</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8,600</w:t>
            </w:r>
          </w:p>
        </w:tc>
        <w:tc>
          <w:tcPr>
            <w:tcW w:w="13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7,167</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agribusiness land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various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87,140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book value of our agribusiness land holdings of approximately $87.1 million differs from the land balance of $87.6 million included in property, plant and equipment in the notes to the consolidated financial statements in Item 8 of this Annual Report. The table above presents our current land holdings in farming agribusiness operations.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own our packing facilities located in Santa Paula, California and Yuma, Arizona, where we process and pack our lemons as well as lemons for other growers. We have a 5.5 acre, one-megawatt ground-based photovoltaic solar generator and one-megawatt roof array, which provides the majority of the power to operate our packing facility. We also have a one-megawatt solar array that provides us with a majority of the electricity required to operate four deep water well pumps at one of our ranches in the San Joaquin Valley.</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own and maintain 257 residential units mainly in Ventura and Tulare Counties that we lease to our employees, former employees and outside tenants and we own several commercial office buildings and properties that are leased to various tenants.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own and have equity investments in real estate development property in the California County of Ventura. These properties are in various stages of development for up to approximately 900 residential units and approximately 811,000 square feet of commercial space.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Water and Mineral Rights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that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 acre feet of Class 3 Colorado River water rights. We use ground water provided by wells and surface water for our PDA and San Pablo farming operations in La Serena, Chile and our Trapani Fresh farming operations in Argentina.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7"/>
          <w:szCs w:val="17"/>
          <w:color w:val="auto"/>
        </w:rPr>
        <w:t>Our rights to extract groundwater from the Santa Paula Basin are governed by the Santa Paula Basin Judgment (the “Judgment”). The Judgment was entered into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Membership in the Association is governed by the Association's Bylaws.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California water resources include approximately 17,000 acre-feet of water affiliated with our owned properties, of which approximately 8,600 acre-feet are adjudicated. Our Yuma, Arizona water resources include approximately 11,700 acre-feet of water sourced from the Colorado River. We own shares in five not-for-profit mutual benefit water companies. Our investments in these water companies provide us with the right to receive a proportionate share of water from each of the water companies.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we are a party to various lawsuits, arbitrations or mediations that arise in the ordinary course of business. The disclosure called for by Part II, Item 3 regarding our legal proceedings is incorporated by reference herein from Note 17 – Commitments and Contingencies of the Notes to Consolidated Financial Statements in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November 30, 2022, there were approximately 226 registered holders of our common stock. The number of registered holders includes banks and brokers who act as nominees, each of whom may represent more than one stockholder.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3"/>
        </w:trPr>
        <w:tc>
          <w:tcPr>
            <w:tcW w:w="99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cash dividends per common share declared and paid in the periods shown.</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41"/>
        </w:trPr>
        <w:tc>
          <w:tcPr>
            <w:tcW w:w="99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Dividend</w:t>
            </w:r>
          </w:p>
        </w:tc>
      </w:tr>
      <w:tr>
        <w:trPr>
          <w:trHeight w:val="19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9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Fourth Quarter Ended October 31, 2022</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1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Ended July 31, 2022</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19"/>
        </w:trPr>
        <w:tc>
          <w:tcPr>
            <w:tcW w:w="9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Second Quarter Ended April 30, 2022</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1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Ended January 31, 2022</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19"/>
        </w:trPr>
        <w:tc>
          <w:tcPr>
            <w:tcW w:w="9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Fourth Quarter Ended October 31, 2021</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19"/>
        </w:trPr>
        <w:tc>
          <w:tcPr>
            <w:tcW w:w="9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Quarter Ended July 31, 2021</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1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Ended April 30, 2021</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23"/>
        </w:trPr>
        <w:tc>
          <w:tcPr>
            <w:tcW w:w="9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First Quarter Ended January 31, 2021</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0.075</w:t>
            </w:r>
          </w:p>
        </w:tc>
      </w:tr>
    </w:tbl>
    <w:p>
      <w:pPr>
        <w:spacing w:after="0" w:line="2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December 2022, we declared our quarterly dividend of $0.075 per common share and we expect to continue to pay quarterly dividends at a similar rate to the extent permitted by the financial results of our business and other factors beyond management’s control.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19685</wp:posOffset>
            </wp:positionV>
            <wp:extent cx="4093210" cy="409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93210" cy="409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Issuer and Affiliated Purchasers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 Number (or</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 of Shares</w:t>
            </w: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80"/>
        </w:trPr>
        <w:tc>
          <w:tcPr>
            <w:tcW w:w="4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Value) of Shares that</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7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20" w:type="dxa"/>
            <w:vAlign w:val="bottom"/>
          </w:tcPr>
          <w:p>
            <w:pPr>
              <w:spacing w:after="0"/>
              <w:rPr>
                <w:sz w:val="14"/>
                <w:szCs w:val="14"/>
                <w:color w:val="auto"/>
              </w:rPr>
            </w:pPr>
          </w:p>
        </w:tc>
        <w:tc>
          <w:tcPr>
            <w:tcW w:w="1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8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Purchased as Part of</w:t>
            </w: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May Yet Be Purchased</w:t>
            </w:r>
          </w:p>
        </w:tc>
        <w:tc>
          <w:tcPr>
            <w:tcW w:w="0" w:type="dxa"/>
            <w:vAlign w:val="bottom"/>
          </w:tcPr>
          <w:p>
            <w:pPr>
              <w:spacing w:after="0"/>
              <w:rPr>
                <w:sz w:val="1"/>
                <w:szCs w:val="1"/>
                <w:color w:val="auto"/>
              </w:rPr>
            </w:pPr>
          </w:p>
        </w:tc>
      </w:tr>
      <w:tr>
        <w:trPr>
          <w:trHeight w:val="168"/>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8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Under the Plans or</w:t>
            </w:r>
          </w:p>
        </w:tc>
        <w:tc>
          <w:tcPr>
            <w:tcW w:w="0" w:type="dxa"/>
            <w:vAlign w:val="bottom"/>
          </w:tcPr>
          <w:p>
            <w:pPr>
              <w:spacing w:after="0"/>
              <w:rPr>
                <w:sz w:val="1"/>
                <w:szCs w:val="1"/>
                <w:color w:val="auto"/>
              </w:rPr>
            </w:pPr>
          </w:p>
        </w:tc>
      </w:tr>
      <w:tr>
        <w:trPr>
          <w:trHeight w:val="232"/>
        </w:trPr>
        <w:tc>
          <w:tcPr>
            <w:tcW w:w="4180" w:type="dxa"/>
            <w:vAlign w:val="bottom"/>
            <w:tcBorders>
              <w:bottom w:val="single" w:sz="8" w:color="auto"/>
            </w:tcBorders>
            <w:vMerge w:val="continue"/>
          </w:tcPr>
          <w:p>
            <w:pPr>
              <w:spacing w:after="0"/>
              <w:rPr>
                <w:sz w:val="20"/>
                <w:szCs w:val="20"/>
                <w:color w:val="auto"/>
              </w:rPr>
            </w:pPr>
          </w:p>
        </w:tc>
        <w:tc>
          <w:tcPr>
            <w:tcW w:w="1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Shares Purchased(1)</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Price Paid per Share</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Plans or Programs(2)</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Programs(2)</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1, 2022 through August 31, 2022</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1, 2022 through September 30, 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2022 through October 31,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180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37,236</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7"/>
                <w:szCs w:val="17"/>
                <w:b w:val="1"/>
                <w:bCs w:val="1"/>
                <w:color w:val="auto"/>
              </w:rPr>
              <w:t>—</w:t>
            </w:r>
          </w:p>
        </w:tc>
        <w:tc>
          <w:tcPr>
            <w:tcW w:w="1760" w:type="dxa"/>
            <w:vAlign w:val="bottom"/>
          </w:tcPr>
          <w:p>
            <w:pPr>
              <w:ind w:left="15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firstLine="3"/>
        <w:spacing w:after="0" w:line="287" w:lineRule="auto"/>
        <w:tabs>
          <w:tab w:leader="none" w:pos="24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were acquired from our employees in accordance with our stock-based compensation plan as a result of share withholdings to pay income tax related to the vesting and distribution of restricted stock awards.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1" w:name="page32"/>
    <w:bookmarkEnd w:id="31"/>
    <w:p>
      <w:pPr>
        <w:jc w:val="both"/>
        <w:ind w:firstLine="3"/>
        <w:spacing w:after="0" w:line="270" w:lineRule="auto"/>
        <w:tabs>
          <w:tab w:leader="none" w:pos="2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year 2021, our Company's Board of Directors approved a share repurchase program authorizing us to repurchase up to $10.0 million of our outstanding shares of common stock through September 2022. No shares have been repurchased under this program. As of October 31, 2022, the program has expired and there is no remaining authorization under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our consolidated financial statements and the accompanying Notes to Consolidated Financial Statements (Part II, Item 8 of this Form 10-K).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 on Form 10-K. This section generally discusses the results of operations for fiscal year 2022 compared to fiscal year 2021. For discussion related to the results of operations and changes in financial condition for fiscal year 2021 compared to fiscal year 2020 refer to Part II, Item 7, Management's Discussion and Analysis of Financial Condition and Results of Operations in our fiscal year 2021 Form 10-K, which was filed with the United States Securities and Exchange Commission (SEC) on January 10,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citrus sales operations. The rental operations division includes our residential and commercial rentals comprised of 257 completed rental units,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As real estate developments are monetized, our agriculture business will then be able to expand more rapidly into new regions and 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 – Refer to Part I, Item 1 “Fiscal Year 2022 Highlights and Recent Developments”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7"/>
        </w:trPr>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13"/>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shows the results of operations for ($ in thousands):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1"/>
        </w:trPr>
        <w:tc>
          <w:tcPr>
            <w:tcW w:w="5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2"/>
        </w:trPr>
        <w:tc>
          <w:tcPr>
            <w:tcW w:w="5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Agribusiness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179,281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161,381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159,937</w:t>
            </w:r>
          </w:p>
        </w:tc>
        <w:tc>
          <w:tcPr>
            <w:tcW w:w="8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97%</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operations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w:t>
            </w:r>
          </w:p>
        </w:tc>
        <w:tc>
          <w:tcPr>
            <w:tcW w:w="8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8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3%</w:t>
            </w: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revenues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184,605</w:t>
            </w:r>
          </w:p>
        </w:tc>
        <w:tc>
          <w:tcPr>
            <w:tcW w:w="8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166,027</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164,559</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Agribusiness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160,651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148,492</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157,281</w:t>
            </w:r>
          </w:p>
        </w:tc>
        <w:tc>
          <w:tcPr>
            <w:tcW w:w="8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86%</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operations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w:t>
            </w:r>
          </w:p>
        </w:tc>
        <w:tc>
          <w:tcPr>
            <w:tcW w:w="8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w:t>
            </w:r>
          </w:p>
        </w:tc>
        <w:tc>
          <w:tcPr>
            <w:tcW w:w="8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2%</w:t>
            </w: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21,815</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19,427</w:t>
            </w:r>
          </w:p>
        </w:tc>
        <w:tc>
          <w:tcPr>
            <w:tcW w:w="8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21,280</w:t>
            </w:r>
          </w:p>
        </w:tc>
        <w:tc>
          <w:tcPr>
            <w:tcW w:w="8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12%</w:t>
            </w: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182,404</w:t>
            </w:r>
          </w:p>
        </w:tc>
        <w:tc>
          <w:tcPr>
            <w:tcW w:w="8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172,360</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183,567</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Agribusiness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operations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 of patronage dividends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earnings of investments, net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stock in Calavo Growers, Inc.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 (provision) benefit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Limoneira Company</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loss on stock in Calavo Growers, Inc. ("Calavo"), named executive officer cash severance, pension settlement cost and (gain) loss on disposal of assets, is an important measure to evaluate our results of operations between periods on a more comparable basis. Adjusted EBITDA in previous periods did not exclude stock-based compensation which has now been excluded as management believes this is a better representation of cash generated by operations and is consistent with peer company reporting.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4" w:name="page35"/>
    <w:bookmarkEnd w:id="34"/>
    <w:p>
      <w:pPr>
        <w:spacing w:after="0" w:line="287" w:lineRule="auto"/>
        <w:rPr>
          <w:sz w:val="20"/>
          <w:szCs w:val="20"/>
          <w:color w:val="auto"/>
        </w:rPr>
      </w:pPr>
      <w:r>
        <w:rPr>
          <w:rFonts w:ascii="Times New Roman" w:cs="Times New Roman" w:eastAsia="Times New Roman" w:hAnsi="Times New Roman"/>
          <w:sz w:val="17"/>
          <w:szCs w:val="17"/>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920" w:type="dxa"/>
            <w:vAlign w:val="bottom"/>
            <w:tcBorders>
              <w:bottom w:val="single" w:sz="8" w:color="auto"/>
            </w:tcBorders>
          </w:tcPr>
          <w:p>
            <w:pPr>
              <w:spacing w:after="0"/>
              <w:rPr>
                <w:sz w:val="19"/>
                <w:szCs w:val="19"/>
                <w:color w:val="auto"/>
              </w:rPr>
            </w:pPr>
          </w:p>
        </w:tc>
      </w:tr>
      <w:tr>
        <w:trPr>
          <w:trHeight w:val="212"/>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Limoneira Company</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w:t>
            </w:r>
          </w:p>
        </w:tc>
      </w:tr>
      <w:tr>
        <w:trPr>
          <w:trHeight w:val="21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 of patronage dividends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21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(8,494)</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10,097</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(13,146)</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1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stock in Calavo Growers, Inc.</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6,299</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Named executive officer cash 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settlement cost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(4,301)</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2022 Compared to Fiscal Year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Total revenues for fiscal year 2022 were $184.6 million compared to $166.0 million for fiscal year 2021. The 11% increase of $18.6 million was primarily the result of increased avocados, oranges and specialty citrus and other crops agribusiness revenues, as detailed below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gridSpan w:val="10"/>
          </w:tcPr>
          <w:p>
            <w:pPr>
              <w:ind w:left="340"/>
              <w:spacing w:after="0"/>
              <w:rPr>
                <w:sz w:val="20"/>
                <w:szCs w:val="20"/>
                <w:color w:val="auto"/>
              </w:rPr>
            </w:pPr>
            <w:r>
              <w:rPr>
                <w:rFonts w:ascii="Times New Roman" w:cs="Times New Roman" w:eastAsia="Times New Roman" w:hAnsi="Times New Roman"/>
                <w:sz w:val="17"/>
                <w:szCs w:val="17"/>
                <w:b w:val="1"/>
                <w:bCs w:val="1"/>
                <w:color w:val="auto"/>
              </w:rPr>
              <w:t>Agribusiness Revenues for the Years Ended October 31,</w:t>
            </w:r>
          </w:p>
        </w:tc>
      </w:tr>
      <w:tr>
        <w:trPr>
          <w:trHeight w:val="212"/>
        </w:trPr>
        <w:tc>
          <w:tcPr>
            <w:tcW w:w="5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20" w:type="dxa"/>
            <w:vAlign w:val="bottom"/>
            <w:tcBorders>
              <w:bottom w:val="single" w:sz="8" w:color="auto"/>
            </w:tcBorders>
          </w:tcPr>
          <w:p>
            <w:pPr>
              <w:spacing w:after="0"/>
              <w:rPr>
                <w:sz w:val="18"/>
                <w:szCs w:val="18"/>
                <w:color w:val="auto"/>
              </w:rPr>
            </w:pPr>
          </w:p>
        </w:tc>
      </w:tr>
      <w:tr>
        <w:trPr>
          <w:trHeight w:val="21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Lemons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Avocados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Oranges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7"/>
                <w:szCs w:val="17"/>
                <w:color w:val="auto"/>
              </w:rPr>
              <w:t>126%</w:t>
            </w:r>
          </w:p>
        </w:tc>
      </w:tr>
      <w:tr>
        <w:trPr>
          <w:trHeight w:val="21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Specialty citrus and other crops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color w:val="auto"/>
              </w:rPr>
              <w:t>24%</w:t>
            </w:r>
          </w:p>
        </w:tc>
      </w:tr>
      <w:tr>
        <w:trPr>
          <w:trHeight w:val="237"/>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Agribusiness revenues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161,381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right="254"/>
              <w:spacing w:after="0"/>
              <w:rPr>
                <w:sz w:val="20"/>
                <w:szCs w:val="20"/>
                <w:color w:val="auto"/>
              </w:rPr>
            </w:pPr>
            <w:r>
              <w:rPr>
                <w:rFonts w:ascii="Times New Roman" w:cs="Times New Roman" w:eastAsia="Times New Roman" w:hAnsi="Times New Roman"/>
                <w:sz w:val="17"/>
                <w:szCs w:val="17"/>
                <w:color w:val="auto"/>
                <w:w w:val="96"/>
              </w:rPr>
              <w:t>11%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320" w:hanging="317"/>
        <w:spacing w:after="0" w:line="264" w:lineRule="auto"/>
        <w:tabs>
          <w:tab w:leader="none" w:pos="3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Lemons: Lemon revenues in fiscal year 2022 were similar to fiscal year 2021. During fiscal years 2022 and 2021, fresh lemon sales were $92.9 million and $85.9 million on 4.9 million and 4.4 million cartons of fresh lemons packed and sold at average per carton prices of $18.77 and $19.60, respectively. Lemon revenues in fiscal years 2022 and 2021 included brokered fruit and other lemon sales of $24.5 million and $36.0 million, respectively, shipping and handling of $22.2 million and $17.5 million, respectively, and lemon by-products of $3.5 million in both fiscal years.</w:t>
      </w:r>
    </w:p>
    <w:p>
      <w:pPr>
        <w:spacing w:after="0" w:line="197" w:lineRule="exact"/>
        <w:rPr>
          <w:rFonts w:ascii="Times New Roman" w:cs="Times New Roman" w:eastAsia="Times New Roman" w:hAnsi="Times New Roman"/>
          <w:sz w:val="17"/>
          <w:szCs w:val="17"/>
          <w:color w:val="auto"/>
        </w:rPr>
      </w:pPr>
    </w:p>
    <w:p>
      <w:pPr>
        <w:jc w:val="both"/>
        <w:ind w:left="320" w:hanging="317"/>
        <w:spacing w:after="0" w:line="264" w:lineRule="auto"/>
        <w:tabs>
          <w:tab w:leader="none" w:pos="3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Avocados: The increase in fiscal year 2022 was primarily the result of increased volume and higher prices of avocados sold compared to fiscal year 2021. The California avocado crop typically experiences alternating years of high and low production due to plant physiology. During fiscal years 2022 and 2021, 8.2 million and 5.7 million pounds of avocados were sold at average per pound prices of $2.08 and $1.20, respectively. Higher prices in fiscal year 2022 were primarily related to lower supply of fruit in the marketplace.</w:t>
      </w:r>
    </w:p>
    <w:p>
      <w:pPr>
        <w:spacing w:after="0" w:line="197"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Oranges: The increase in fiscal year 2022 was primarily due to increased brokered fruit sales and higher prices compared to fiscal year 2021. Orange revenues in fiscal year 2022 included brokered fruit sales of $5.0 million, compared to immaterial brokered fruit sales in fiscal year 2021, sold at average per carton prices of $14.66 and $8.04, respectively.</w:t>
      </w:r>
    </w:p>
    <w:p>
      <w:pPr>
        <w:spacing w:after="0" w:line="191"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citrus and other crops: The increase in fiscal year 2022 was primarily due to increased brokered fruit sales and higher prices of specialty citrus sold compared to fiscal year 2021. Specialty citrus revenues in fiscal year 2022 included brokered fruit sales of $2.9 million, compared to immaterial brokered fruit sales in 2021, sold at an average per carton price of $13.22 and $11.20, respectively.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Other operations revenue in fiscal year 2022 and 2021 was $5.3 million and $4.6 million,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and Expenses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Total costs and expenses for fiscal year 2022 were $182.4 million compared to $172.4 million for fiscal year 2021. This 6% increase of $10.0 million was primarily attributable to increases in our agribusiness costs and selling, general and administrative expenses, partially offset by an increase in gain on disposal of assets. Costs associated with our agribusiness division include packing costs, harvest costs, growing costs, costs related to the lemons we procure from third-party growers and suppliers and depreciation and amortization expense. These costs are discussed further below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10"/>
          </w:tcPr>
          <w:p>
            <w:pPr>
              <w:ind w:left="540"/>
              <w:spacing w:after="0"/>
              <w:rPr>
                <w:sz w:val="20"/>
                <w:szCs w:val="20"/>
                <w:color w:val="auto"/>
              </w:rPr>
            </w:pPr>
            <w:r>
              <w:rPr>
                <w:rFonts w:ascii="Times New Roman" w:cs="Times New Roman" w:eastAsia="Times New Roman" w:hAnsi="Times New Roman"/>
                <w:sz w:val="17"/>
                <w:szCs w:val="17"/>
                <w:b w:val="1"/>
                <w:bCs w:val="1"/>
                <w:color w:val="auto"/>
              </w:rPr>
              <w:t>Agribusiness Costs and Expenses for the Years Ended October 31,</w:t>
            </w:r>
          </w:p>
        </w:tc>
      </w:tr>
      <w:tr>
        <w:trPr>
          <w:trHeight w:val="212"/>
        </w:trPr>
        <w:tc>
          <w:tcPr>
            <w:tcW w:w="4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60" w:type="dxa"/>
            <w:vAlign w:val="bottom"/>
            <w:tcBorders>
              <w:bottom w:val="single" w:sz="8" w:color="auto"/>
            </w:tcBorders>
          </w:tcPr>
          <w:p>
            <w:pPr>
              <w:spacing w:after="0"/>
              <w:rPr>
                <w:sz w:val="18"/>
                <w:szCs w:val="18"/>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Packing costs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34"/>
              <w:spacing w:after="0"/>
              <w:rPr>
                <w:sz w:val="20"/>
                <w:szCs w:val="20"/>
                <w:color w:val="auto"/>
              </w:rPr>
            </w:pPr>
            <w:r>
              <w:rPr>
                <w:rFonts w:ascii="Times New Roman" w:cs="Times New Roman" w:eastAsia="Times New Roman" w:hAnsi="Times New Roman"/>
                <w:sz w:val="17"/>
                <w:szCs w:val="17"/>
                <w:color w:val="auto"/>
                <w:w w:val="96"/>
              </w:rPr>
              <w:t>17%</w:t>
            </w: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Harvest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w w:val="96"/>
              </w:rPr>
              <w:t>21%</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Growing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334"/>
              <w:spacing w:after="0"/>
              <w:rPr>
                <w:sz w:val="20"/>
                <w:szCs w:val="20"/>
                <w:color w:val="auto"/>
              </w:rPr>
            </w:pPr>
            <w:r>
              <w:rPr>
                <w:rFonts w:ascii="Times New Roman" w:cs="Times New Roman" w:eastAsia="Times New Roman" w:hAnsi="Times New Roman"/>
                <w:sz w:val="17"/>
                <w:szCs w:val="17"/>
                <w:color w:val="auto"/>
                <w:w w:val="99"/>
              </w:rPr>
              <w:t>(3)%</w:t>
            </w: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Third-party grower and supplier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56,690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w w:val="96"/>
              </w:rPr>
              <w:t>5%</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8,626</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right="334"/>
              <w:spacing w:after="0"/>
              <w:rPr>
                <w:sz w:val="20"/>
                <w:szCs w:val="20"/>
                <w:color w:val="auto"/>
              </w:rPr>
            </w:pPr>
            <w:r>
              <w:rPr>
                <w:rFonts w:ascii="Times New Roman" w:cs="Times New Roman" w:eastAsia="Times New Roman" w:hAnsi="Times New Roman"/>
                <w:sz w:val="17"/>
                <w:szCs w:val="17"/>
                <w:color w:val="auto"/>
                <w:w w:val="96"/>
              </w:rPr>
              <w:t>—%</w:t>
            </w: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Agribusiness costs and expenses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148,492</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color w:val="auto"/>
                <w:w w:val="96"/>
              </w:rPr>
              <w:t>8%</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320" w:hanging="317"/>
        <w:spacing w:after="0" w:line="258" w:lineRule="auto"/>
        <w:tabs>
          <w:tab w:leader="none" w:pos="3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Packing costs: Packing costs consist of the costs to pack lemons for sale such as labor and benefits, cardboard cartons, fruit treatments, packing and shipping supplies and facility operating costs. Lemon packing costs were $43.0 million and $36.0 million in fiscal years 2022 and 2021, respectively. The increase in fiscal year 2022 was primarily attributable to increased volume of fresh lemons packed and sold and higher average per carton costs compared to fiscal year 2021. In fiscal years 2022 and 2021, we packed and sold 4.9 million and 4.4 million cartons of lemons at average per carton costs of $8.69 and $8.22, respectively. The increase in average per carton costs in fiscal year 2022, compared to fiscal year 2021, was primarily due to higher costs in labor and benefits, fruit treatments, cardboard cartons and packing and shipping supplies. Additionally, in fiscal years 2022 and 2021, packing costs included $2.4 million and $2.7 million of shipping costs, respectively.</w:t>
      </w:r>
    </w:p>
    <w:p>
      <w:pPr>
        <w:spacing w:after="0" w:line="204"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Harvest costs: The increase in fiscal year 2022 was primarily attributable to increased volume of lemons and avocados harvested compared to fiscal year 2021.</w:t>
      </w:r>
    </w:p>
    <w:p>
      <w:pPr>
        <w:spacing w:after="0" w:line="242"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Growing costs: Growing costs, also referred to as cultural costs, consist of orchard maintenance costs such as cultivation, fertilization and soil amendments, pest control, pruning and irrigation. The decrease in fiscal year 2022, compared to fiscal year 2021, reflects farm management decisions based on weather, harvest timing and crop conditions.</w:t>
      </w:r>
    </w:p>
    <w:p>
      <w:pPr>
        <w:spacing w:after="0" w:line="191" w:lineRule="exact"/>
        <w:rPr>
          <w:rFonts w:ascii="Times New Roman" w:cs="Times New Roman" w:eastAsia="Times New Roman" w:hAnsi="Times New Roman"/>
          <w:sz w:val="17"/>
          <w:szCs w:val="17"/>
          <w:color w:val="auto"/>
        </w:rPr>
      </w:pPr>
    </w:p>
    <w:p>
      <w:pPr>
        <w:jc w:val="both"/>
        <w:ind w:left="320" w:hanging="317"/>
        <w:spacing w:after="0" w:line="260" w:lineRule="auto"/>
        <w:tabs>
          <w:tab w:leader="none" w:pos="3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grower and supplier costs: We sell fruit that we grow and fruit that we procure from other growers and suppliers. The cost of procuring fruit from others is referred to as third-party grower and supplier costs. The increase in fiscal year 2022 was primarily due to increased volume of fruit procured from third-party growers and suppliers compared to fiscal year 2021. In fiscal years 2022 and 2021, costs for purchased, packed fruit for resale increased by $0.9 million; we incurred costs of $26.2 million and $25.2 million, respectively. During fiscal years 2022 and 2021, of the 4.9 million and 4.4 million lemon cartons sold, 2.6 million (52%) and 2.3 million (52%) were procured from third-party growers and suppliers at average per carton prices of $13.03 and $13.83, respectively: an increase of $1.9 million.</w:t>
      </w:r>
    </w:p>
    <w:p>
      <w:pPr>
        <w:spacing w:after="0" w:line="19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Depreciation and amortization expense in fiscal year 2022 was similar compared to fiscal year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operations expenses for fiscal years 2022 and 2021 were $4.4 million and $4.3 million, respectively.</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(Gain) loss on disposal of assets for fiscal years 2022 and 2021 were $(4.5) million and $0.1 million, respectively. The change is primarily due to sales of East Area I Retained Property and Oxnard Lemon packing facility in fiscal year 2022.</w:t>
      </w:r>
    </w:p>
    <w:p>
      <w:pPr>
        <w:spacing w:after="0" w:line="1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Selling, general and administrative expenses for fiscal year 2022 were $21.8 million compared to $19.4 million for fiscal year 2021. The $2.4 million increase was primarily the result of:</w:t>
      </w:r>
    </w:p>
    <w:p>
      <w:pPr>
        <w:spacing w:after="0" w:line="203"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increase in salaries, benefits and incentive compensation;</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$0.8 million increase in named executive officer severance;</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$0.4 million increase in selling expenses;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 w:name="page37"/>
    <w:bookmarkEnd w:id="36"/>
    <w:p>
      <w:pPr>
        <w:ind w:left="300" w:hanging="297"/>
        <w:spacing w:after="0"/>
        <w:tabs>
          <w:tab w:leader="none" w:pos="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$0.2 million increase in other selling, general and administrative expenses, including certain corporate overhead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Other (expense) income, for fiscal year 2022 was $(1.9) million compared to $2.2 million for fiscal year 2021. The $4.0 million increase in other expenses was primarily the result of:</w:t>
      </w:r>
    </w:p>
    <w:p>
      <w:pPr>
        <w:spacing w:after="0" w:line="203" w:lineRule="exact"/>
        <w:rPr>
          <w:sz w:val="20"/>
          <w:szCs w:val="20"/>
          <w:color w:val="auto"/>
        </w:rPr>
      </w:pPr>
    </w:p>
    <w:p>
      <w:pPr>
        <w:ind w:left="300" w:hanging="297"/>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$0.8 million increase in interest expense, net as a result of increased interest rates;</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 million decrease in equity in earnings of investments primarily from LLCB; and</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increase in other expenses primarily from pension expense and pension settlement cost.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recorded for fiscal years 2022 and 2021 income tax (provision) benefit of $(0.8) million and $0.3 million on pre-tax income (loss) of $0.3 million and $(4.2) million, respectively. The tax provision recorded for fiscal year 2022 differs from the U.S. federal statutory tax rate of 21% due primarily to foreign jurisdictions which are taxed at different rates, state taxes, tax impact of stock-based compensation, nondeductible tax items and valuation allowances on certain deferred tax assets of foreign subsidiaries. Our effective tax rate for fiscal years 2022 and 2021 was 234.8% and 6.4%,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Attributable to Noncontrolling Interest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attributable to noncontrolling interest primarily represents 10% and 49% of the net losses of PDA and Trapani Fresh,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20 - Segment Information for additional information regarding our operating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fiscal year 2022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Fresh</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Lemon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3"/>
        </w:trPr>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Lemons</w:t>
            </w: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Packing</w:t>
            </w: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Avocados</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220" w:type="dxa"/>
            <w:vAlign w:val="bottom"/>
          </w:tcPr>
          <w:p>
            <w:pPr>
              <w:spacing w:after="0"/>
              <w:rPr>
                <w:sz w:val="15"/>
                <w:szCs w:val="15"/>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184,605</w:t>
            </w:r>
          </w:p>
        </w:tc>
      </w:tr>
      <w:tr>
        <w:trPr>
          <w:trHeight w:val="18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184,605</w:t>
            </w:r>
          </w:p>
        </w:tc>
      </w:tr>
      <w:tr>
        <w:trPr>
          <w:trHeight w:val="18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172,606</w:t>
            </w:r>
          </w:p>
        </w:tc>
      </w:tr>
      <w:tr>
        <w:trPr>
          <w:trHeight w:val="20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w:t>
            </w:r>
          </w:p>
        </w:tc>
      </w:tr>
      <w:tr>
        <w:trPr>
          <w:trHeight w:val="18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w:t>
            </w:r>
          </w:p>
        </w:tc>
      </w:tr>
      <w:tr>
        <w:trPr>
          <w:trHeight w:val="20"/>
        </w:trPr>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fiscal year 2021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Fresh</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Lemon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3"/>
        </w:trPr>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Lemons</w:t>
            </w: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Packing</w:t>
            </w: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Avocados</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220" w:type="dxa"/>
            <w:vAlign w:val="bottom"/>
          </w:tcPr>
          <w:p>
            <w:pPr>
              <w:spacing w:after="0"/>
              <w:rPr>
                <w:sz w:val="15"/>
                <w:szCs w:val="15"/>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166,027</w:t>
            </w:r>
          </w:p>
        </w:tc>
      </w:tr>
      <w:tr>
        <w:trPr>
          <w:trHeight w:val="18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166,027</w:t>
            </w:r>
          </w:p>
        </w:tc>
      </w:tr>
      <w:tr>
        <w:trPr>
          <w:trHeight w:val="18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162,548</w:t>
            </w:r>
          </w:p>
        </w:tc>
      </w:tr>
      <w:tr>
        <w:trPr>
          <w:trHeight w:val="20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r>
      <w:tr>
        <w:trPr>
          <w:trHeight w:val="18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(6,333)</w:t>
            </w:r>
          </w:p>
        </w:tc>
      </w:tr>
      <w:tr>
        <w:trPr>
          <w:trHeight w:val="20"/>
        </w:trPr>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Fiscal Year 2022 Segment Information Compared to Fiscal Year 2021 Segment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following analysis should be read in conjunction with the previous section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Fresh Lemons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Fresh lemons segment revenue is comprised of sales of fresh lemons, lemon by-products, brokered fruit and other lemon revenue. For fiscal year 2022, our fresh lemons segment revenue was $120.9 million compared to $125.4 million for fiscal year 2021. The 4% decrease of $4.5 million was primarily the result of decreased brokered lemon sales, partially offset by increased fresh lemon sales, as discussed earlier.</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Costs and expenses associated with our fresh lemons segment include harvest costs, growing costs, cost of fruit we procure from third-party growers and suppliers, transportation costs and packing service charges incurred from the lemon packing segment to pack lemons for sale. For fiscal year 2022, our fresh lemon costs and expenses were $115.1 million compared to $116.1 million for fiscal year 2021. The 1% decrease of $1.0 million primarily consisted of the following:</w:t>
      </w:r>
    </w:p>
    <w:p>
      <w:pPr>
        <w:spacing w:after="0" w:line="217" w:lineRule="exact"/>
        <w:rPr>
          <w:sz w:val="20"/>
          <w:szCs w:val="20"/>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Harvest costs for fiscal year 2022 were $2.9 million higher than fiscal year 2021;</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Growing costs for fiscal year 2022 were $2.2 million lower than fiscal year 2021;</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grower and supplier costs for fiscal year 2022 were $5.6 million lower than fiscal year 2021;</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Transportation costs for fiscal year 2022 were $0.3 million lower than fiscal year 2021; and</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Intersegment costs and expenses for fiscal year 2022 were $4.2 million higher than fiscal year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Lemon Packing</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Lemon packing segment revenue is comprised of intersegment packing revenue and shipping and handling revenue. For fiscal year 2022, our lemon packing segment revenue was $52.0 million compared to $43.2 million for fiscal year 2021. The 20% increase of $8.8 million was primarily due to increased volume of lemons packed.</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Costs and expenses associated with our lemon packing segment consist of the cost to pack lemons for sale such as labor and benefits, cardboard cartons, fruit treatments, packing and shipping supplies and facility operating costs. For fiscal year 2022, our lemon packing costs and expenses were $43.0 million compared to $36.0 million for fiscal year 2021. The 19% increase of $7.0 million was primarily due to increased volume of lemons packed and higher costs in labor and benefits, cardboard cartons, fruit treatments and packing and shipping supplies.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Lemon packing segment operating income per carton sold was $1.81 and $1.63 for fiscal years 2022 and 2021, respectively.</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lemon packing segment included $29.8 million and $25.6 million of intersegment revenues for fiscal years 2022 and 2021, respectively, which were charged to the fresh lemons segment to pack lemons for sale. Such intersegment revenues and expenses are eliminated in our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Avocados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fiscal year 2022, our avocados segment revenue was $17.3 million compared to $6.8 million for fiscal year 2021, a 155% increase of $10.5 million.</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 and expenses associated with our avocados segment include harvest costs and growing costs. For fiscal year 2022, our avocado costs and expenses were $5.5 million compared to $4.2 million for fiscal year 2021. The 31% increase of $1.3 million primarily consisted of the following:</w:t>
      </w:r>
    </w:p>
    <w:p>
      <w:pPr>
        <w:spacing w:after="0" w:line="229" w:lineRule="exact"/>
        <w:rPr>
          <w:sz w:val="20"/>
          <w:szCs w:val="20"/>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Harvest costs for fiscal year 2022 were $1.0 million higher than fiscal year 2021; and</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Growing costs for fiscal year 2022 were $0.3 million higher than fiscal year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Agribusiness</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For fiscal year 2022, our other agribusiness segment revenue was $18.9 million compared to $11.6 million for fiscal year 2021. The 62% increase of $7.3 million primarily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8" w:name="page39"/>
    <w:bookmarkEnd w:id="38"/>
    <w:p>
      <w:pPr>
        <w:ind w:left="300" w:hanging="297"/>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Orange revenue for fiscal year 2022 was $5.5 million higher than fiscal year 2021; and</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citrus and other crop revenue for fiscal year 2022 was $1.7 million higher than fiscal year 2021.</w:t>
      </w:r>
    </w:p>
    <w:p>
      <w:pPr>
        <w:spacing w:after="0" w:line="3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Costs and expenses associated with our other agribusiness segment include harvest, growing and brokered fruit costs. Our other agribusiness costs and expenses for fiscal year 2022 were $18.2 million compared to $9.2 million for fiscal year 2021. The 99% increase of $9.0 million primarily consisted of the following:</w:t>
      </w:r>
    </w:p>
    <w:p>
      <w:pPr>
        <w:spacing w:after="0" w:line="280" w:lineRule="exact"/>
        <w:rPr>
          <w:sz w:val="20"/>
          <w:szCs w:val="20"/>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Harvest costs for fiscal year 2022 were $0.4 million lower than fiscal year 2021;</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Growing costs for fiscal year 2022 were $0.9 million higher than fiscal year 2021; and</w:t>
      </w:r>
    </w:p>
    <w:p>
      <w:pPr>
        <w:spacing w:after="0" w:line="62" w:lineRule="exact"/>
        <w:rPr>
          <w:rFonts w:ascii="Times New Roman" w:cs="Times New Roman" w:eastAsia="Times New Roman" w:hAnsi="Times New Roman"/>
          <w:sz w:val="17"/>
          <w:szCs w:val="17"/>
          <w:color w:val="auto"/>
        </w:rPr>
      </w:pPr>
    </w:p>
    <w:p>
      <w:pPr>
        <w:ind w:right="4540" w:firstLine="3"/>
        <w:spacing w:after="0" w:line="287" w:lineRule="auto"/>
        <w:tabs>
          <w:tab w:leader="none" w:pos="30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Brokered fruit costs for fiscal year 2022 were $8.5 million higher than fiscal year 2021. Total agribusiness depreciation and amortization for fiscal years 2022 and 2021 was $8.6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and Other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corporate and other operations had rental revenues of approximately $5.3 million and $4.6 million in fiscal years 2022 and 2021, respectively.</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Costs and expenses in our corporate and other operations were approximately $20.6 million and $22.7 million in fiscal years 2022 and 2021, respectively, and include rental operations costs, selling, general and administrative expenses not allocated to the operating segments, and (gain) loss on disposal of assets. Depreciation and amortization expenses were approximately $1.2 million in fiscal years 2022 and 2021.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Material contractual obligations arising in the normal course of business primarily consist of purchase obligations, long-term fixed rate and variable rate debt and related interest payments, operating and finance leases, financing transactions and our noncontributory, defined benefit pension plan (“the Plan”). In fiscal year 2021, we decided to terminate the Plan effective December 31, 2021. The liabilities disclosed as of October 31, 2022 and 2021, reflect an estimate of the additional cost to pay lump sums to a portion of the active and vested terminated participants and purchase annuities for all remaining participants from an insurance company. See Note 10 - Long-Term Debt, Note 12 - Leases and Note 16 - Retirement Plans for amounts outstanding on October 31, 2022, related to debt, leases and the Plan. Purchase obligations consist of contracts primarily related to packing supplies and pollination services, the majority of which are due in the next three years.</w:t>
      </w:r>
    </w:p>
    <w:p>
      <w:pPr>
        <w:spacing w:after="0" w:line="3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fiscal years ended October 31, 2022 and 2021, net cash provided by operating activities was $14.8 million and $9.6 million, respectively. Our cash flow provided by operating activities is primarily from agricultural sales and rental operations. Cash flow used in operations generally consists of agribusiness costs, rental operation costs, selling, general and administrative expenses. The significant components of our cash flows provided by operating activities are as follows.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9" w:name="page40"/>
    <w:bookmarkEnd w:id="39"/>
    <w:p>
      <w:pPr>
        <w:jc w:val="both"/>
        <w:ind w:left="320" w:hanging="317"/>
        <w:spacing w:after="0" w:line="270" w:lineRule="auto"/>
        <w:tabs>
          <w:tab w:leader="none" w:pos="3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was $0.5 million and $3.9 million for fiscal years 2022 and 2021, respectively. The components of net loss in fiscal year 2022, compared to fiscal year 2021, consists of an increase in operating income of $8.5 million, an increase in total other expense of $4.0 million and an increase in income tax provision of $1.1 million.</w:t>
      </w:r>
    </w:p>
    <w:p>
      <w:pPr>
        <w:spacing w:after="0" w:line="19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reconcile net loss to net cash provided by operating activities:</w:t>
      </w:r>
    </w:p>
    <w:p>
      <w:pPr>
        <w:spacing w:after="0" w:line="294"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provided $10.0 million of operating cash in fiscal year 2022, compared to providing $10.2 million of operating cash in fiscal year 2021, primarily due to significant changes in (gain) loss on disposal of assets, equity in earnings of investments, net, and other, net, which primarily related to pension expense and pension settlement cost.</w:t>
      </w:r>
    </w:p>
    <w:p>
      <w:pPr>
        <w:spacing w:after="0" w:line="10"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62"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assets and liabilities provided $5.3 million of operating cash in fiscal year 2022, compared to providing $3.3 million of operating cash in fiscal year 2021, primarily due to significant changes in accounts receivable and receivables/other from related parties, income taxes receivable, accounts payable and growers and suppliers payable and accrued liabilities and payables to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For the years ended October 31, 2022 and 2021, net cash provided by (used in) investing activities was $19.4 million and $(10.2) million, respectively, and is primarily comprised of capital expenditures, sales of assets, collection of notes receivable and investments.</w:t>
      </w:r>
    </w:p>
    <w:p>
      <w:pPr>
        <w:spacing w:after="0" w:line="151" w:lineRule="exact"/>
        <w:rPr>
          <w:sz w:val="20"/>
          <w:szCs w:val="20"/>
          <w:color w:val="auto"/>
        </w:rPr>
      </w:pPr>
    </w:p>
    <w:p>
      <w:pPr>
        <w:jc w:val="both"/>
        <w:ind w:left="320" w:hanging="317"/>
        <w:spacing w:after="0" w:line="270" w:lineRule="auto"/>
        <w:tabs>
          <w:tab w:leader="none" w:pos="3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for fiscal year 2022 were $10.1 million for property, plant and equipment, primarily related to orchards, and real estate development projects. Additionally, in fiscal year 2022 we received $19.3 million in net proceeds from sales of assets, $7.9 million in net proceeds from sales of real estate development assets and $2.8 million in collection of loan and notes receivable.</w:t>
      </w:r>
    </w:p>
    <w:p>
      <w:pPr>
        <w:spacing w:after="0" w:line="191"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for fiscal year 2021 were comprised of $9.8 million for property, plant and equipment, primarily related to orchards, and real estate development projects. Additionally, in fiscal year 2021 we invested $0.7 million in mutual water companies and water rights.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October 31, 2022 and 2021, net cash (used in) provided by financing activities was $(33.5) million and $0.5 million, respectively.</w:t>
      </w:r>
    </w:p>
    <w:p>
      <w:pPr>
        <w:spacing w:after="0" w:line="243" w:lineRule="exact"/>
        <w:rPr>
          <w:sz w:val="20"/>
          <w:szCs w:val="20"/>
          <w:color w:val="auto"/>
        </w:rPr>
      </w:pPr>
    </w:p>
    <w:p>
      <w:pPr>
        <w:jc w:val="both"/>
        <w:ind w:left="320" w:hanging="317"/>
        <w:spacing w:after="0" w:line="270" w:lineRule="auto"/>
        <w:tabs>
          <w:tab w:leader="none" w:pos="3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$(33.5) million of cash used in financing activities for fiscal year 2022 was primarily comprised of net repayments of long-term debt in the amount of $26.8 million. Additionally, in fiscal year 2022 we paid common and preferred dividends, in aggregate, of $5.8 million, paid $1.5 million for the exchange of common stock related to our employees restricted stock awards and received $1.0 million of proceeds from equipment financings.</w:t>
      </w:r>
    </w:p>
    <w:p>
      <w:pPr>
        <w:spacing w:after="0" w:line="191"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$0.5 million of cash provided by financing activities for fiscal year 2021 was primarily comprised of net borrowings of long-term debt in the amount of $7.1 million. Additionally, in fiscal year 2021 we paid common and preferred dividends, in aggregate, of $5.8 million and paid $0.7 million for the exchange of common stock related to our employees restricted stock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Affecting Liquidity and Capital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Facilities and Long-Term Debt</w:t>
      </w:r>
    </w:p>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finance our working capital and other liquidity requirements primarily through cash from operations and our Farm Credit West Credit Facility, which includes the Master Loan Agreement (the "MLA"), Supplements and Revolving Equity Line of Credit (the "RELOC"). In addition, we have the Farm Credit West term loans, Banco de Chile term loans and COVID-19 loans. Additional information regarding these loans can be found in Note 10 - Long-Term Debt.</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June 2021, we entered into the MLA with Farm Credit West, PCA (the "Lender") dated June 1, 2021, together with the Supplements and a Fixed Interest Rate Agreement, which extends the principal repayment to July 1, 2026. The MLA governs the terms of the Supplements.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0" w:name="page41"/>
    <w:bookmarkEnd w:id="40"/>
    <w:p>
      <w:pPr>
        <w:jc w:val="both"/>
        <w:spacing w:after="0" w:line="270" w:lineRule="auto"/>
        <w:rPr>
          <w:sz w:val="20"/>
          <w:szCs w:val="20"/>
          <w:color w:val="auto"/>
        </w:rPr>
      </w:pPr>
      <w:r>
        <w:rPr>
          <w:rFonts w:ascii="Times New Roman" w:cs="Times New Roman" w:eastAsia="Times New Roman" w:hAnsi="Times New Roman"/>
          <w:sz w:val="17"/>
          <w:szCs w:val="17"/>
          <w:color w:val="auto"/>
        </w:rPr>
        <w:t>The Supplements and RELOC provide aggregate borrowing capacity of $130.0 million comprised of $75.0 million under the Revolving Credit Supplement, $40.0 million under the Non-Revolving Credit Supplement and $15.0 million under the RELOC. As of October 31, 2022, our outstanding borrowings under the Farm Credit West Credit Facility were $88.5 million and we had $41.5 million of availability.</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greater than or equal to 1:25:1.0 on an annual basis. We were in compliance as of October 31, 2022.</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August 2021, we entered into the FCW term loan with the Lender and used the proceeds to pay off the Wells Fargo term loan. The FCW term loan has a fixed interest rate of 3.19% and is payable in monthly installments through September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fiscal years 2022 and 2021 we received annual patronage dividends of $1.6 million and $1.2 million, respectively, from the Lender.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fiscal year 2021, our Company's Board of Directors approved a share repurchase program authorizing us to repurchase up to $10.0 million of our outstanding shares of common stock through September 2022; no shares were repurchased under this program. In fiscal year 2020, we repurchased 250,977 shares for $3.5 million under a program which expired in March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holders of the Series B Convertible Preferred Stock (the “Series B Stock”) and the Series B-2 Preferred Stock (the “Series B-2 Preferred Stock”) are entitled to receive cumulative cash dividends. Such preferred dividends paid totaled $0.5 million in each of the fiscal years 2022 and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dividends declared in each of the fiscal years 2022 and 2021 totaled $0.30 per common share and such dividends paid totaled $5.3 million.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Development Activities and Related Capital Resources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third-party sources of capital to collaborate with us to move those development projects forward. While we are frequently in discussions with potential external sources of capital in respect to all of our development projects, current market conditions for California real estate projects make it difficult to predict the timing and amounts of future capital that will be required to complete the development of our projects.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November 2015, we entered into a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The first phase of the project broke ground to commence mass grading in November 2017. Project plans currently include approximately 1,500 residential units and site improvements. A total of 586 residential units have closed from the project's inception to October 31, 2022.</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October 2022, we entered into a joint venture with Lewis for the development of our 17-acre East Area I Retained Property. We formed LLCB II as the development entity, contributed our Retained Property to the joint venture and sold a 50% interest to Lewis for approximately $8.0 million. We recorded a gain on the transaction of approximately $4.7 million, of which $0.5 million was deferred.</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joint venture partners will share in the capital contributions to fund project costs until loan proceeds and/or revenues are sufficient to fund the projects. Since inception each partner has made funding contributions of $21.4 million to LLCB. We expect to receive approximately $115.0 million from LLCB and LLCB II over the seven remaining years of the projects, including the $8.0 million received in fiscal year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Trend Information</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commodity pricing for our fresh produce, and therefore our revenues and margins, is significantly impacted by consumer demand. 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 organic foods have become an increasingly significant element of the public dialogue on health and nutrition. As a result, consumption of fresh fruit and vegetables has markedly increased. Conversely, a decrease in demand, as was seen during the COVID-19 pandemic as a result of restaurant closures, has the impact of reducing our pricing and therefore our revenues and margins.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For further information on significant accounting policies, see discussion in Note 2 - Summary of Significant Accounting Policies.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Impairment of Real Estate Development Projects – </w:t>
      </w:r>
      <w:r>
        <w:rPr>
          <w:rFonts w:ascii="Times New Roman" w:cs="Times New Roman" w:eastAsia="Times New Roman" w:hAnsi="Times New Roman"/>
          <w:sz w:val="17"/>
          <w:szCs w:val="17"/>
          <w:color w:val="auto"/>
        </w:rPr>
        <w:t>We evaluate our real estate development projects, held either by us or as included specifically within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in LLCB and LLCB II, for impairment on an ongoing basis. Our evaluation for impairment involves an initial assessment of each real estate development project to determine whether events or changes in circumstances exist that may indicate that the carrying amounts of, or investment in, real estate development are no longer recoverable. Possible indications of impairment may include events or changes in circumstances affecting the entitlement process, zoning, government regulation, geographical demand for new housing or commercial property, and market conditions related to residential or commercial land lots. When events or changes in circumstances exist, we further evaluate the real estate development for impairment by a) comparing undiscounted future cash flows expected to be generated over the life of the real estate development to the respective carrying amount for our real estate development or b) determining if our equity in investment has incurred an other-than-temporary decline.</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make significant judgments in evaluating each real estate development project, as held by us or within our investments in LLCB and LLCB II,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For fiscal years 2022, 2021 and 2020, no impairment loss has been recognized on any real estate development and no other-than-temporary-impairment has been recognized on our equity in LLCB or LLCB II.</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impairment calculation for real estate developments held by us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1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Whenever events or changes in circumstances indicate that the carrying amount of our equity investments in LLCB and LLCB II might not be recoverable, then we determine whether an impairment is other-than-temporary. If we conclude the impairment is other-than-temporary, we determine the estimated fair value of the investment by performing a discounted cash flow or market approach analysis and recognize an other-than-temporary impairment to reduce the investment to its estimated fair value.</w:t>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accounting estimate related to impairment of real estate development projects held by us, or other-than-temporary impairment of our equity investments in LLCB and LLCB II, is a critical accounting estimate because it is very susceptible to change from period to period; it requires management to make assumptions about future prices, production, and costs,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 w:name="page43"/>
    <w:bookmarkEnd w:id="42"/>
    <w:p>
      <w:pPr>
        <w:jc w:val="both"/>
        <w:spacing w:after="0" w:line="270" w:lineRule="auto"/>
        <w:rPr>
          <w:sz w:val="20"/>
          <w:szCs w:val="20"/>
          <w:color w:val="auto"/>
        </w:rPr>
      </w:pPr>
      <w:r>
        <w:rPr>
          <w:rFonts w:ascii="Times New Roman" w:cs="Times New Roman" w:eastAsia="Times New Roman" w:hAnsi="Times New Roman"/>
          <w:sz w:val="17"/>
          <w:szCs w:val="17"/>
          <w:color w:val="auto"/>
        </w:rPr>
        <w:t>and the potential impact of a loss from impairment could be material to our earnings. Management’s assumptions regarding future cash flows from real estate development projects or return on equity of our investments in LLCB and LLCB II have fluctuated in the past due to changes in prices, production and costs and are expected to continue to do so in the future as market conditions change.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2 - Summary of Significant Accounting Policies for information concerning recent accounting pronouncements.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Borrowings under the Farm Credit West Credit Facility and Farm Credit West Term Loans are or will be subject to variable interest rates. These variable interest rates subject us to the risk of increased interest costs associated with any upward movements in interest rates. For the Farm Credit West Credit Facility and Farm Credit West Term Loans, our borrowing interest rate is an internally calculated rate based on Farm Credit West’s internal monthly operations and their cost of funds and generally follows the changes in the 90-day treasury rates in increments divisible by 0.25%. At October 31, 2022, our total debt outstanding under the Farm Credit West Credit Facility and the Farm Credit West Term Loans was $88.5 million and $16.0 million, respectively.</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Based on our level of borrowings at October 31, 2022, a 100 basis points increase in interest rates would increase our interest expense $0.5 million for fiscal year 2023 and an annual average of $0.7 million for the three subsequent fiscal years. Additionally, a 100 basis points increase in the interest rate would decrease our net income by $0.4 million for fiscal year 2023 and an annual average of $0.5 million for the three subsequent fiscal years. Refer to “Management’s Discussion and Analysis of Financial Condition and Results of Operations – Liquidity and Capital Resources”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7"/>
        </w:trPr>
        <w:tc>
          <w:tcPr>
            <w:tcW w:w="1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3"/>
        </w:trPr>
        <w:tc>
          <w:tcPr>
            <w:tcW w:w="11060" w:type="dxa"/>
            <w:vAlign w:val="bottom"/>
          </w:tcPr>
          <w:p>
            <w:pPr>
              <w:ind w:left="4860"/>
              <w:spacing w:after="0"/>
              <w:rPr>
                <w:sz w:val="20"/>
                <w:szCs w:val="20"/>
                <w:color w:val="auto"/>
              </w:rPr>
            </w:pPr>
            <w:r>
              <w:rPr>
                <w:rFonts w:ascii="Times New Roman" w:cs="Times New Roman" w:eastAsia="Times New Roman" w:hAnsi="Times New Roman"/>
                <w:sz w:val="17"/>
                <w:szCs w:val="17"/>
                <w:b w:val="1"/>
                <w:bCs w:val="1"/>
                <w:color w:val="auto"/>
              </w:rPr>
              <w:t>Limoneira Company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11060" w:type="dxa"/>
            <w:vAlign w:val="bottom"/>
          </w:tcPr>
          <w:p>
            <w:pPr>
              <w:ind w:left="40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2"/>
        </w:trPr>
        <w:tc>
          <w:tcPr>
            <w:tcW w:w="1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1106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60" w:type="dxa"/>
            <w:vAlign w:val="bottom"/>
            <w:tcBorders>
              <w:bottom w:val="single" w:sz="8" w:color="0000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46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19"/>
        </w:trPr>
        <w:tc>
          <w:tcPr>
            <w:tcW w:w="1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Financial Statements of Limoneira Company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9"/>
        </w:trPr>
        <w:tc>
          <w:tcPr>
            <w:tcW w:w="1106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Balance Sheets at October 31, 2022 and 2021</w:t>
            </w:r>
          </w:p>
        </w:tc>
        <w:tc>
          <w:tcPr>
            <w:tcW w:w="160" w:type="dxa"/>
            <w:vAlign w:val="bottom"/>
            <w:tcBorders>
              <w:bottom w:val="single" w:sz="8" w:color="0000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48</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0"/>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Statements of Operations for the years ended October 31, 2022, 2021 and 2020</w:t>
            </w:r>
          </w:p>
        </w:tc>
        <w:tc>
          <w:tcPr>
            <w:tcW w:w="160" w:type="dxa"/>
            <w:vAlign w:val="bottom"/>
            <w:tcBorders>
              <w:bottom w:val="single" w:sz="8" w:color="0000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49</w:t>
            </w:r>
          </w:p>
        </w:tc>
        <w:tc>
          <w:tcPr>
            <w:tcW w:w="20" w:type="dxa"/>
            <w:vAlign w:val="bottom"/>
          </w:tcPr>
          <w:p>
            <w:pPr>
              <w:spacing w:after="0"/>
              <w:rPr>
                <w:sz w:val="16"/>
                <w:szCs w:val="16"/>
                <w:color w:val="auto"/>
              </w:rPr>
            </w:pPr>
          </w:p>
        </w:tc>
      </w:tr>
      <w:tr>
        <w:trPr>
          <w:trHeight w:val="209"/>
        </w:trPr>
        <w:tc>
          <w:tcPr>
            <w:tcW w:w="1106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Comprehensive Loss for the years ended October 31, 2022, 2021 and 2020</w:t>
            </w:r>
          </w:p>
        </w:tc>
        <w:tc>
          <w:tcPr>
            <w:tcW w:w="160" w:type="dxa"/>
            <w:vAlign w:val="bottom"/>
            <w:tcBorders>
              <w:bottom w:val="single" w:sz="8" w:color="0000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50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0"/>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Statements of Stockholders’ Equity and Temporary Equity for the years ended October 31, 2022, 2021 and 2020</w:t>
            </w:r>
          </w:p>
        </w:tc>
        <w:tc>
          <w:tcPr>
            <w:tcW w:w="160" w:type="dxa"/>
            <w:vAlign w:val="bottom"/>
            <w:tcBorders>
              <w:bottom w:val="single" w:sz="8" w:color="0000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51</w:t>
            </w:r>
          </w:p>
        </w:tc>
        <w:tc>
          <w:tcPr>
            <w:tcW w:w="20" w:type="dxa"/>
            <w:vAlign w:val="bottom"/>
          </w:tcPr>
          <w:p>
            <w:pPr>
              <w:spacing w:after="0"/>
              <w:rPr>
                <w:sz w:val="16"/>
                <w:szCs w:val="16"/>
                <w:color w:val="auto"/>
              </w:rPr>
            </w:pPr>
          </w:p>
        </w:tc>
      </w:tr>
      <w:tr>
        <w:trPr>
          <w:trHeight w:val="208"/>
        </w:trPr>
        <w:tc>
          <w:tcPr>
            <w:tcW w:w="1106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Cash Flows for the years ended October 31, 2022, 2021 and 2020</w:t>
            </w:r>
          </w:p>
        </w:tc>
        <w:tc>
          <w:tcPr>
            <w:tcW w:w="160" w:type="dxa"/>
            <w:vAlign w:val="bottom"/>
            <w:tcBorders>
              <w:bottom w:val="single" w:sz="8" w:color="0000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52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0"/>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60" w:type="dxa"/>
            <w:vAlign w:val="bottom"/>
            <w:tcBorders>
              <w:bottom w:val="single" w:sz="8" w:color="0000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w w:val="82"/>
              </w:rPr>
              <w:t>54</w:t>
            </w:r>
          </w:p>
        </w:tc>
        <w:tc>
          <w:tcPr>
            <w:tcW w:w="20" w:type="dxa"/>
            <w:vAlign w:val="bottom"/>
          </w:tcPr>
          <w:p>
            <w:pPr>
              <w:spacing w:after="0"/>
              <w:rPr>
                <w:sz w:val="15"/>
                <w:szCs w:val="15"/>
                <w:color w:val="auto"/>
              </w:rPr>
            </w:pPr>
          </w:p>
        </w:tc>
      </w:tr>
    </w:tbl>
    <w:p>
      <w:pPr>
        <w:spacing w:after="0" w:line="2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All schedules are omitted for the reason that they are not applicable or the required information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5" w:name="page46"/>
    <w:bookmarkEnd w:id="45"/>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Limoneira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Limoneira Company and subsidiaries (the "Company") as of October 31, 2022 and 2021, the related consolidated statements of operations, comprehensive loss, stockholders' equity and temporary equity, and cash flows, for each of the three years in the period ended October 31, 2022, and the related notes (collectively referred to as the "financial statements"). In our opinion, based on our audits and the report of the other auditors, the financial statements present fairly, in all material respects, the financial position of the Company as of October 31, 2022 and 2021, and the results of its operations and its cash flows for each of the three years in the period ended October 31, 2022, in conformity with accounting principles generally accepted in the United States of America.</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did not audit the financial statements of Limoneira Lewis Community Builders, LLC (“LLCB”), the Company's investment in which is accounted for by use of the equity method. The accompanying consolidated financial statements of the Company include, before the basis difference and related amortization discussed in Note 6, its equity investment in LLCB of $52,431,000 and $51,416,000 as of October 31, 2022 and 2021, respectively, and its equity earnings in LLCB of $1,015,000, $4,508,000 and $1,386,000 for the years ended October 31, 2022, 2021 and 2020, respectively. The financial statements of LLCB were audited by other auditors whose report has been furnished to us, and our opinion, insofar as it relates to the amounts included for the Company’s equity investment and equity earnings in LLCB, is based on the report of the other auditors.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October 31, 2022, based on the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December 22, 2022, expressed an 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 Development – Impairment Indicators – Refer to Notes 2, 5 and 6 to the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evaluation of real estate development, as held by the Company or as included specifically within its investment in LLCB, for impairment involves an initial assessment of each real estate development to determine whether events or changes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6" w:name="page47"/>
    <w:bookmarkEnd w:id="46"/>
    <w:p>
      <w:pPr>
        <w:jc w:val="both"/>
        <w:spacing w:after="0" w:line="260" w:lineRule="auto"/>
        <w:rPr>
          <w:sz w:val="20"/>
          <w:szCs w:val="20"/>
          <w:color w:val="auto"/>
        </w:rPr>
      </w:pPr>
      <w:r>
        <w:rPr>
          <w:rFonts w:ascii="Times New Roman" w:cs="Times New Roman" w:eastAsia="Times New Roman" w:hAnsi="Times New Roman"/>
          <w:sz w:val="17"/>
          <w:szCs w:val="17"/>
          <w:color w:val="auto"/>
        </w:rPr>
        <w:t>in circumstances exist that may indicate that the carrying amount of, or investment in, real estate development are no longer recoverable. Possible indications of impairment may include events or changes in circumstances affecting the entitlement process, zoning, government regulation, geographical demand for new housing or commercial property, and market conditions related to pricing of residential or commercial land lots. When events or changes in circumstances exist, the Company further evaluates the real estate development for impairment by a) comparing undiscounted future cash flows expected to be generated over the life of the real estate development to the respective carrying amount for its own real estate development or b) determining if its equity investment in LLCB has incurred an other-than-temporary decline.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makes significant judgments in evaluating real estate development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investment in LLCB. Real estate development assets were $9,706,000, and equity investment in LLCB was $61,154,000 as of October 31, 2022. For the year ended October 31, 2022, no impairment loss has been recognized on the real estate development and no other-than-temporary-impairment has been recognized on the Company’s equity investment in LLCB.</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management judgments used in the determination of impairment indicators for real estate development as a critical audit matter because of the subjectivity used by management when determining whether events or changes in circumstances have occurred indicating that the carrying amount of, or investment in, real estate development may not be recoverable. This required a high degree of auditor judgment when performing audit procedures to evaluate whether management appropriately identified impairment indicators.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audit procedures related to the evaluation of real estate development and equity investment in LLCB for possible indications of impairment included the following, among others:</w:t>
      </w:r>
    </w:p>
    <w:p>
      <w:pPr>
        <w:spacing w:after="0" w:line="164" w:lineRule="exact"/>
        <w:rPr>
          <w:sz w:val="20"/>
          <w:szCs w:val="20"/>
          <w:color w:val="auto"/>
        </w:rPr>
      </w:pPr>
    </w:p>
    <w:p>
      <w:pPr>
        <w:jc w:val="both"/>
        <w:ind w:left="620" w:right="200" w:hanging="307"/>
        <w:spacing w:after="0" w:line="249"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the controls over management’s identification of possible circumstances that may indicate that real estate development or equity investment in LLCB is no longer recoverable, including controls over management’s evaluation of the entitlement process, litigation, changes in zoning, government regulation, geographical demand and market conditions.</w:t>
      </w:r>
    </w:p>
    <w:p>
      <w:pPr>
        <w:spacing w:after="0" w:line="1"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impairment analysis by:</w:t>
      </w:r>
    </w:p>
    <w:p>
      <w:pPr>
        <w:spacing w:after="0" w:line="225" w:lineRule="exact"/>
        <w:rPr>
          <w:rFonts w:ascii="Times New Roman" w:cs="Times New Roman" w:eastAsia="Times New Roman" w:hAnsi="Times New Roman"/>
          <w:sz w:val="17"/>
          <w:szCs w:val="17"/>
          <w:color w:val="auto"/>
        </w:rPr>
      </w:pPr>
    </w:p>
    <w:p>
      <w:pPr>
        <w:ind w:left="1240" w:hanging="309"/>
        <w:spacing w:after="0" w:line="287" w:lineRule="auto"/>
        <w:tabs>
          <w:tab w:leader="none" w:pos="1249"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Searching for adverse asset-specific and/or market conditions by reviewing publicly available information on land values in the surrounding regions of the development, periodicals and news information relating to the Southern California real estate market</w:t>
      </w:r>
    </w:p>
    <w:p>
      <w:pPr>
        <w:spacing w:after="0" w:line="177"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information from legal counsel and performing inquiries with management in order to evaluate any changes in the status of litigation matters affecting the development property and the potential impact on the ability to recover the accumulated costs, including any relevant government regulations and/or other matters impacting the entitlement process</w:t>
      </w:r>
    </w:p>
    <w:p>
      <w:pPr>
        <w:spacing w:after="0" w:line="191"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comparable land sales in the area and comparing such data to information used by management with the assistance of our fair value specialists</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 independent expectation of impairment indicators and comparing such expectation to management’s analysis</w:t>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22, 2022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LIMONEIRA COMPANY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in thousands, except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October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17,483</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Cultural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10,709</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Receivables/other from related parties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5,958</w:t>
            </w:r>
          </w:p>
        </w:tc>
        <w:tc>
          <w:tcPr>
            <w:tcW w:w="0" w:type="dxa"/>
            <w:vAlign w:val="bottom"/>
          </w:tcPr>
          <w:p>
            <w:pPr>
              <w:spacing w:after="0"/>
              <w:rPr>
                <w:sz w:val="1"/>
                <w:szCs w:val="1"/>
                <w:color w:val="auto"/>
              </w:rPr>
            </w:pPr>
          </w:p>
        </w:tc>
      </w:tr>
      <w:tr>
        <w:trPr>
          <w:trHeight w:val="196"/>
        </w:trPr>
        <w:tc>
          <w:tcPr>
            <w:tcW w:w="85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current assets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37,535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42,089</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222,628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242,420</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Real estate development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9,706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22,828</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investments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64,072</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8,329</w:t>
            </w:r>
          </w:p>
        </w:tc>
        <w:tc>
          <w:tcPr>
            <w:tcW w:w="0" w:type="dxa"/>
            <w:vAlign w:val="bottom"/>
          </w:tcPr>
          <w:p>
            <w:pPr>
              <w:spacing w:after="0"/>
              <w:rPr>
                <w:sz w:val="1"/>
                <w:szCs w:val="1"/>
                <w:color w:val="auto"/>
              </w:rPr>
            </w:pPr>
          </w:p>
        </w:tc>
      </w:tr>
      <w:tr>
        <w:trPr>
          <w:trHeight w:val="20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16,971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11,011</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Total assets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368,518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392,276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10,663</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8,963</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Growers and suppliers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10,371</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6,542</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Payables to related parties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6,976</w:t>
            </w:r>
          </w:p>
        </w:tc>
        <w:tc>
          <w:tcPr>
            <w:tcW w:w="0" w:type="dxa"/>
            <w:vAlign w:val="bottom"/>
          </w:tcPr>
          <w:p>
            <w:pPr>
              <w:spacing w:after="0"/>
              <w:rPr>
                <w:sz w:val="1"/>
                <w:szCs w:val="1"/>
                <w:color w:val="auto"/>
              </w:rPr>
            </w:pPr>
          </w:p>
        </w:tc>
      </w:tr>
      <w:tr>
        <w:trPr>
          <w:trHeight w:val="203"/>
        </w:trPr>
        <w:tc>
          <w:tcPr>
            <w:tcW w:w="8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2,472</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39,274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35,324</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Long-term debt, less current portion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130,353</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23,497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22,853</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4,501</w:t>
            </w:r>
          </w:p>
        </w:tc>
        <w:tc>
          <w:tcPr>
            <w:tcW w:w="0" w:type="dxa"/>
            <w:vAlign w:val="bottom"/>
          </w:tcPr>
          <w:p>
            <w:pPr>
              <w:spacing w:after="0"/>
              <w:rPr>
                <w:sz w:val="1"/>
                <w:szCs w:val="1"/>
                <w:color w:val="auto"/>
              </w:rPr>
            </w:pPr>
          </w:p>
        </w:tc>
      </w:tr>
      <w:tr>
        <w:trPr>
          <w:trHeight w:val="196"/>
        </w:trPr>
        <w:tc>
          <w:tcPr>
            <w:tcW w:w="856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Total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176,654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193,031</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85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Series B Convertible Preferred Stock – $100.00 par value (50,000 shares authorized: 14,790 shares issued and outstanding at October 31,</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 and 2021) (8.75% coupon rate)</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5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B-2 Convertible Preferred Stock – $100.00 par value (10,000 shares authorized: 9,300 shares issued and outstanding at October</w:t>
            </w: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9,331</w:t>
            </w: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31, 2022 and 2021) (4% dividend rate on liquidation value of $1,000 per share)</w:t>
            </w: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56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Series A Junior Participating Preferred Stock – $0.01 par value (20,000 shares authorized: zero shares issued or outstanding at</w:t>
            </w:r>
          </w:p>
        </w:tc>
        <w:tc>
          <w:tcPr>
            <w:tcW w:w="3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October 31, 2022 and 2021)</w:t>
            </w:r>
          </w:p>
        </w:tc>
        <w:tc>
          <w:tcPr>
            <w:tcW w:w="3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56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Common Stock – $0.01 par value (39,000,000 shares authorized: 17,935,292 and 17,936,377 shares issued and 17,684,315 and</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203"/>
        </w:trPr>
        <w:tc>
          <w:tcPr>
            <w:tcW w:w="8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17,685,400 shares outstanding at October 31, 2022 and 2021, respectively)</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165,169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163,965</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21,552</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(5,733)</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Treasury stock, at cost, 250,977 shares at October 31, 2022 and 2021</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11,965</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181,054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188,435</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368,518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392,276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t>LIMONEIRA COMPANY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in thousands, except share amounts)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200" w:type="dxa"/>
            <w:vAlign w:val="bottom"/>
            <w:tcBorders>
              <w:bottom w:val="single" w:sz="8" w:color="auto"/>
            </w:tcBorders>
          </w:tcPr>
          <w:p>
            <w:pPr>
              <w:spacing w:after="0"/>
              <w:rPr>
                <w:sz w:val="19"/>
                <w:szCs w:val="19"/>
                <w:color w:val="auto"/>
              </w:rPr>
            </w:pPr>
          </w:p>
        </w:tc>
      </w:tr>
      <w:tr>
        <w:trPr>
          <w:trHeight w:val="212"/>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9"/>
        </w:trPr>
        <w:tc>
          <w:tcPr>
            <w:tcW w:w="6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Agribusiness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179,281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161,381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159,937</w:t>
            </w:r>
          </w:p>
        </w:tc>
      </w:tr>
      <w:tr>
        <w:trPr>
          <w:trHeight w:val="21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w:t>
            </w:r>
          </w:p>
        </w:tc>
      </w:tr>
      <w:tr>
        <w:trPr>
          <w:trHeight w:val="212"/>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revenues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164,559</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6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Agribusiness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157,281</w:t>
            </w:r>
          </w:p>
        </w:tc>
      </w:tr>
      <w:tr>
        <w:trPr>
          <w:trHeight w:val="21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w:t>
            </w:r>
          </w:p>
        </w:tc>
      </w:tr>
      <w:tr>
        <w:trPr>
          <w:trHeight w:val="219"/>
        </w:trPr>
        <w:tc>
          <w:tcPr>
            <w:tcW w:w="6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1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21,280</w:t>
            </w:r>
          </w:p>
        </w:tc>
      </w:tr>
      <w:tr>
        <w:trPr>
          <w:trHeight w:val="212"/>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183,567</w:t>
            </w: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(19,008)</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19"/>
        </w:trPr>
        <w:tc>
          <w:tcPr>
            <w:tcW w:w="6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 of patronage dividends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21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 in earnings of investments,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19"/>
        </w:trPr>
        <w:tc>
          <w:tcPr>
            <w:tcW w:w="6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stock in Calavo Growers, Inc.</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(6,299)</w:t>
            </w:r>
          </w:p>
        </w:tc>
      </w:tr>
      <w:tr>
        <w:trPr>
          <w:trHeight w:val="21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12"/>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(expense)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(7,427)</w:t>
            </w:r>
          </w:p>
        </w:tc>
      </w:tr>
      <w:tr>
        <w:trPr>
          <w:trHeight w:val="245"/>
        </w:trPr>
        <w:tc>
          <w:tcPr>
            <w:tcW w:w="6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 (provision)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(26,435)</w:t>
            </w:r>
          </w:p>
        </w:tc>
      </w:tr>
      <w:tr>
        <w:trPr>
          <w:trHeight w:val="245"/>
        </w:trPr>
        <w:tc>
          <w:tcPr>
            <w:tcW w:w="6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8,494</w:t>
            </w: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(17,941)</w:t>
            </w:r>
          </w:p>
        </w:tc>
      </w:tr>
      <w:tr>
        <w:trPr>
          <w:trHeight w:val="21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attributable to 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w:t>
            </w: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Limoneira Company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w:t>
            </w:r>
          </w:p>
        </w:tc>
      </w:tr>
      <w:tr>
        <w:trPr>
          <w:trHeight w:val="21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Preferred dividends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37"/>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applicable to common stock</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loss per common share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loss per common share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17,666,000</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17,666,000</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LIMONEIRA COMPANY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COMPREHENSIVE LOSS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980" w:type="dxa"/>
            <w:vAlign w:val="bottom"/>
            <w:tcBorders>
              <w:bottom w:val="single" w:sz="8" w:color="auto"/>
            </w:tcBorders>
          </w:tcPr>
          <w:p>
            <w:pPr>
              <w:spacing w:after="0"/>
              <w:rPr>
                <w:sz w:val="19"/>
                <w:szCs w:val="19"/>
                <w:color w:val="auto"/>
              </w:rPr>
            </w:pPr>
          </w:p>
        </w:tc>
      </w:tr>
      <w:tr>
        <w:trPr>
          <w:trHeight w:val="212"/>
        </w:trPr>
        <w:tc>
          <w:tcPr>
            <w:tcW w:w="7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(17,941)</w:t>
            </w:r>
          </w:p>
        </w:tc>
      </w:tr>
      <w:tr>
        <w:trPr>
          <w:trHeight w:val="219"/>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r>
      <w:tr>
        <w:trPr>
          <w:trHeight w:val="219"/>
        </w:trPr>
        <w:tc>
          <w:tcPr>
            <w:tcW w:w="7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Minimum pension liability adjustments, net of tax of $(71), $940 and $(69)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Pension settlement cost, net of tax of $169, $0 and $0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Residual state tax effects on sale of equity securities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2"/>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(loss) income, net of tax</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(18,234)</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Limoneira Company</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(16,698)</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auto"/>
        </w:rPr>
        <w:t>LIMONEIRA COMPANY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STOCKHOLDERS’ EQUITY AND TEMPORARY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120" w:type="dxa"/>
            <w:vAlign w:val="bottom"/>
          </w:tcPr>
          <w:p>
            <w:pPr>
              <w:spacing w:after="0"/>
              <w:rPr>
                <w:sz w:val="11"/>
                <w:szCs w:val="11"/>
                <w:color w:val="auto"/>
              </w:rPr>
            </w:pPr>
          </w:p>
        </w:tc>
        <w:tc>
          <w:tcPr>
            <w:tcW w:w="72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9"/>
              </w:rPr>
              <w:t>Series B-2</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8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120" w:type="dxa"/>
            <w:vAlign w:val="bottom"/>
          </w:tcPr>
          <w:p>
            <w:pPr>
              <w:spacing w:after="0"/>
              <w:rPr>
                <w:sz w:val="15"/>
                <w:szCs w:val="15"/>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9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 Income</w:t>
            </w:r>
          </w:p>
        </w:tc>
        <w:tc>
          <w:tcPr>
            <w:tcW w:w="1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66"/>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October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17,756,180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160,254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53,089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15,422</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221,688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9,331</w:t>
            </w:r>
          </w:p>
        </w:tc>
        <w:tc>
          <w:tcPr>
            <w:tcW w:w="0" w:type="dxa"/>
            <w:vAlign w:val="bottom"/>
          </w:tcPr>
          <w:p>
            <w:pPr>
              <w:spacing w:after="0"/>
              <w:rPr>
                <w:sz w:val="1"/>
                <w:szCs w:val="1"/>
                <w:color w:val="auto"/>
              </w:rPr>
            </w:pPr>
          </w:p>
        </w:tc>
      </w:tr>
      <w:tr>
        <w:trPr>
          <w:trHeight w:val="126"/>
        </w:trPr>
        <w:tc>
          <w:tcPr>
            <w:tcW w:w="188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Dividends - common ($0.30 per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4"/>
        </w:trPr>
        <w:tc>
          <w:tcPr>
            <w:tcW w:w="188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Dividends - Series B ($8.75 per</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188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Dividends - Series B-2 ($40 per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Exchange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 adjustment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(250,977)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2"/>
                <w:szCs w:val="12"/>
                <w:color w:val="auto"/>
                <w:w w:val="97"/>
              </w:rPr>
              <w:t>(3,493)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188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Other comprehensive loss, net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October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17,606,730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162,084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30,797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w w:val="97"/>
              </w:rPr>
              <w:t>(3,493)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195,760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9,331</w:t>
            </w:r>
          </w:p>
        </w:tc>
        <w:tc>
          <w:tcPr>
            <w:tcW w:w="0" w:type="dxa"/>
            <w:vAlign w:val="bottom"/>
          </w:tcPr>
          <w:p>
            <w:pPr>
              <w:spacing w:after="0"/>
              <w:rPr>
                <w:sz w:val="1"/>
                <w:szCs w:val="1"/>
                <w:color w:val="auto"/>
              </w:rPr>
            </w:pPr>
          </w:p>
        </w:tc>
      </w:tr>
      <w:tr>
        <w:trPr>
          <w:trHeight w:val="126"/>
        </w:trPr>
        <w:tc>
          <w:tcPr>
            <w:tcW w:w="188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Dividends - common ($0.30 per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4"/>
        </w:trPr>
        <w:tc>
          <w:tcPr>
            <w:tcW w:w="188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Dividends - Series B ($8.75 per</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188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Dividends - Series B-2 ($40 per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Exchange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 adjustment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188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Other comprehensive income, net</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 tax</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October 31,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17,685,400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163,965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21,552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w w:val="97"/>
              </w:rPr>
              <w:t>(3,493)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11,965</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188,435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9,331</w:t>
            </w:r>
          </w:p>
        </w:tc>
        <w:tc>
          <w:tcPr>
            <w:tcW w:w="0" w:type="dxa"/>
            <w:vAlign w:val="bottom"/>
          </w:tcPr>
          <w:p>
            <w:pPr>
              <w:spacing w:after="0"/>
              <w:rPr>
                <w:sz w:val="1"/>
                <w:szCs w:val="1"/>
                <w:color w:val="auto"/>
              </w:rPr>
            </w:pPr>
          </w:p>
        </w:tc>
      </w:tr>
      <w:tr>
        <w:trPr>
          <w:trHeight w:val="132"/>
        </w:trPr>
        <w:tc>
          <w:tcPr>
            <w:tcW w:w="188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Dividends - common ($0.30 per</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188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Dividends - Series B ($8.75 per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4"/>
        </w:trPr>
        <w:tc>
          <w:tcPr>
            <w:tcW w:w="188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Dividends - Series B-2 ($40 per</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Exchange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(105,316)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188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Other comprehensive loss, net of</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tax</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October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17,684,315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165,169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15,500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(7,908)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w w:val="97"/>
              </w:rPr>
              <w:t>(3,493)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11,609</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181,054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9,331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9"/>
          <w:szCs w:val="19"/>
          <w:b w:val="1"/>
          <w:bCs w:val="1"/>
          <w:color w:val="auto"/>
        </w:rPr>
        <w:t>LIMONEIRA COMPANY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200" w:type="dxa"/>
            <w:vAlign w:val="bottom"/>
            <w:tcBorders>
              <w:bottom w:val="single" w:sz="8" w:color="auto"/>
            </w:tcBorders>
          </w:tcPr>
          <w:p>
            <w:pPr>
              <w:spacing w:after="0"/>
              <w:rPr>
                <w:sz w:val="19"/>
                <w:szCs w:val="19"/>
                <w:color w:val="auto"/>
              </w:rPr>
            </w:pPr>
          </w:p>
        </w:tc>
      </w:tr>
      <w:tr>
        <w:trPr>
          <w:trHeight w:val="212"/>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(17,941)</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10,097</w:t>
            </w:r>
          </w:p>
        </w:tc>
      </w:tr>
      <w:tr>
        <w:trPr>
          <w:trHeight w:val="21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19"/>
        </w:trPr>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1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lease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19"/>
        </w:trPr>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Equity in earnings of investments,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1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distributions from equity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w:t>
            </w:r>
          </w:p>
        </w:tc>
      </w:tr>
      <w:tr>
        <w:trPr>
          <w:trHeight w:val="21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stock in Calavo Growers, Inc.</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6,299</w:t>
            </w:r>
          </w:p>
        </w:tc>
      </w:tr>
      <w:tr>
        <w:trPr>
          <w:trHeight w:val="219"/>
        </w:trPr>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w:t>
            </w:r>
          </w:p>
        </w:tc>
      </w:tr>
      <w:tr>
        <w:trPr>
          <w:trHeight w:val="21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64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 receivable and receivables/other from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19"/>
        </w:trPr>
        <w:tc>
          <w:tcPr>
            <w:tcW w:w="6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Cultural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19"/>
        </w:trPr>
        <w:tc>
          <w:tcPr>
            <w:tcW w:w="64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6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Income taxes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(4,932)</w:t>
            </w:r>
          </w:p>
        </w:tc>
      </w:tr>
      <w:tr>
        <w:trPr>
          <w:trHeight w:val="219"/>
        </w:trPr>
        <w:tc>
          <w:tcPr>
            <w:tcW w:w="64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19"/>
        </w:trPr>
        <w:tc>
          <w:tcPr>
            <w:tcW w:w="6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Accounts payable and growers and suppliers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w:t>
            </w:r>
          </w:p>
        </w:tc>
      </w:tr>
      <w:tr>
        <w:trPr>
          <w:trHeight w:val="219"/>
        </w:trPr>
        <w:tc>
          <w:tcPr>
            <w:tcW w:w="64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Accrued liabilities and payables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19"/>
        </w:trPr>
        <w:tc>
          <w:tcPr>
            <w:tcW w:w="6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2"/>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(11,317)</w:t>
            </w:r>
          </w:p>
        </w:tc>
      </w:tr>
      <w:tr>
        <w:trPr>
          <w:trHeight w:val="245"/>
        </w:trPr>
        <w:tc>
          <w:tcPr>
            <w:tcW w:w="6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(10,599)</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proceeds from sales of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6,261</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proceeds from sales of real estate development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distribution from Trapani Fresh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proceeds from sale of stock in Calavo Growers, Inc.</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11,048</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to Limoneira Lewis Community Builders, LLC</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Collection on loan and notes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investment contributions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distribution from equity investment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Investments in mutual water companies and water rights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auto"/>
        </w:rPr>
        <w:t>LIMONEIRA COMPANY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200" w:type="dxa"/>
            <w:vAlign w:val="bottom"/>
            <w:tcBorders>
              <w:bottom w:val="single" w:sz="8" w:color="auto"/>
            </w:tcBorders>
          </w:tcPr>
          <w:p>
            <w:pPr>
              <w:spacing w:after="0"/>
              <w:rPr>
                <w:sz w:val="19"/>
                <w:szCs w:val="19"/>
                <w:color w:val="auto"/>
              </w:rPr>
            </w:pPr>
          </w:p>
        </w:tc>
      </w:tr>
      <w:tr>
        <w:trPr>
          <w:trHeight w:val="212"/>
        </w:trPr>
        <w:tc>
          <w:tcPr>
            <w:tcW w:w="64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40" w:type="dxa"/>
            <w:vAlign w:val="bottom"/>
            <w:shd w:val="clear" w:color="auto" w:fill="BFE4FF"/>
          </w:tcPr>
          <w:p>
            <w:pPr>
              <w:spacing w:after="0"/>
              <w:rPr>
                <w:sz w:val="17"/>
                <w:szCs w:val="17"/>
                <w:color w:val="auto"/>
              </w:rPr>
            </w:pPr>
          </w:p>
        </w:tc>
        <w:tc>
          <w:tcPr>
            <w:tcW w:w="11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Borrowings of long-term debt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146,941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102,196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121,056</w:t>
            </w:r>
          </w:p>
        </w:tc>
      </w:tr>
      <w:tr>
        <w:trPr>
          <w:trHeight w:val="219"/>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(173,755)</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(95,140)</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(104,066)</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equipment financings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Principal paid on finance lease and equipment financings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 common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(5,356)</w:t>
            </w:r>
          </w:p>
        </w:tc>
      </w:tr>
      <w:tr>
        <w:trPr>
          <w:trHeight w:val="219"/>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Dividends paid - preferred</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Exchange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19"/>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(3,493)</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deferred financing costs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640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60" w:type="dxa"/>
            <w:vAlign w:val="bottom"/>
            <w:tcBorders>
              <w:top w:val="single" w:sz="8" w:color="auto"/>
              <w:bottom w:val="single" w:sz="8" w:color="auto"/>
            </w:tcBorders>
            <w:shd w:val="clear" w:color="auto" w:fill="BFE4FF"/>
          </w:tcPr>
          <w:p>
            <w:pPr>
              <w:spacing w:after="0"/>
              <w:rPr>
                <w:sz w:val="18"/>
                <w:szCs w:val="18"/>
                <w:color w:val="auto"/>
              </w:rPr>
            </w:pPr>
          </w:p>
        </w:tc>
        <w:tc>
          <w:tcPr>
            <w:tcW w:w="12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(33,517)</w:t>
            </w:r>
          </w:p>
        </w:tc>
        <w:tc>
          <w:tcPr>
            <w:tcW w:w="100" w:type="dxa"/>
            <w:vAlign w:val="bottom"/>
            <w:tcBorders>
              <w:top w:val="single" w:sz="8" w:color="BFE4FF"/>
            </w:tcBorders>
            <w:shd w:val="clear" w:color="auto" w:fill="BFE4FF"/>
          </w:tcPr>
          <w:p>
            <w:pPr>
              <w:spacing w:after="0"/>
              <w:rPr>
                <w:sz w:val="18"/>
                <w:szCs w:val="18"/>
                <w:color w:val="auto"/>
              </w:rPr>
            </w:pPr>
          </w:p>
        </w:tc>
        <w:tc>
          <w:tcPr>
            <w:tcW w:w="340" w:type="dxa"/>
            <w:vAlign w:val="bottom"/>
            <w:tcBorders>
              <w:top w:val="single" w:sz="8" w:color="auto"/>
              <w:bottom w:val="single" w:sz="8" w:color="auto"/>
            </w:tcBorders>
            <w:shd w:val="clear" w:color="auto" w:fill="BFE4FF"/>
          </w:tcPr>
          <w:p>
            <w:pPr>
              <w:spacing w:after="0"/>
              <w:rPr>
                <w:sz w:val="18"/>
                <w:szCs w:val="18"/>
                <w:color w:val="auto"/>
              </w:rPr>
            </w:pPr>
          </w:p>
        </w:tc>
        <w:tc>
          <w:tcPr>
            <w:tcW w:w="11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Borders>
              <w:top w:val="single" w:sz="8" w:color="BFE4FF"/>
            </w:tcBorders>
            <w:shd w:val="clear" w:color="auto" w:fill="BFE4FF"/>
          </w:tcPr>
          <w:p>
            <w:pPr>
              <w:spacing w:after="0"/>
              <w:rPr>
                <w:sz w:val="18"/>
                <w:szCs w:val="18"/>
                <w:color w:val="auto"/>
              </w:rPr>
            </w:pPr>
          </w:p>
        </w:tc>
        <w:tc>
          <w:tcPr>
            <w:tcW w:w="360" w:type="dxa"/>
            <w:vAlign w:val="bottom"/>
            <w:tcBorders>
              <w:top w:val="single" w:sz="8" w:color="auto"/>
              <w:bottom w:val="single" w:sz="8" w:color="auto"/>
            </w:tcBorders>
            <w:shd w:val="clear" w:color="auto" w:fill="BFE4FF"/>
          </w:tcPr>
          <w:p>
            <w:pPr>
              <w:spacing w:after="0"/>
              <w:rPr>
                <w:sz w:val="18"/>
                <w:szCs w:val="18"/>
                <w:color w:val="auto"/>
              </w:rPr>
            </w:pPr>
          </w:p>
        </w:tc>
        <w:tc>
          <w:tcPr>
            <w:tcW w:w="12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7,361</w:t>
            </w:r>
          </w:p>
        </w:tc>
      </w:tr>
      <w:tr>
        <w:trPr>
          <w:trHeight w:val="212"/>
        </w:trPr>
        <w:tc>
          <w:tcPr>
            <w:tcW w:w="6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360" w:type="dxa"/>
            <w:vAlign w:val="bottom"/>
            <w:tcBorders>
              <w:bottom w:val="single" w:sz="8" w:color="auto"/>
            </w:tcBorders>
            <w:shd w:val="clear" w:color="auto" w:fill="BFE4FF"/>
          </w:tcPr>
          <w:p>
            <w:pPr>
              <w:spacing w:after="0"/>
              <w:rPr>
                <w:sz w:val="18"/>
                <w:szCs w:val="18"/>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2"/>
        </w:trPr>
        <w:tc>
          <w:tcPr>
            <w:tcW w:w="6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7"/>
                <w:szCs w:val="17"/>
                <w:color w:val="auto"/>
              </w:rPr>
              <w:t>Cash at beginning of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w:t>
            </w:r>
          </w:p>
        </w:tc>
      </w:tr>
      <w:tr>
        <w:trPr>
          <w:trHeight w:val="237"/>
        </w:trPr>
        <w:tc>
          <w:tcPr>
            <w:tcW w:w="64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Cash at end of year</w:t>
            </w:r>
          </w:p>
        </w:tc>
        <w:tc>
          <w:tcPr>
            <w:tcW w:w="360" w:type="dxa"/>
            <w:vAlign w:val="bottom"/>
            <w:tcBorders>
              <w:bottom w:val="single" w:sz="8" w:color="auto"/>
            </w:tcBorders>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auto"/>
            </w:tcBorders>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0"/>
        </w:trPr>
        <w:tc>
          <w:tcPr>
            <w:tcW w:w="64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r>
      <w:tr>
        <w:trPr>
          <w:trHeight w:val="191"/>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during the year for interest, net of amounts capitalized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w:t>
            </w:r>
          </w:p>
        </w:tc>
      </w:tr>
      <w:tr>
        <w:trPr>
          <w:trHeight w:val="219"/>
        </w:trPr>
        <w:tc>
          <w:tcPr>
            <w:tcW w:w="6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Cash paid (received) during the year for income taxes, net</w:t>
            </w:r>
          </w:p>
        </w:tc>
        <w:tc>
          <w:tcPr>
            <w:tcW w:w="360" w:type="dxa"/>
            <w:vAlign w:val="bottom"/>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(5,911)</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(1,235)</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40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7"/>
                <w:szCs w:val="17"/>
                <w:color w:val="auto"/>
              </w:rPr>
              <w:t>Contribution of real estate development to equity investment</w:t>
            </w:r>
          </w:p>
        </w:tc>
        <w:tc>
          <w:tcPr>
            <w:tcW w:w="360" w:type="dxa"/>
            <w:vAlign w:val="bottom"/>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7,975</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Reduction of net payables to related parties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7"/>
                <w:szCs w:val="17"/>
                <w:color w:val="auto"/>
              </w:rPr>
              <w:t>Reduction of note receivable</w:t>
            </w:r>
          </w:p>
        </w:tc>
        <w:tc>
          <w:tcPr>
            <w:tcW w:w="360" w:type="dxa"/>
            <w:vAlign w:val="bottom"/>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 accrued but not paid at year-end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LIMONEIRA COMPANY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3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markets and sells citrus directly to food service, wholesale and retail customers throughout the United States, Canada, Asia, Europe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Through fiscal year 2021, the Company sold the majority of its avocado production to Calavo Growers, Inc. (“Calavo”), a packing and marketing company listed on the NASDAQ Global Select Market under the symbol CVGW. In February 2022, the Company terminated its Avocado Marketing Agreement and the associated Letter Agreement Regarding Fruit Commitment with Calavo to pursue opportunities with other packing and marketing companies.</w:t>
      </w:r>
    </w:p>
    <w:p>
      <w:pPr>
        <w:spacing w:after="0" w:line="58" w:lineRule="exact"/>
        <w:rPr>
          <w:sz w:val="20"/>
          <w:szCs w:val="20"/>
          <w:color w:val="auto"/>
        </w:rPr>
      </w:pPr>
    </w:p>
    <w:p>
      <w:pPr>
        <w:ind w:right="7840" w:firstLine="3"/>
        <w:spacing w:after="0" w:line="382" w:lineRule="auto"/>
        <w:tabs>
          <w:tab w:leader="none" w:pos="172"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Principles of Consolidation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consolidated financial statements include the accounts of the Company and the accounts of all the subsidiaries and investments in which the Company holds a controlling interest. The consolidated financial statements represent the consolidated balance sheets, statements of operations, statements of comprehensive loss, statements of stockholders’ equity and temporary equity and statements of cash flows of Limoneira Company and consolidated subsidiaries. Intercompany balances and transactions have been eliminated in consolidation. The Company considers the criteria established under the Financial Accounting Standards Board (“FASB”) – </w:t>
      </w:r>
      <w:r>
        <w:rPr>
          <w:rFonts w:ascii="Times New Roman" w:cs="Times New Roman" w:eastAsia="Times New Roman" w:hAnsi="Times New Roman"/>
          <w:sz w:val="17"/>
          <w:szCs w:val="17"/>
          <w:i w:val="1"/>
          <w:iCs w:val="1"/>
          <w:color w:val="auto"/>
        </w:rPr>
        <w:t>Accounting Standards Code (“ASC”) 810, Consolidations,</w:t>
      </w:r>
      <w:r>
        <w:rPr>
          <w:rFonts w:ascii="Times New Roman" w:cs="Times New Roman" w:eastAsia="Times New Roman" w:hAnsi="Times New Roman"/>
          <w:sz w:val="17"/>
          <w:szCs w:val="17"/>
          <w:color w:val="auto"/>
        </w:rPr>
        <w:t xml:space="preserve"> and the effect of variable interest entities, in its consolidation process.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At October 31, 2022 and 2021 the allowances totaled $469,000 and $444,000, respectively. For fiscal years 2022, 2021 and 2020, credit losses were insignificant.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and Geographic Information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sells the majority of its avocados, oranges and specialty citrus and other crops to third-party packinghouses and processors. Prior to fiscal year 2022, the Company sold a majority of its avocado production to Calavo. Sales of avocados to Calavo were $6,594,000 and $8,806,000 in fiscal years 2021 and 2020, respectively.</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Concentrations of credit risk with respect to revenues and accounts receivable are limited due to a large, diverse customer base. One customer represented 11% of revenue for the year ended October 31, 2022 and two customers each represented 10% of revenue for the year ended October 31, 2021. No individual customer represented more than 10% of accounts receivable, net as of October 31, 2022 and 2021.</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Lemons procured from third-party growers were approximately 52%, 52% and 60% of the Company's lemon supply in fiscal years 2022, 2021 and 2020, respectively. One third-party grower was 21% and 46% of growers and suppliers payable at October 31, 2022 and 2021, respectively.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316" w:lineRule="exact"/>
        <w:rPr>
          <w:sz w:val="20"/>
          <w:szCs w:val="20"/>
          <w:color w:val="auto"/>
        </w:rPr>
      </w:pPr>
    </w:p>
    <w:p>
      <w:pPr>
        <w:ind w:right="6960" w:firstLine="3"/>
        <w:spacing w:after="0" w:line="382" w:lineRule="auto"/>
        <w:tabs>
          <w:tab w:leader="none" w:pos="172"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Concentrations and Geographic Information (continued)</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fiscal years 2022, 2021 and 2020, the Company had approximately $3,614,000, $2,976,000 and $3,521,000, respectively, of total sales in Chile by Fruticola Pan de Azucar S.A. (“PDA”) and Agricola San Pablo SpA. ("San Pablo").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fiscal years 2022, 2021 and 2020, the Company had approximately $673,000, $3,633,000 and $14,150,000, respectively, of total sales in Argentina.</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majority of the Company's avocados, oranges and specialty citrus and other crops are sold to packinghouses and processors located in the United States. Most of its long-lived assets are located within the United States. Long-lived assets, net of accumulated depreciation, located in Chile were $12,663,000 and $14,322,000 as of October 31, 2022 and 2021, respectively, and located in Argentina were $19,440,000 and $19,700,000 as of October 31, 2022 and 2021, respectively.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Cultural Costs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Certain of the Company's crops have distinct growing periods and distinct harvest and selling periods, each of which lasts approximately four to eight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Due to climate, growing conditions and the types of crops grown, certain of the Company's other crops may be harvested and sold on a year-round basis. Accordingly, the Company does not capitalize cultural costs associated with these crops and therefore such costs, as well as harvest costs associated with these crops, are expensed to operations when incurred as components of agribusiness costs and expenses.</w:t>
      </w:r>
    </w:p>
    <w:p>
      <w:pPr>
        <w:spacing w:after="0" w:line="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Deferred income tax assets and liabilities are computed annually for differences between the financial statement and income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improvements</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30</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building improvements</w:t>
            </w:r>
          </w:p>
        </w:tc>
        <w:tc>
          <w:tcPr>
            <w:tcW w:w="4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50</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20</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Orchards and vineyards</w:t>
            </w:r>
          </w:p>
        </w:tc>
        <w:tc>
          <w:tcPr>
            <w:tcW w:w="4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40</w:t>
            </w:r>
          </w:p>
        </w:tc>
      </w:tr>
    </w:tbl>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pest control and fertilization, and interest costs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960" w:firstLine="3"/>
        <w:spacing w:after="0" w:line="382" w:lineRule="auto"/>
        <w:tabs>
          <w:tab w:leader="none" w:pos="172"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Property, Plant and Equipment (continued)</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development period. The Company ceases the capitalization of costs and commences depreciation when the orchards become commercially productive and orchard maintenance costs are accounted for as cultural costs as described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Capitalized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is capitalized on real estate development projects and significant construction in progress using the weighted average interest rate during the fiscal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interest is included in property, plant, and equipment and real estate development assets in the Company’s consolidated balance sheets.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 Development Costs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its real estate projects of $637,000 and $1,192,000 in fiscal years 2022 and 2021,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 Investments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and the Company’s equity in net earnings or loss of the respective joint venture.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Securities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had no equity securities as of October 31, 2022 and 2021. In fiscal year 2020, the Company sold all 200,000 shares of Calavo common stock for a total of $11,048,000, recognizing a loss of $6,299,000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and Intangible Assets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Intangible assets consist primarily of customer relationships, trade names and trademarks and a non-competition agreement. The Company’s definite-life intangible assets are being amortized on a straight-line basis over their estimated lives ranging from eight to ten years. Acquired water and mineral rights are indefinite-life assets not subject to amortization. Assets held for sale are carried at the lower of cost or fair value less estimated cost to sell.</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evaluates long-lived assets, including its property and equipment, real estate development projects and definite-life intangible assets, for impairment whenever events or changes in circumstances indicate that the carrying value of an asset may not be recoverable. If the estimated fair value or undiscounted future cash flows from the use of an asset are less than the carrying value of that asset, a write-down is recorded to reduce the carrying value of the asset to its estimated fair value. The Company evaluates its indefinite-life intangible assets annually or whenever events or changes in circumstances indicate an impairment of the assets’ value may exist.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Pandemic</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There is uncertainty around the breadth and duration of the Company's business disruptions related to the COVID-19 pandemic. The decline in demand for the Company's products beginning the second quarter of fiscal year 2020, which it believes was due to the COVID-19 pandemic, negatively impacted its sales and profitability for the last three quarters of fiscal year 2020 and all of fiscal years 2021 and 2022. The COVID-19 pandemic may impact its sales and profitability in future periods. The duration of these trends and the magnitude of such impacts are uncertain and therefore cannot be estimated at this time, as they are influenced by a number of factors, many of which are outside management’s control. The full impact of the COVID-19 pandemic on the Company's results of operations, financial condition, and liquidity, including its ability to comply with debt covenants, for fiscal year 2023 and beyond, is driven by estimates that contain uncertainties.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The annual, or interim, goodwill impairment test is performed by comparing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960" w:firstLine="3"/>
        <w:spacing w:after="0" w:line="382" w:lineRule="auto"/>
        <w:tabs>
          <w:tab w:leader="none" w:pos="172"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Goodwill (continued)</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a reporting unit with its carrying amount. An impairment charge is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Goodwill impairment testing involves significant judgment and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Financial Instruments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Accounts receivable, accounts payable, growers and suppliers payable and accrued liabilities reported on the Company’s consolidated balance sheets approximate their fair values due to the short-term nature of the instruments.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Based on the borrowing rates currently available to the Company for bank loans with similar terms and maturities, the fair value of long-term debt is approximately equal to its carrying amount as of October 31, 2022 and 2021.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Comprehensive (Loss) Income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Comprehensive income or loss represents all changes in a company’s net assets, except changes resulting from transactions with stockholders. Other comprehensive income or loss primarily includes foreign currency translation items, defined benefit pension items and unrealized gains or losses on available-for-sale securities. Accumulated other comprehensive loss is reported as a component of the Company's stockholders' equity.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changes in other comprehensive (loss) income by component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Pre-tax</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Pre-tax</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Pre-tax</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88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9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8"/>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Amounts reclassified to earnings included in</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Amounts reclassified to earnings included in</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changes in accumulated other comprehensive (loss) income by component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Foreign Currency</w:t>
            </w:r>
          </w:p>
        </w:tc>
        <w:tc>
          <w:tcPr>
            <w:tcW w:w="120" w:type="dxa"/>
            <w:vAlign w:val="bottom"/>
          </w:tcPr>
          <w:p>
            <w:pPr>
              <w:spacing w:after="0"/>
              <w:rPr>
                <w:sz w:val="15"/>
                <w:szCs w:val="15"/>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Defined Benefit</w:t>
            </w:r>
          </w:p>
        </w:tc>
        <w:tc>
          <w:tcPr>
            <w:tcW w:w="15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66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540" w:type="dxa"/>
            <w:vAlign w:val="bottom"/>
            <w:gridSpan w:val="4"/>
            <w:vMerge w:val="continue"/>
          </w:tcPr>
          <w:p>
            <w:pPr>
              <w:spacing w:after="0"/>
              <w:rPr>
                <w:sz w:val="13"/>
                <w:szCs w:val="13"/>
                <w:color w:val="auto"/>
              </w:rPr>
            </w:pPr>
          </w:p>
        </w:tc>
        <w:tc>
          <w:tcPr>
            <w:tcW w:w="166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 (Loss)</w:t>
            </w:r>
          </w:p>
        </w:tc>
        <w:tc>
          <w:tcPr>
            <w:tcW w:w="0" w:type="dxa"/>
            <w:vAlign w:val="bottom"/>
          </w:tcPr>
          <w:p>
            <w:pPr>
              <w:spacing w:after="0"/>
              <w:rPr>
                <w:sz w:val="1"/>
                <w:szCs w:val="1"/>
                <w:color w:val="auto"/>
              </w:rPr>
            </w:pPr>
          </w:p>
        </w:tc>
      </w:tr>
      <w:tr>
        <w:trPr>
          <w:trHeight w:val="205"/>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Translation Loss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Pension Plan</w:t>
            </w:r>
          </w:p>
        </w:tc>
        <w:tc>
          <w:tcPr>
            <w:tcW w:w="220" w:type="dxa"/>
            <w:vAlign w:val="bottom"/>
          </w:tcPr>
          <w:p>
            <w:pPr>
              <w:spacing w:after="0"/>
              <w:rPr>
                <w:sz w:val="17"/>
                <w:szCs w:val="17"/>
                <w:color w:val="auto"/>
              </w:rPr>
            </w:pP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66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0" w:type="dxa"/>
            <w:vAlign w:val="bottom"/>
          </w:tcPr>
          <w:p>
            <w:pPr>
              <w:spacing w:after="0"/>
              <w:rPr>
                <w:sz w:val="1"/>
                <w:szCs w:val="1"/>
                <w:color w:val="auto"/>
              </w:rPr>
            </w:pPr>
          </w:p>
        </w:tc>
      </w:tr>
      <w:tr>
        <w:trPr>
          <w:trHeight w:val="20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October 31, 2019</w:t>
            </w: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(7,255)</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(loss) income</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October 31, 2020</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(7,548)</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(loss) income</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October 31, 2021</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(5,733)</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(loss) income</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(2,175)</w:t>
            </w:r>
          </w:p>
        </w:tc>
        <w:tc>
          <w:tcPr>
            <w:tcW w:w="0" w:type="dxa"/>
            <w:vAlign w:val="bottom"/>
          </w:tcPr>
          <w:p>
            <w:pPr>
              <w:spacing w:after="0"/>
              <w:rPr>
                <w:sz w:val="1"/>
                <w:szCs w:val="1"/>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October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San Pablo and PDA’s functional currency is the Chilean Peso. Their balance sheets are translated to U.S. dollars at exchange rates in effect at the balance sheet date and their income statements are translated at average exchange rates during the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960" w:firstLine="3"/>
        <w:spacing w:after="0" w:line="382" w:lineRule="auto"/>
        <w:tabs>
          <w:tab w:leader="none" w:pos="172"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Foreign Currency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The resulting foreign currency translation adjustments are recorded as a separate component of accumulated other comprehensive (loss) income.</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Aggregate foreign exchange transaction losses realized for the Company's foreign subsidiaries were approximately $204,000 and $646,000 for fiscal years 2022 and 2021, respectively, and are included in selling, general and administrative expenses in the consolidated statements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Company recognizes revenue 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and recognizes revenue to depict the transfer of promised goods or services to customers in an amount that reflects the consideration to which the Company expects to be entitled in exchange for those goods or services. To achieve that core principle, the Company applies the following steps:</w:t>
      </w:r>
    </w:p>
    <w:p>
      <w:pPr>
        <w:spacing w:after="0" w:line="61"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entity satisfies a performance obligation.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determines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Agribusiness revenue - </w:t>
      </w:r>
      <w:r>
        <w:rPr>
          <w:rFonts w:ascii="Times New Roman" w:cs="Times New Roman" w:eastAsia="Times New Roman" w:hAnsi="Times New Roman"/>
          <w:sz w:val="17"/>
          <w:szCs w:val="17"/>
          <w:color w:val="auto"/>
        </w:rPr>
        <w:t>Revenue from lemon sales is generally recognized at a point in time when the customer takes control of the fruit from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packinghouse, which aligns with the transfer of title to the customer. The Company has elected to treat any shipping and handling costs incurred after control of the goods has been transferred to the customer as agribusiness costs.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avocados, oranges, specialty citrus and other specialty crops are packed and sold by third-party packinghouses. The Company’s arrangements with its third-party packinghouses are such that the Company is the producer and supplier of the product and the third-party packinghouses are the Company’s customers. The Company controls the product until it is delivered to the third-party packinghouses at which time control of the product is transferred to the third-party packinghouses and revenue is recognized.</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Revenue from crop insurance proceeds is recorded when the amount can be reasonably determined and upon establishment of the present right to payment. We recorded agribusiness revenues from crop insurance proceeds of $449,000 in fiscal year 2022. There were no proceeds received in fiscal years 2021and 2020.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Advertising costs are expensed as incurred. Advertising costs were $165,000, $178,000 and $239,000 in fiscal years 2022, 2021 and 2020,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Accounting for Leases as a Lessee </w:t>
      </w:r>
      <w:r>
        <w:rPr>
          <w:rFonts w:ascii="Times New Roman" w:cs="Times New Roman" w:eastAsia="Times New Roman" w:hAnsi="Times New Roman"/>
          <w:sz w:val="17"/>
          <w:szCs w:val="17"/>
          <w:color w:val="auto"/>
        </w:rPr>
        <w:t>- In its ordinary course of business, the Company enters into leases as a lessee generally for agricultural land and packinghouse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facilities and equipment. The Company determines if an arrangement is a lease or contains a lease at inception. Operating and finance leases are included in other assets, accrued liabilities and other long-term liabilities 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960" w:firstLine="3"/>
        <w:spacing w:after="0" w:line="382" w:lineRule="auto"/>
        <w:tabs>
          <w:tab w:leader="none" w:pos="172"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Leases (continued)</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its consolidated balance sheets. Lease right-of-use (“ROU”) assets represent the right to use an underlying asset for the lease term and lease liabilities represent the obligation to make lease payments arising from the lease, measured on a discounted basis. Lease ROU assets and lease liabilities are recognized based on the present value of the future minimum lease payments over the lease term at commencement date. The Company uses either its incremental borrowing rate based on the information available at commencement date, or the rate implicit in the lease, if known, in determining the present value of future payments.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Operating 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has material leases with related parties which are further described in Note 14 - Related-Party Transactions.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12 - Leases for additional information.</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Accounting for Leases as a Lessor </w:t>
      </w:r>
      <w:r>
        <w:rPr>
          <w:rFonts w:ascii="Times New Roman" w:cs="Times New Roman" w:eastAsia="Times New Roman" w:hAnsi="Times New Roman"/>
          <w:sz w:val="17"/>
          <w:szCs w:val="17"/>
          <w:color w:val="auto"/>
        </w:rPr>
        <w:t>- Leases in which the Company acts as the lessor include land, residential and commercial units and are all classified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Basic and Diluted Net Loss per Share</w:t>
      </w:r>
    </w:p>
    <w:p>
      <w:pPr>
        <w:spacing w:after="0" w:line="1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Basic net loss per common share is calculated using the weighted-average number of common shares outstanding during the period without consideration of the dilutive effect of conversion of preferred stock. Diluted net loss per common share is calculated using the weighted-average number of common shares outstanding during the period plus the dilutive effect of conversion of unvested, restricted stock and preferred stock.</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Diluted net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Benefit Retirement Plan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sponsors a defined benefit retirement plan (the "Plan") that was frozen in June 2004, and no future benefits have been accrued to participants subsequent to that time. Ongoing accounting for this plan under FASB ASC 715, </w:t>
      </w:r>
      <w:r>
        <w:rPr>
          <w:rFonts w:ascii="Times New Roman" w:cs="Times New Roman" w:eastAsia="Times New Roman" w:hAnsi="Times New Roman"/>
          <w:sz w:val="17"/>
          <w:szCs w:val="17"/>
          <w:i w:val="1"/>
          <w:iCs w:val="1"/>
          <w:color w:val="auto"/>
        </w:rPr>
        <w:t>Compensation – Retirement Benefits,</w:t>
      </w:r>
      <w:r>
        <w:rPr>
          <w:rFonts w:ascii="Times New Roman" w:cs="Times New Roman" w:eastAsia="Times New Roman" w:hAnsi="Times New Roman"/>
          <w:sz w:val="17"/>
          <w:szCs w:val="17"/>
          <w:color w:val="auto"/>
        </w:rPr>
        <w:t xml:space="preserve"> provides guidance as to, among other things, future estimated pension expense, pension liability and minimum funding requirements. This information is provided to the Company by third-party actuarial consultants. In developing this data, certain estimates and assumptions are used, including among other things, discount rate, long-term rate of return and mortality tables.</w:t>
      </w:r>
    </w:p>
    <w:p>
      <w:pPr>
        <w:spacing w:after="0" w:line="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fiscal year 2021, the Company decided to terminate the Plan effective December 31, 2021. The liabilities disclosed as of October 31, 2022 and 2021, reflect an estimate of the additional cost to pay lump sums to a portion of the active and vested terminated participants and purchase annuities for all remaining participants from an insurance company.</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used the latest mortality tables released by the Society of Actuaries through October 2022 to measure its pension obligation as of October 31, 2022 and combined with the assumed discount rate and other demographic assumptions, its pension liability increased by approximately $1,425,000 as of October 31, 2022.</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November 4, 2022, the Company entered into an agreement with Principal Life Insurance Company for the purchase of an annuity contract in connection with the Plan termination. On November 10, 2022, the annuity contract was purchased for $12,617,000, payable with Plan assets and a $2,500,000 cash payment from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960" w:firstLine="3"/>
        <w:spacing w:after="0" w:line="371" w:lineRule="auto"/>
        <w:tabs>
          <w:tab w:leader="none" w:pos="172"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Recent Accounting Pronouncements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Accounting Standards Board ("FASB") Accounting Standards Update ("ASU") 2020-06, Debt—Debt with Conversion and Other Options (Subtopic 470-</w:t>
      </w:r>
    </w:p>
    <w:p>
      <w:pPr>
        <w:spacing w:after="0" w:line="32" w:lineRule="exact"/>
        <w:rPr>
          <w:sz w:val="20"/>
          <w:szCs w:val="20"/>
          <w:color w:val="auto"/>
        </w:rPr>
      </w:pPr>
    </w:p>
    <w:p>
      <w:pPr>
        <w:ind w:firstLine="3"/>
        <w:spacing w:after="0" w:line="266" w:lineRule="auto"/>
        <w:tabs>
          <w:tab w:leader="none" w:pos="275"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and Derivatives and Hedging—Contracts in Entity’s Own Equity (Subtopic 815-40): Accounting for Convertible Instruments and Contracts in an Entity’s Own Equity</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amendment simplifies accounting for convertible instruments by removing major separation models currently required under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adopted this ASU effective November 1, 2021 and the adoption did not have a material impact on its consolidated financial statements.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 Prepaid Expenses and Other 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at October 31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supplies and insurance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w:t>
            </w:r>
          </w:p>
        </w:tc>
        <w:tc>
          <w:tcPr>
            <w:tcW w:w="0" w:type="dxa"/>
            <w:vAlign w:val="bottom"/>
          </w:tcPr>
          <w:p>
            <w:pPr>
              <w:spacing w:after="0"/>
              <w:rPr>
                <w:sz w:val="1"/>
                <w:szCs w:val="1"/>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 receivable and related interest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development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w:t>
            </w:r>
          </w:p>
        </w:tc>
        <w:tc>
          <w:tcPr>
            <w:tcW w:w="0" w:type="dxa"/>
            <w:vAlign w:val="bottom"/>
          </w:tcPr>
          <w:p>
            <w:pPr>
              <w:spacing w:after="0"/>
              <w:rPr>
                <w:sz w:val="1"/>
                <w:szCs w:val="1"/>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tax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Lemon supplier advances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4. Property, Plant and Equipment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consists of the following at October 31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95,868</w:t>
            </w:r>
          </w:p>
        </w:tc>
        <w:tc>
          <w:tcPr>
            <w:tcW w:w="0" w:type="dxa"/>
            <w:vAlign w:val="bottom"/>
          </w:tcPr>
          <w:p>
            <w:pPr>
              <w:spacing w:after="0"/>
              <w:rPr>
                <w:sz w:val="1"/>
                <w:szCs w:val="1"/>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improvements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building improvements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48,565</w:t>
            </w:r>
          </w:p>
        </w:tc>
        <w:tc>
          <w:tcPr>
            <w:tcW w:w="0" w:type="dxa"/>
            <w:vAlign w:val="bottom"/>
          </w:tcPr>
          <w:p>
            <w:pPr>
              <w:spacing w:after="0"/>
              <w:rPr>
                <w:sz w:val="1"/>
                <w:szCs w:val="1"/>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62,598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Orchards and vineyards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63,454</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22,477</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328,402</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(85,982)</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222,628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242,420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was $9,075,000, $8,883,000 and $9,098,000 for fiscal years 2022, 2021 and 2020, respectively.</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August 2020, the Company sold property located in Lindsay, California. The Company received net proceeds of $6,011,000 after transaction and other costs, and recorded a loss of approximately $424,000, which is included in (gain) loss on disposal of assets in the consolidated statements of operations.</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October 2022, the Company sold the Oxnard Lemon property and packing facility located in Ventura County, California. The Company received net proceeds of $19,144,000 and recognized a gain of approximately $846,000, which is included in (gain) loss on disposal of assets in the consolidated statements of operations. Concurrent with the closing of the sale,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Property, Plant and Equipment (continued)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Company entered into a lease agreement to continue use of the property as a lessee for a period of 36 months from the closing date, with extension options for an additional 24 months.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Real Estate Development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development assets are comprised primarily of land and land development costs and consist of the following at October 31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East Area I - Retained Property</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13,335</w:t>
            </w: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East Area II</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9,493</w:t>
            </w:r>
          </w:p>
        </w:tc>
      </w:tr>
      <w:tr>
        <w:trPr>
          <w:trHeight w:val="237"/>
        </w:trPr>
        <w:tc>
          <w:tcPr>
            <w:tcW w:w="8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East Area I, Retained Property and East Area II</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$3,444,000 and $5,771,000 at October 31, 2022 and 2021, respectively, which is included in payables to related parties.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January 2018, LLCB entered into a $45,000,000 unsecured Line of Credit Loan Agreement and Promissory Note (the “Loan”) with Bank of America, N.A. to fund early development activities. The Loan, as modified and extended, matures February 22, 2023. The interest rate on the Loan is LIBOR plus 2.85% and is payable monthly. The Loan contains certain customary default provisions and LLCB may prepay any amounts outstanding under the Loan without penalty. The Loan had an outstanding balance of $4,500,000 as of October 31, 2022. The Loan has a one year extension option through February 22, 2024 subject to terms and conditions as defined in the agreement, with the maximum borrowing amount reduced to $35,000,000 during the extension period. In December 2022, LLCB exercised the extension option.</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February 2018, certain principals from Lewis and by the Company guaranteed the obligations under the Loan. The guarantors are jointly and severally liable for all Loan obligations in the event of default by LLCB. The guarantee continues in effect until all of the Loan obligations are fully paid.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After transaction costs, the Company received net proceeds of $7,917,000 and recorded a gain on the transaction of $4,652,000, of which $465,000 was deferred and $4,187,000 is included in (gain) loss on disposal of assets in the consolidated statements of operations. The joint venture partners will share in the capital contributions to fund project costs until loan proceeds and/or revenues are sufficient to fund the project. In connection with the closing, the Company and Lewis amended LLCB’s Limited Liability Company Agreement to provide that LLCB is to include the processing of final approval for additional residential units to be developed and constructed on the Retained Property.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October 31, 2022, LLCB has closed sales of the initial residential lots representing 586 residential units.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ind w:right="8280" w:firstLine="3"/>
        <w:spacing w:after="0" w:line="366" w:lineRule="auto"/>
        <w:tabs>
          <w:tab w:leader="none" w:pos="172"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Real Estate Development (continued) Other Real Estate Development Projects</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fiscal year 2020, the Company entered into an agreement to sell its Sevilla property for $2,700,000, which closed in the first quarter of fiscal year 2023. After transaction and other costs, the Company received cash proceeds of approximately $2,577,000. During fiscal year 2022, the Company incurred additional costs to prepare the asset for sale, of which $127,000 were capitalized and $153,000 were recorded in (gain) loss on disposal of assets. The carrying value of the property at October 31, 2022 and 2021, was $2,670,000 and $2,543,000, respectively, and was classified as held for sale and included in prepaid expenses and other current assets.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periodically extended with principal payments totaling $400,000 received through October 31, 2021. In fiscal year 2022, the promissory note was paid in full and the deferred gain of $161,000 was recorded in (gain) loss on disposal of assets.</w:t>
      </w:r>
    </w:p>
    <w:p>
      <w:pPr>
        <w:spacing w:after="0" w:line="64" w:lineRule="exact"/>
        <w:rPr>
          <w:sz w:val="20"/>
          <w:szCs w:val="20"/>
          <w:color w:val="auto"/>
        </w:rPr>
      </w:pPr>
    </w:p>
    <w:p>
      <w:pPr>
        <w:ind w:right="9460" w:firstLine="3"/>
        <w:spacing w:after="0" w:line="382" w:lineRule="auto"/>
        <w:tabs>
          <w:tab w:leader="none" w:pos="172"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 Investments Limco Del Mar, Ltd.</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a 1.3% interest in Limco Del Mar, Ltd. (“Del Mar”) as a general partner and a 26.8%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provides Del Mar with farm management, orchard land development and accounting services and received expense reimbursements of $202,000, $200,000 and $210,000 in fiscal years 2022, 2021 and 2020, respectively. Del Mar markets lemons through the Company pursuant to its customary marketing agreements and the amount of lemons procured from Del Mar was $1,568,000, $1,681,000 and $1,037,000 in fiscal years 2022, 2021 and 2020, respectively. Fruit proceeds due to Del Mar were $703,000 and $694,000 at October 31, 2022 and 2021, respectively, and are included in growers and suppliers payable in the accompanying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Romney Property Partnership</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Rosales S.A.</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currently has a 47% equity interest in Rosales S.A, (“Rosales”) of which 35% was acquired in fiscal year 2014 and an additional 12% interest was acquired with the purchase of PDA in fiscal year 2017. Rosales is a citrus packing, marketing and sales business located in La Serena, Chile. In addition, the Company has the right to acquire the interest of the majority shareholder of Rosales upon death or disability of Rosales’ general manager for the fair value of the interest on the date of the event as defined in the shareholders’ agreement. Since the Company has significant influence, but less than a controlling interest, the Company’s investment in Rosales is accounted for using the equity method of accounting.</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to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of investments. Amortization amounted to $118,000, $180,000 and $180,000 for fiscal years 2022, 2021 and 2020, respectively, and is estimated to be approximately $87,000 and $76,000 per year for years ending October 31, 2023 and 2024, respectively, and immaterial thereafter.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8560" w:firstLine="3"/>
        <w:spacing w:after="0" w:line="382" w:lineRule="auto"/>
        <w:tabs>
          <w:tab w:leader="none" w:pos="172"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 Investments (continued) Rosales (continued)</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recognized $3,615,000, $3,405,000 and $3,975,000 of lemon sales to Rosales in fiscal years 2022, 2021 and 2020, respectively. In fiscal years 2022, 2021 and 2020, the aggregate amount of lemons and oranges procured from Rosales was $3,821,000, $5,304,000 and $3,190,000, respectively. Amounts due from Rosales were $270,000 and $1,570,000 at October 31, 2022 and 2021, respectively, and are included in receivables/other from related parties.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Limoneira Lewis Community Builders, LLC (“LLCB”)</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described in Note 5 – Real Estate Development, the Company has a joint venture with Lewis for the residential development of its East Area I real estate development project. In addition to the assessment performed by the Company of its investment in LLCB under the requirements of Regulation S-X Rule 4-08(g), the Company also assessed its investment in LLCB under the requirements of Regulation S-X Rule 3-09(b). LLCB was not deemed significant for the years ended October 31, 2022 and 2020 but was significant for the year ended October 31, 2021. Therefore, the audited financial statements of LLCB for the years ended October 31, 2022, 2021 and 2020 are provided as exhibits to this document to comply with this rule. Additionally, there is a basis difference between the Company’s historical investment in the project and the amount recorded in members’ capital by LLCB of $52,431,000 as of October 31, 2022. The basis difference of $8,723,000 at October 31, 2022 is primarily comprised of capitalized interest, amounts related to the loan guarantee and certain other costs incurred by Limoneira Company during the development period. This basis difference is being amortized as lots are sold utilizing the relative sales value method and the amount amortized in fiscal years 2022, 2021 and 2020 totaled $77,000, $1,434,000 and $1,060,000, respectively. The Company's share of LLCB's net income for fiscal years 2022, 2021 and 2020 prior to basis amortization was $1,015,000, $4,508,000 and 1,386,000,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LLCB II, LLC (“LLCB II”)</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described in Note 5 - Real Estate Development, in October 2022, the Company formed a joint venture with Lewis for the residential development of its Retained Property. Control is shared with Lewis, therefore the Company's investment in LLCB II is accounted for using the equity method of accounting.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financial information of the equity method investees for fiscal years 2022,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Del Mar</w:t>
            </w: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Romney</w:t>
            </w:r>
          </w:p>
        </w:tc>
        <w:tc>
          <w:tcPr>
            <w:tcW w:w="2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Rosales</w:t>
            </w:r>
          </w:p>
        </w:tc>
        <w:tc>
          <w:tcPr>
            <w:tcW w:w="24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LLCB</w:t>
            </w:r>
          </w:p>
        </w:tc>
        <w:tc>
          <w:tcPr>
            <w:tcW w:w="20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LLCB II</w:t>
            </w:r>
          </w:p>
        </w:tc>
      </w:tr>
      <w:tr>
        <w:trPr>
          <w:trHeight w:val="212"/>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116,596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16,051</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9,087</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Equity in Investments (continued)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87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The Company’s investment and equity in earnings (losses) of the equity method investees are as follows (in thousands):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Del Mar</w:t>
            </w:r>
          </w:p>
        </w:tc>
        <w:tc>
          <w:tcPr>
            <w:tcW w:w="1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Romney</w:t>
            </w:r>
          </w:p>
        </w:tc>
        <w:tc>
          <w:tcPr>
            <w:tcW w:w="20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Rosales</w:t>
            </w:r>
          </w:p>
        </w:tc>
        <w:tc>
          <w:tcPr>
            <w:tcW w:w="24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LLCB</w:t>
            </w:r>
          </w:p>
        </w:tc>
        <w:tc>
          <w:tcPr>
            <w:tcW w:w="18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LLCB II</w:t>
            </w:r>
          </w:p>
        </w:tc>
        <w:tc>
          <w:tcPr>
            <w:tcW w:w="100" w:type="dxa"/>
            <w:vAlign w:val="bottom"/>
          </w:tcPr>
          <w:p>
            <w:pPr>
              <w:spacing w:after="0"/>
              <w:rPr>
                <w:sz w:val="24"/>
                <w:szCs w:val="24"/>
                <w:color w:val="auto"/>
              </w:rPr>
            </w:pP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balance October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58,223</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(losses)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contributions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adjustments</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balance October 31, 2020</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57,142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61,214</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(losses)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distributions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adjustments</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balance October 31, 2021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64,072</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(losses)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distributions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contributions</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adjustments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12"/>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balance October 31, 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8,023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72,855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7. Goodwill and Intangible Assets, Net</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 summary of the change in the carrying amount of goodwill is as follows (in thousands):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Goodwill Carrying</w:t>
            </w:r>
          </w:p>
        </w:tc>
        <w:tc>
          <w:tcPr>
            <w:tcW w:w="0" w:type="dxa"/>
            <w:vAlign w:val="bottom"/>
          </w:tcPr>
          <w:p>
            <w:pPr>
              <w:spacing w:after="0"/>
              <w:rPr>
                <w:sz w:val="1"/>
                <w:szCs w:val="1"/>
                <w:color w:val="auto"/>
              </w:rPr>
            </w:pPr>
          </w:p>
        </w:tc>
      </w:tr>
      <w:tr>
        <w:trPr>
          <w:trHeight w:val="227"/>
        </w:trPr>
        <w:tc>
          <w:tcPr>
            <w:tcW w:w="3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October 31, 2020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October 31, 2021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October 31, 2022</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Goodwill is tested for impairment on an annual basis or when an event or changes in circumstances indicate that its carrying value may not be recoverable. The Company concluded that no potential impairment indicators existed during any interim period and performed its annual assessment of goodwill impairment as of July 31, 2022 with no impairment noted. The Company did not incur any goodwill impairment losses in fiscal years 2022, 2021 or 2020, as the estimated fair values of its reporting units were in excess of their carrying values.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October 31, 2022, the Company has allocated goodwill to its reportable segments as follows: Fresh Lemons $936,000 and Lemon Packing $570,000.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fiscal year ended October 31, 2021, the Company acquired additional water rights in Chile for $186,000.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Goodwill and Intangible Assets, Net (continued)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consisted of the following as of October 31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jc w:val="center"/>
              <w:ind w:left="5"/>
              <w:spacing w:after="0" w:line="122"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6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Useful Life in</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Useful Life 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66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Intangible assets: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96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2,377</w:t>
            </w:r>
          </w:p>
        </w:tc>
        <w:tc>
          <w:tcPr>
            <w:tcW w:w="960" w:type="dxa"/>
            <w:vAlign w:val="bottom"/>
          </w:tcPr>
          <w:p>
            <w:pPr>
              <w:jc w:val="center"/>
              <w:ind w:left="2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Non-competition agreement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96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Acquired water and mineral rights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7,317</w:t>
            </w: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940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Amortization expense totaled $723,000, $929,000, and $999,000 for the years ended October 31, 2022, 2021 and 2020, respectively.</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Estimated future amortization expense of intangible assets for each of the next five fiscal years and thereafter are as follows (in thousands):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Other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Mutual Water Companies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October 31, 2022 and 2021 were $6,500,000 and $5,994,000,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Accrued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liabilities consist of the following at October 31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w:t>
            </w:r>
          </w:p>
        </w:tc>
      </w:tr>
      <w:tr>
        <w:trPr>
          <w:trHeight w:val="21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r>
      <w:tr>
        <w:trPr>
          <w:trHeight w:val="21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w:t>
            </w:r>
          </w:p>
        </w:tc>
      </w:tr>
      <w:tr>
        <w:trPr>
          <w:trHeight w:val="212"/>
        </w:trPr>
        <w:tc>
          <w:tcPr>
            <w:tcW w:w="84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6,542</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Long-Term Debt</w:t>
      </w:r>
    </w:p>
    <w:p>
      <w:pPr>
        <w:sectPr>
          <w:pgSz w:w="11900" w:h="16838" w:orient="portrait"/>
          <w:cols w:equalWidth="0" w:num="1">
            <w:col w:w="11240"/>
          </w:cols>
          <w:pgMar w:left="320" w:top="351" w:right="33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is comprised of the following at October 31 (in thousands):</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Farm Credit West revolving and non-revolving lines of credit: The interest rate of the revolving line of credit is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138670" cy="5810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581025"/>
                    </a:xfrm>
                    <a:prstGeom prst="rect">
                      <a:avLst/>
                    </a:prstGeom>
                    <a:noFill/>
                  </pic:spPr>
                </pic:pic>
              </a:graphicData>
            </a:graphic>
          </wp:anchor>
        </w:drawing>
      </w:r>
    </w:p>
    <w:p>
      <w:pPr>
        <w:ind w:left="20"/>
        <w:spacing w:after="0" w:line="221" w:lineRule="auto"/>
        <w:rPr>
          <w:sz w:val="20"/>
          <w:szCs w:val="20"/>
          <w:color w:val="auto"/>
        </w:rPr>
      </w:pPr>
      <w:r>
        <w:rPr>
          <w:rFonts w:ascii="Times New Roman" w:cs="Times New Roman" w:eastAsia="Times New Roman" w:hAnsi="Times New Roman"/>
          <w:sz w:val="17"/>
          <w:szCs w:val="17"/>
          <w:color w:val="auto"/>
        </w:rPr>
        <w:t>based on the one-month London Interbank Offered Rate (“LIBOR”), which was 3.12% at October 31, 2022, plus 1.85%.</w:t>
      </w:r>
    </w:p>
    <w:p>
      <w:pPr>
        <w:ind w:left="20"/>
        <w:spacing w:after="0" w:line="206" w:lineRule="auto"/>
        <w:rPr>
          <w:sz w:val="20"/>
          <w:szCs w:val="20"/>
          <w:color w:val="auto"/>
        </w:rPr>
      </w:pPr>
      <w:r>
        <w:rPr>
          <w:rFonts w:ascii="Times New Roman" w:cs="Times New Roman" w:eastAsia="Times New Roman" w:hAnsi="Times New Roman"/>
          <w:sz w:val="17"/>
          <w:szCs w:val="17"/>
          <w:color w:val="auto"/>
        </w:rPr>
        <w:t>The interest rate for the $40.0 million outstanding balance of the non-revolving line of credit was fixed at 4.77% through</w:t>
      </w:r>
    </w:p>
    <w:p>
      <w:pPr>
        <w:ind w:left="20"/>
        <w:spacing w:after="0" w:line="206" w:lineRule="auto"/>
        <w:rPr>
          <w:sz w:val="20"/>
          <w:szCs w:val="20"/>
          <w:color w:val="auto"/>
        </w:rPr>
      </w:pPr>
      <w:r>
        <w:rPr>
          <w:rFonts w:ascii="Times New Roman" w:cs="Times New Roman" w:eastAsia="Times New Roman" w:hAnsi="Times New Roman"/>
          <w:sz w:val="17"/>
          <w:szCs w:val="17"/>
          <w:color w:val="auto"/>
        </w:rPr>
        <w:t>July 1, 2022, is 3.57% through July 1, 2025 and variable thereafter. Interest is payable monthly and the principal is due in</w:t>
      </w:r>
    </w:p>
    <w:p>
      <w:pPr>
        <w:ind w:left="20"/>
        <w:spacing w:after="0"/>
        <w:tabs>
          <w:tab w:leader="none" w:pos="8600" w:val="left"/>
        </w:tabs>
        <w:rPr>
          <w:sz w:val="20"/>
          <w:szCs w:val="20"/>
          <w:color w:val="auto"/>
        </w:rPr>
      </w:pPr>
      <w:r>
        <w:rPr>
          <w:rFonts w:ascii="Times New Roman" w:cs="Times New Roman" w:eastAsia="Times New Roman" w:hAnsi="Times New Roman"/>
          <w:sz w:val="17"/>
          <w:szCs w:val="17"/>
          <w:color w:val="auto"/>
        </w:rPr>
        <w:t>full on July 1, 2026.</w:t>
      </w:r>
      <w:r>
        <w:rPr>
          <w:sz w:val="20"/>
          <w:szCs w:val="20"/>
          <w:color w:val="auto"/>
        </w:rPr>
        <w:tab/>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Farm Credit West term loan: The loan was repaid in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2540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4" w:lineRule="exact"/>
        <w:rPr>
          <w:sz w:val="20"/>
          <w:szCs w:val="20"/>
          <w:color w:val="auto"/>
        </w:rPr>
      </w:pPr>
    </w:p>
    <w:p>
      <w:pPr>
        <w:ind w:left="20" w:right="120"/>
        <w:spacing w:after="0" w:line="237" w:lineRule="auto"/>
        <w:rPr>
          <w:sz w:val="20"/>
          <w:szCs w:val="20"/>
          <w:color w:val="auto"/>
        </w:rPr>
      </w:pPr>
      <w:r>
        <w:rPr>
          <w:rFonts w:ascii="Times New Roman" w:cs="Times New Roman" w:eastAsia="Times New Roman" w:hAnsi="Times New Roman"/>
          <w:sz w:val="17"/>
          <w:szCs w:val="17"/>
          <w:color w:val="auto"/>
        </w:rPr>
        <w:t>Farm Credit West term loan: The interest rate is fixed at 3.24%. The loan is payable in monthly installments through October 2035.</w:t>
      </w:r>
    </w:p>
    <w:p>
      <w:pPr>
        <w:spacing w:after="0" w:line="10" w:lineRule="exact"/>
        <w:rPr>
          <w:sz w:val="20"/>
          <w:szCs w:val="20"/>
          <w:color w:val="auto"/>
        </w:rPr>
      </w:pPr>
    </w:p>
    <w:p>
      <w:pPr>
        <w:ind w:left="20" w:right="120"/>
        <w:spacing w:after="0" w:line="239" w:lineRule="auto"/>
        <w:rPr>
          <w:sz w:val="20"/>
          <w:szCs w:val="20"/>
          <w:color w:val="auto"/>
        </w:rPr>
      </w:pPr>
      <w:r>
        <w:rPr>
          <w:rFonts w:ascii="Times New Roman" w:cs="Times New Roman" w:eastAsia="Times New Roman" w:hAnsi="Times New Roman"/>
          <w:sz w:val="17"/>
          <w:szCs w:val="17"/>
          <w:color w:val="auto"/>
        </w:rPr>
        <w:t>Farm Credit West term loan: The interest rate is fixed at 3.24%. The loan is payable in monthly installments through March 2036.</w:t>
      </w:r>
    </w:p>
    <w:p>
      <w:pPr>
        <w:spacing w:after="0" w:line="10" w:lineRule="exact"/>
        <w:rPr>
          <w:sz w:val="20"/>
          <w:szCs w:val="20"/>
          <w:color w:val="auto"/>
        </w:rPr>
      </w:pPr>
    </w:p>
    <w:p>
      <w:pPr>
        <w:ind w:left="20" w:right="120"/>
        <w:spacing w:after="0" w:line="239" w:lineRule="auto"/>
        <w:rPr>
          <w:sz w:val="20"/>
          <w:szCs w:val="20"/>
          <w:color w:val="auto"/>
        </w:rPr>
      </w:pPr>
      <w:r>
        <w:rPr>
          <w:rFonts w:ascii="Times New Roman" w:cs="Times New Roman" w:eastAsia="Times New Roman" w:hAnsi="Times New Roman"/>
          <w:sz w:val="17"/>
          <w:szCs w:val="17"/>
          <w:color w:val="auto"/>
        </w:rPr>
        <w:t>Farm Credit West term loan: The interest rate is fixed at 2.77% until July 1, 2025, becoming variable for the remainder of the loan. The loan is payable in monthly installments through March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20" w:right="120"/>
        <w:spacing w:after="0" w:line="239" w:lineRule="auto"/>
        <w:rPr>
          <w:sz w:val="20"/>
          <w:szCs w:val="20"/>
          <w:color w:val="auto"/>
        </w:rPr>
      </w:pPr>
      <w:r>
        <w:rPr>
          <w:rFonts w:ascii="Times New Roman" w:cs="Times New Roman" w:eastAsia="Times New Roman" w:hAnsi="Times New Roman"/>
          <w:sz w:val="17"/>
          <w:szCs w:val="17"/>
          <w:color w:val="auto"/>
        </w:rPr>
        <w:t>Farm Credit West term loan: The interest rate is fixed at 3.19%. The loan is payable in monthly installments through September 2026.</w:t>
      </w:r>
    </w:p>
    <w:p>
      <w:pPr>
        <w:spacing w:after="0" w:line="10" w:lineRule="exact"/>
        <w:rPr>
          <w:sz w:val="20"/>
          <w:szCs w:val="20"/>
          <w:color w:val="auto"/>
        </w:rPr>
      </w:pPr>
    </w:p>
    <w:p>
      <w:pPr>
        <w:ind w:left="20" w:right="120"/>
        <w:spacing w:after="0" w:line="239" w:lineRule="auto"/>
        <w:rPr>
          <w:sz w:val="20"/>
          <w:szCs w:val="20"/>
          <w:color w:val="auto"/>
        </w:rPr>
      </w:pPr>
      <w:r>
        <w:rPr>
          <w:rFonts w:ascii="Times New Roman" w:cs="Times New Roman" w:eastAsia="Times New Roman" w:hAnsi="Times New Roman"/>
          <w:sz w:val="17"/>
          <w:szCs w:val="17"/>
          <w:color w:val="auto"/>
        </w:rPr>
        <w:t>Banco de Chile term loan: The interest rate is fixed at 6.48%. The loan is payable in annual installments through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Note Payable: The Note Payable was repaid in October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254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8" w:lineRule="exact"/>
        <w:rPr>
          <w:sz w:val="20"/>
          <w:szCs w:val="20"/>
          <w:color w:val="auto"/>
        </w:rPr>
      </w:pPr>
    </w:p>
    <w:p>
      <w:pPr>
        <w:ind w:left="20" w:right="120"/>
        <w:spacing w:after="0" w:line="237" w:lineRule="auto"/>
        <w:rPr>
          <w:sz w:val="20"/>
          <w:szCs w:val="20"/>
          <w:color w:val="auto"/>
        </w:rPr>
      </w:pPr>
      <w:r>
        <w:rPr>
          <w:rFonts w:ascii="Times New Roman" w:cs="Times New Roman" w:eastAsia="Times New Roman" w:hAnsi="Times New Roman"/>
          <w:sz w:val="17"/>
          <w:szCs w:val="17"/>
          <w:color w:val="auto"/>
        </w:rPr>
        <w:t>Banco de Chile COVID-19 loans: The interest rates are fixed at 3.48%. The loans are payable in monthly installments through September 2024.</w:t>
      </w:r>
    </w:p>
    <w:p>
      <w:pPr>
        <w:spacing w:after="0" w:line="10" w:lineRule="exact"/>
        <w:rPr>
          <w:sz w:val="20"/>
          <w:szCs w:val="20"/>
          <w:color w:val="auto"/>
        </w:rPr>
      </w:pPr>
    </w:p>
    <w:p>
      <w:pPr>
        <w:ind w:left="20" w:right="660"/>
        <w:spacing w:after="0" w:line="239" w:lineRule="auto"/>
        <w:rPr>
          <w:sz w:val="20"/>
          <w:szCs w:val="20"/>
          <w:color w:val="auto"/>
        </w:rPr>
      </w:pPr>
      <w:r>
        <w:rPr>
          <w:rFonts w:ascii="Times New Roman" w:cs="Times New Roman" w:eastAsia="Times New Roman" w:hAnsi="Times New Roman"/>
          <w:sz w:val="17"/>
          <w:szCs w:val="17"/>
          <w:color w:val="auto"/>
        </w:rPr>
        <w:t>Banco de Chile COVID-19 loans: The interest rates are fixed at 3.48% and 4.26%. The loans are payable in monthly installments through September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tabs>
          <w:tab w:leader="none" w:pos="900" w:val="left"/>
          <w:tab w:leader="none" w:pos="1560" w:val="left"/>
        </w:tabs>
        <w:rPr>
          <w:sz w:val="20"/>
          <w:szCs w:val="20"/>
          <w:color w:val="auto"/>
        </w:rPr>
      </w:pPr>
      <w:r>
        <w:rPr>
          <w:rFonts w:ascii="Times New Roman" w:cs="Times New Roman" w:eastAsia="Times New Roman" w:hAnsi="Times New Roman"/>
          <w:sz w:val="17"/>
          <w:szCs w:val="17"/>
          <w:color w:val="auto"/>
        </w:rPr>
        <w:t>88,521</w:t>
        <w:tab/>
        <w:t>$</w:t>
      </w:r>
      <w:r>
        <w:rPr>
          <w:sz w:val="20"/>
          <w:szCs w:val="20"/>
          <w:color w:val="auto"/>
        </w:rPr>
        <w:tab/>
      </w:r>
      <w:r>
        <w:rPr>
          <w:rFonts w:ascii="Times New Roman" w:cs="Times New Roman" w:eastAsia="Times New Roman" w:hAnsi="Times New Roman"/>
          <w:sz w:val="16"/>
          <w:szCs w:val="16"/>
          <w:color w:val="auto"/>
        </w:rPr>
        <w:t>111,293</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—809</w:t>
      </w:r>
    </w:p>
    <w:p>
      <w:pPr>
        <w:spacing w:after="0" w:line="200" w:lineRule="exact"/>
        <w:rPr>
          <w:sz w:val="20"/>
          <w:szCs w:val="20"/>
          <w:color w:val="auto"/>
        </w:rPr>
      </w:pPr>
    </w:p>
    <w:p>
      <w:pPr>
        <w:ind w:left="500"/>
        <w:spacing w:after="0"/>
        <w:tabs>
          <w:tab w:leader="none" w:pos="1840" w:val="left"/>
        </w:tabs>
        <w:rPr>
          <w:sz w:val="20"/>
          <w:szCs w:val="20"/>
          <w:color w:val="auto"/>
        </w:rPr>
      </w:pPr>
      <w:r>
        <w:rPr>
          <w:rFonts w:ascii="Times New Roman" w:cs="Times New Roman" w:eastAsia="Times New Roman" w:hAnsi="Times New Roman"/>
          <w:sz w:val="17"/>
          <w:szCs w:val="17"/>
          <w:color w:val="auto"/>
        </w:rPr>
        <w:t>919</w:t>
      </w:r>
      <w:r>
        <w:rPr>
          <w:sz w:val="20"/>
          <w:szCs w:val="20"/>
          <w:color w:val="auto"/>
        </w:rPr>
        <w:tab/>
      </w:r>
      <w:r>
        <w:rPr>
          <w:rFonts w:ascii="Times New Roman" w:cs="Times New Roman" w:eastAsia="Times New Roman" w:hAnsi="Times New Roman"/>
          <w:sz w:val="17"/>
          <w:szCs w:val="17"/>
          <w:color w:val="auto"/>
        </w:rPr>
        <w:t>974</w:t>
      </w:r>
    </w:p>
    <w:p>
      <w:pPr>
        <w:spacing w:after="0" w:line="204" w:lineRule="exact"/>
        <w:rPr>
          <w:sz w:val="20"/>
          <w:szCs w:val="20"/>
          <w:color w:val="auto"/>
        </w:rPr>
      </w:pPr>
    </w:p>
    <w:p>
      <w:pPr>
        <w:ind w:left="360"/>
        <w:spacing w:after="0"/>
        <w:tabs>
          <w:tab w:leader="none" w:pos="1700" w:val="left"/>
        </w:tabs>
        <w:rPr>
          <w:sz w:val="20"/>
          <w:szCs w:val="20"/>
          <w:color w:val="auto"/>
        </w:rPr>
      </w:pPr>
      <w:r>
        <w:rPr>
          <w:rFonts w:ascii="Times New Roman" w:cs="Times New Roman" w:eastAsia="Times New Roman" w:hAnsi="Times New Roman"/>
          <w:sz w:val="17"/>
          <w:szCs w:val="17"/>
          <w:color w:val="auto"/>
        </w:rPr>
        <w:t>7,562</w:t>
      </w:r>
      <w:r>
        <w:rPr>
          <w:sz w:val="20"/>
          <w:szCs w:val="20"/>
          <w:color w:val="auto"/>
        </w:rPr>
        <w:tab/>
      </w:r>
      <w:r>
        <w:rPr>
          <w:rFonts w:ascii="Times New Roman" w:cs="Times New Roman" w:eastAsia="Times New Roman" w:hAnsi="Times New Roman"/>
          <w:sz w:val="17"/>
          <w:szCs w:val="17"/>
          <w:color w:val="auto"/>
        </w:rPr>
        <w:t>8,004</w:t>
      </w:r>
    </w:p>
    <w:p>
      <w:pPr>
        <w:spacing w:after="0" w:line="204" w:lineRule="exact"/>
        <w:rPr>
          <w:sz w:val="20"/>
          <w:szCs w:val="20"/>
          <w:color w:val="auto"/>
        </w:rPr>
      </w:pPr>
    </w:p>
    <w:p>
      <w:pPr>
        <w:ind w:left="360"/>
        <w:spacing w:after="0"/>
        <w:tabs>
          <w:tab w:leader="none" w:pos="1700" w:val="left"/>
        </w:tabs>
        <w:rPr>
          <w:sz w:val="20"/>
          <w:szCs w:val="20"/>
          <w:color w:val="auto"/>
        </w:rPr>
      </w:pPr>
      <w:r>
        <w:rPr>
          <w:rFonts w:ascii="Times New Roman" w:cs="Times New Roman" w:eastAsia="Times New Roman" w:hAnsi="Times New Roman"/>
          <w:sz w:val="17"/>
          <w:szCs w:val="17"/>
          <w:color w:val="auto"/>
        </w:rPr>
        <w:t>5,555</w:t>
      </w:r>
      <w:r>
        <w:rPr>
          <w:sz w:val="20"/>
          <w:szCs w:val="20"/>
          <w:color w:val="auto"/>
        </w:rPr>
        <w:tab/>
      </w:r>
      <w:r>
        <w:rPr>
          <w:rFonts w:ascii="Times New Roman" w:cs="Times New Roman" w:eastAsia="Times New Roman" w:hAnsi="Times New Roman"/>
          <w:sz w:val="17"/>
          <w:szCs w:val="17"/>
          <w:color w:val="auto"/>
        </w:rPr>
        <w:t>5,892</w:t>
      </w:r>
    </w:p>
    <w:p>
      <w:pPr>
        <w:spacing w:after="0" w:line="204" w:lineRule="exact"/>
        <w:rPr>
          <w:sz w:val="20"/>
          <w:szCs w:val="20"/>
          <w:color w:val="auto"/>
        </w:rPr>
      </w:pPr>
    </w:p>
    <w:p>
      <w:pPr>
        <w:ind w:left="360"/>
        <w:spacing w:after="0"/>
        <w:tabs>
          <w:tab w:leader="none" w:pos="1700" w:val="left"/>
        </w:tabs>
        <w:rPr>
          <w:sz w:val="20"/>
          <w:szCs w:val="20"/>
          <w:color w:val="auto"/>
        </w:rPr>
      </w:pPr>
      <w:r>
        <w:rPr>
          <w:rFonts w:ascii="Times New Roman" w:cs="Times New Roman" w:eastAsia="Times New Roman" w:hAnsi="Times New Roman"/>
          <w:sz w:val="17"/>
          <w:szCs w:val="17"/>
          <w:color w:val="auto"/>
        </w:rPr>
        <w:t>2,003</w:t>
      </w:r>
      <w:r>
        <w:rPr>
          <w:sz w:val="20"/>
          <w:szCs w:val="20"/>
          <w:color w:val="auto"/>
        </w:rPr>
        <w:tab/>
      </w:r>
      <w:r>
        <w:rPr>
          <w:rFonts w:ascii="Times New Roman" w:cs="Times New Roman" w:eastAsia="Times New Roman" w:hAnsi="Times New Roman"/>
          <w:sz w:val="17"/>
          <w:szCs w:val="17"/>
          <w:color w:val="auto"/>
        </w:rPr>
        <w:t>2,475</w:t>
      </w:r>
    </w:p>
    <w:p>
      <w:pPr>
        <w:spacing w:after="0" w:line="204" w:lineRule="exact"/>
        <w:rPr>
          <w:sz w:val="20"/>
          <w:szCs w:val="20"/>
          <w:color w:val="auto"/>
        </w:rPr>
      </w:pPr>
    </w:p>
    <w:p>
      <w:pPr>
        <w:ind w:left="1740" w:hanging="1248"/>
        <w:spacing w:after="0"/>
        <w:tabs>
          <w:tab w:leader="none" w:pos="17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1,011</w:t>
      </w:r>
    </w:p>
    <w:p>
      <w:pPr>
        <w:spacing w:after="0" w:line="39"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—1,435</w:t>
      </w:r>
    </w:p>
    <w:p>
      <w:pPr>
        <w:spacing w:after="0" w:line="200" w:lineRule="exact"/>
        <w:rPr>
          <w:sz w:val="20"/>
          <w:szCs w:val="20"/>
          <w:color w:val="auto"/>
        </w:rPr>
      </w:pPr>
    </w:p>
    <w:p>
      <w:pPr>
        <w:ind w:left="1860" w:hanging="1368"/>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411</w:t>
      </w:r>
    </w:p>
    <w:p>
      <w:pPr>
        <w:spacing w:after="0" w:line="204" w:lineRule="exact"/>
        <w:rPr>
          <w:rFonts w:ascii="Times New Roman" w:cs="Times New Roman" w:eastAsia="Times New Roman" w:hAnsi="Times New Roman"/>
          <w:sz w:val="17"/>
          <w:szCs w:val="17"/>
          <w:color w:val="auto"/>
        </w:rPr>
      </w:pPr>
    </w:p>
    <w:p>
      <w:pPr>
        <w:ind w:left="1860" w:hanging="1368"/>
        <w:spacing w:after="0"/>
        <w:tabs>
          <w:tab w:leader="none" w:pos="18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652</w:t>
      </w:r>
    </w:p>
    <w:p>
      <w:pPr>
        <w:spacing w:after="0" w:line="25" w:lineRule="exact"/>
        <w:rPr>
          <w:sz w:val="20"/>
          <w:szCs w:val="20"/>
          <w:color w:val="auto"/>
        </w:rPr>
      </w:pPr>
    </w:p>
    <w:p>
      <w:pPr>
        <w:sectPr>
          <w:pgSz w:w="11900" w:h="16838" w:orient="portrait"/>
          <w:cols w:equalWidth="0" w:num="2">
            <w:col w:w="8700" w:space="360"/>
            <w:col w:w="2180"/>
          </w:cols>
          <w:pgMar w:left="320" w:top="351"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105,902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132,956</w:t>
            </w:r>
          </w:p>
        </w:tc>
      </w:tr>
      <w:tr>
        <w:trPr>
          <w:trHeight w:val="21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deferred financing costs, net of accumulated amortization</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132,825</w:t>
            </w:r>
          </w:p>
        </w:tc>
      </w:tr>
      <w:tr>
        <w:trPr>
          <w:trHeight w:val="21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2,472</w:t>
            </w:r>
          </w:p>
        </w:tc>
      </w:tr>
      <w:tr>
        <w:trPr>
          <w:trHeight w:val="237"/>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104,076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entered into a Master Loan Agreement (the “MLA”) with Farm Credit West, PCA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 The MLA amends and restates the previous Master Loan Agreement between the Company and the Lender and extends the principal repayment to July 1, 2026.</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March 2020, the Company entered into a revolving equity line of credit promissory note and loan agreement with the Lender for a $15,000,000 Revolving Equity Line of Credit (the "RELOC") secured by a first lien on the Windfall Investors, LLC property. The RELOC matures in 2043 and features a 3-year draw period followed by 20 years of fully amortized loan payments.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Supplements and RELOC provide aggregate borrowing capacity of $130,000,000 comprised of $75,000,000 under the Revolving Credit Supplement, $40,000,000 under the Non-Revolving Credit Supplement and $15,000,000 under the RELOC. As of October 31, 2022, the Company's outstanding borrowings under the revolving and non-revolving lines of credit were $88,521,000 and it had $41,479,000 available to borrow.</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interest rate in effect under the Revolving Credit Supplement automatically adjusted commencing July 1, 2021 and on the first day of each month thereafter. The interest rate for any amount outstanding under the Revolving Credit Supplement is based on the one-month LIBOR rate plus or minus an applicable margin. The applicable margin ranges from 1.75% to 2.35% depending on the ratio of current assets, plus the remaining available commitment divided by current liabilities. On each one year anniversary of July 1, the Company has the option to convert the interest rate in use under the Revolving Credit Supplement from the preceding LIBOR-based calculation to a variable interest rate. The Company may prepay any amounts outstanding under the Revolving Credit Supplement without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Long-Term Debt (continued)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initial interest rate in effect under the Non-Revolving Credit Supplement was a fixed interest rate of 4.77% through July 1, 2022 and then converted to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interest rate in effect under the RELOC is a variable interest rate established by the Lender corresponding to the applicable interest rate group, which was 5.50% as of October 31, 2022. The interest rate may be adjusted automatically under the provisions of the Lender's variable interest rate plan. The Company may prepay any amounts outstanding under the RELOC without penalty.</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All indebtedness under the MLA and RELOC, including any indebtedness under the Supplements, is secured by a first lien on Company-owned stock or participation certificates, Company funds maintained with the Lender, the Lender’s unallocated surplus, and certain of the Company’s agricultural properties in Tulare and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greater than or equal to 1.25:1.0 when measured at October 31, 2022 and annually thereafter. We were in compliance as of October 31, 2022.</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annual cash patronage dividends from the Lender of $1,582,000, $1,170,000 and $1,566,000 in fiscal years 2022, 2021 and 2020, respectively.</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is capitalized on non-bearing orchards, real estate development projects and significant construction in progress. The Company capitalized interest of $582,000, $1,110,000 and $921,000 during the fiscal years ended 2022, 2021 and 2020, respectively. Capitalized interest is included in property, plant and equipment and real estate development assets in the Company’s consolidated balance sheets.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was $94,000 and $131,000, net of amortization at October 31, 2022 and 2021, respectively, and was included in long-term debt on the Company’s consolidated balance sheet.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Principal payments on the Company’s long-term debt are due as follows (in thousands):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28"/>
        </w:trPr>
        <w:tc>
          <w:tcPr>
            <w:tcW w:w="9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r>
      <w:tr>
        <w:trPr>
          <w:trHeight w:val="219"/>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w:t>
            </w:r>
          </w:p>
        </w:tc>
      </w:tr>
      <w:tr>
        <w:trPr>
          <w:trHeight w:val="21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90,523</w:t>
            </w:r>
          </w:p>
        </w:tc>
      </w:tr>
      <w:tr>
        <w:trPr>
          <w:trHeight w:val="219"/>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r>
      <w:tr>
        <w:trPr>
          <w:trHeight w:val="21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1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9,476</w:t>
            </w:r>
          </w:p>
        </w:tc>
      </w:tr>
      <w:tr>
        <w:trPr>
          <w:trHeight w:val="237"/>
        </w:trPr>
        <w:tc>
          <w:tcPr>
            <w:tcW w:w="9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105,902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 Other Long-Term Liabilities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liabilities consist of the following at October 31 (in thousands):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8"/>
        </w:trPr>
        <w:tc>
          <w:tcPr>
            <w:tcW w:w="84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Minimum pension liability</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1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guarantee</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5,062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w:t>
            </w:r>
          </w:p>
        </w:tc>
      </w:tr>
      <w:tr>
        <w:trPr>
          <w:trHeight w:val="21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1,393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37"/>
        </w:trPr>
        <w:tc>
          <w:tcPr>
            <w:tcW w:w="8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9,807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Lessor Arrangements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enters into leasing transactions in which it rents certain of its assets and the Company is the lessor. These lease contracts are typically classified as operating leases with remaining terms ranging from one month to 20 years, with various renewal terms available. All of the residential rentals have month-to-month lease terms.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components of the Company’s operating lease portfolio included in property, plant and equipment, net as of October 31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equipment and building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18,712</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Orchards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(6,331)</w:t>
            </w: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 under operating leases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for assets under operating leases was approximately $934,000 and $669,000 for the fiscal years 2022 and 2021, respectively.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The Company’s rental operations revenue consists of the following (in thousands):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48"/>
        </w:trPr>
        <w:tc>
          <w:tcPr>
            <w:tcW w:w="8520" w:type="dxa"/>
            <w:vAlign w:val="bottom"/>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October 31,</w:t>
            </w:r>
          </w:p>
        </w:tc>
        <w:tc>
          <w:tcPr>
            <w:tcW w:w="460" w:type="dxa"/>
            <w:vAlign w:val="bottom"/>
            <w:tcBorders>
              <w:bottom w:val="single" w:sz="8" w:color="auto"/>
            </w:tcBorders>
          </w:tcPr>
          <w:p>
            <w:pPr>
              <w:spacing w:after="0"/>
              <w:rPr>
                <w:sz w:val="24"/>
                <w:szCs w:val="24"/>
                <w:color w:val="auto"/>
              </w:rPr>
            </w:pPr>
          </w:p>
        </w:tc>
      </w:tr>
      <w:tr>
        <w:trPr>
          <w:trHeight w:val="212"/>
        </w:trPr>
        <w:tc>
          <w:tcPr>
            <w:tcW w:w="85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revenue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4,329</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revenue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revenue</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4,646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future minimum lease payments to be received by the Company related to these operating lease agreements as of October 31, 2022 are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r>
      <w:tr>
        <w:trPr>
          <w:trHeight w:val="219"/>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1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19"/>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Lessee Arrangements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enters into leasing transactions in which the Company is the lessee. These lease contracts are classified as either operating or finance leases. The Company’s lease contracts are generally for agricultural land and packinghouse facilities and equipment with remaining lease terms ranging from one to 15 years, with various term extensions available. The Company’s lease agreements do not contain any residual value guarantees or material restrictive covenants. Leases with an initial term of</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 (continued)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Lessee Arrangements (continued)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months or less are not recorded on the balance sheet and the Company recognizes lease expense for these leases on a straight-line basis over the lease term.</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Operating lease costs were $537,000 and $606,000 and variable lease costs were $242,000 and $288,000, for the fiscal years 2022 and 2021, respectively, which are primarily included in agribusiness costs and expenses in the Company’s consolidated statements of operations. Finance lease costs and short term lease costs were $154,000 and $212,000 for fiscal year 2022, respectively, and were immaterial for fiscal year 2021.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consists of the following as of October 31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Classification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6,190</w:t>
            </w:r>
          </w:p>
        </w:tc>
        <w:tc>
          <w:tcPr>
            <w:tcW w:w="100" w:type="dxa"/>
            <w:vAlign w:val="bottom"/>
          </w:tcPr>
          <w:p>
            <w:pPr>
              <w:spacing w:after="0"/>
              <w:rPr>
                <w:sz w:val="19"/>
                <w:szCs w:val="19"/>
                <w:color w:val="auto"/>
              </w:rPr>
            </w:pP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Pr>
          <w:p>
            <w:pPr>
              <w:spacing w:after="0"/>
              <w:rPr>
                <w:sz w:val="19"/>
                <w:szCs w:val="19"/>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2,041</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1,091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1,142</w:t>
            </w:r>
          </w:p>
        </w:tc>
      </w:tr>
      <w:tr>
        <w:trPr>
          <w:trHeight w:val="212"/>
        </w:trPr>
        <w:tc>
          <w:tcPr>
            <w:tcW w:w="39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7,281</w:t>
            </w:r>
          </w:p>
        </w:tc>
        <w:tc>
          <w:tcPr>
            <w:tcW w:w="100" w:type="dxa"/>
            <w:vAlign w:val="bottom"/>
          </w:tcPr>
          <w:p>
            <w:pPr>
              <w:spacing w:after="0"/>
              <w:rPr>
                <w:sz w:val="18"/>
                <w:szCs w:val="18"/>
                <w:color w:val="auto"/>
              </w:rPr>
            </w:pPr>
          </w:p>
        </w:tc>
        <w:tc>
          <w:tcPr>
            <w:tcW w:w="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3,183</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392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 and payables to related parties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1,892</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488</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finance lease liabilities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249</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1,648</w:t>
            </w:r>
          </w:p>
        </w:tc>
      </w:tr>
      <w:tr>
        <w:trPr>
          <w:trHeight w:val="219"/>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Non-current finance lease liabilities</w:t>
            </w:r>
          </w:p>
        </w:tc>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884</w:t>
            </w:r>
          </w:p>
        </w:tc>
      </w:tr>
      <w:tr>
        <w:trPr>
          <w:trHeight w:val="237"/>
        </w:trPr>
        <w:tc>
          <w:tcPr>
            <w:tcW w:w="39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7,222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3,269</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9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396"/>
        </w:trPr>
        <w:tc>
          <w:tcPr>
            <w:tcW w:w="8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consists of the following (in thousands):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8"/>
        </w:trPr>
        <w:tc>
          <w:tcPr>
            <w:tcW w:w="39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Year ended October 31,</w:t>
            </w:r>
          </w:p>
        </w:tc>
      </w:tr>
      <w:tr>
        <w:trPr>
          <w:trHeight w:val="212"/>
        </w:trPr>
        <w:tc>
          <w:tcPr>
            <w:tcW w:w="39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8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577</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outflows from finance leases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cash outflows from finance leases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219</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8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new operating lease liabilities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4,612</w:t>
            </w: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3"/>
        </w:trPr>
        <w:tc>
          <w:tcPr>
            <w:tcW w:w="8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Leased assets obtained in exchange for new finance lease liabilities</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 (continued)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Lessee Arrangements (continued)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Future minimum lease payments under non-cancellable leases for each of the subsequent five fiscal years and thereafter are as follows (in thousands), which excludes $470,000 of operating lease payments for leases that have been signed but not commenced: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Finance</w:t>
            </w:r>
          </w:p>
        </w:tc>
        <w:tc>
          <w:tcPr>
            <w:tcW w:w="280" w:type="dxa"/>
            <w:vAlign w:val="bottom"/>
          </w:tcPr>
          <w:p>
            <w:pPr>
              <w:spacing w:after="0"/>
              <w:rPr>
                <w:sz w:val="19"/>
                <w:szCs w:val="19"/>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2,159</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w:t>
            </w:r>
          </w:p>
        </w:tc>
      </w:tr>
      <w:tr>
        <w:trPr>
          <w:trHeight w:val="21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1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8,171</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7,222</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In addition to operating and finance lease commitments, the Company also has financing transactions and a contract for pollination services, which do not meet the definition of a lease, with minimum future payments of $275,000 in fiscal year 2023, $224,000 in fiscal years 2024, 2025 and 2026 and $37,000 in fiscal year 2027.</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Earnings Per Share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Basic net loss per common share is calculated using the weighted-average number of common shares outstanding during the period without consideration of the dilutive effect of conversion of preferred stock. Diluted net loss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ended October 31, 2022, 2021 and 2020. The computations for basic and diluted net loss per common share are as follows (in thousands, except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 ended October 31,</w:t>
            </w:r>
          </w:p>
        </w:tc>
        <w:tc>
          <w:tcPr>
            <w:tcW w:w="1040" w:type="dxa"/>
            <w:vAlign w:val="bottom"/>
            <w:tcBorders>
              <w:bottom w:val="single" w:sz="8" w:color="auto"/>
            </w:tcBorders>
          </w:tcPr>
          <w:p>
            <w:pPr>
              <w:spacing w:after="0"/>
              <w:rPr>
                <w:sz w:val="19"/>
                <w:szCs w:val="19"/>
                <w:color w:val="auto"/>
              </w:rPr>
            </w:pPr>
          </w:p>
        </w:tc>
      </w:tr>
      <w:tr>
        <w:trPr>
          <w:trHeight w:val="212"/>
        </w:trPr>
        <w:tc>
          <w:tcPr>
            <w:tcW w:w="7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net loss per common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applicable to common stock</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(16,936)</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unvested,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2"/>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Numerator: Net loss for basic EPS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(16,980)</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 Weighted average common shares-basic</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17,666</w:t>
            </w:r>
          </w:p>
        </w:tc>
      </w:tr>
      <w:tr>
        <w:trPr>
          <w:trHeight w:val="212"/>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net loss per common share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net loss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Net loss for diluted EPS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(16,980)</w:t>
            </w:r>
          </w:p>
        </w:tc>
      </w:tr>
      <w:tr>
        <w:trPr>
          <w:trHeight w:val="212"/>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17,666</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unvested, restricted stock and preferred stock</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Denominator: Weighted average common shares-diluted</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17,513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17,555</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17,666</w:t>
            </w:r>
          </w:p>
        </w:tc>
      </w:tr>
      <w:tr>
        <w:trPr>
          <w:trHeight w:val="23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loss per common share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Earnings Per Share (continued)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Diluted net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per common share was calculated under the two-class method for the fiscal year ended October 31, 2022. The Company excluded 117,000 and 164,000, unvested, restricted shares, as calculated under the treasury stock method, from its computation of diluted net losses per share for the fiscal years ended October 31, 2021 and 2020,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Related-Party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transactions with equity method investments and various related-parties summarized in Note 5 - Real Estate Development, Note 6 - Equity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Investments and in the tables below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2"/>
                <w:szCs w:val="12"/>
                <w:b w:val="1"/>
                <w:bCs w:val="1"/>
                <w:color w:val="auto"/>
              </w:rPr>
              <w:t>October 31, 2022</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rPr>
              <w:t>October 31, 2021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2"/>
                <w:szCs w:val="12"/>
                <w:b w:val="1"/>
                <w:bCs w:val="1"/>
                <w:color w:val="auto"/>
              </w:rPr>
              <w:t>Receivables/Other</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Payables to</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Other Long-</w:t>
            </w:r>
          </w:p>
        </w:tc>
        <w:tc>
          <w:tcPr>
            <w:tcW w:w="108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2"/>
                <w:szCs w:val="12"/>
                <w:b w:val="1"/>
                <w:bCs w:val="1"/>
                <w:color w:val="auto"/>
              </w:rPr>
              <w:t>Receivables/Other</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Payables to</w:t>
            </w:r>
          </w:p>
        </w:tc>
        <w:tc>
          <w:tcPr>
            <w:tcW w:w="120" w:type="dxa"/>
            <w:vAlign w:val="bottom"/>
          </w:tcPr>
          <w:p>
            <w:pPr>
              <w:spacing w:after="0"/>
              <w:rPr>
                <w:sz w:val="10"/>
                <w:szCs w:val="10"/>
                <w:color w:val="auto"/>
              </w:rPr>
            </w:pPr>
          </w:p>
        </w:tc>
        <w:tc>
          <w:tcPr>
            <w:tcW w:w="800" w:type="dxa"/>
            <w:vAlign w:val="bottom"/>
            <w:vMerge w:val="restart"/>
          </w:tcPr>
          <w:p>
            <w:pPr>
              <w:jc w:val="right"/>
              <w:ind w:right="73"/>
              <w:spacing w:after="0"/>
              <w:rPr>
                <w:sz w:val="20"/>
                <w:szCs w:val="20"/>
                <w:color w:val="auto"/>
              </w:rPr>
            </w:pPr>
            <w:r>
              <w:rPr>
                <w:rFonts w:ascii="Times New Roman" w:cs="Times New Roman" w:eastAsia="Times New Roman" w:hAnsi="Times New Roman"/>
                <w:sz w:val="12"/>
                <w:szCs w:val="12"/>
                <w:b w:val="1"/>
                <w:bCs w:val="1"/>
                <w:color w:val="auto"/>
                <w:w w:val="99"/>
              </w:rPr>
              <w:t>Other Long-</w:t>
            </w: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rPr>
              <w:t>from Related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2"/>
                <w:szCs w:val="12"/>
                <w:b w:val="1"/>
                <w:bCs w:val="1"/>
                <w:color w:val="auto"/>
              </w:rPr>
              <w:t>from Related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Ref</w:t>
            </w:r>
          </w:p>
        </w:tc>
        <w:tc>
          <w:tcPr>
            <w:tcW w:w="2720" w:type="dxa"/>
            <w:vAlign w:val="bottom"/>
            <w:gridSpan w:val="2"/>
          </w:tcPr>
          <w:p>
            <w:pPr>
              <w:ind w:left="960"/>
              <w:spacing w:after="0"/>
              <w:rPr>
                <w:sz w:val="20"/>
                <w:szCs w:val="20"/>
                <w:color w:val="auto"/>
              </w:rPr>
            </w:pPr>
            <w:r>
              <w:rPr>
                <w:rFonts w:ascii="Times New Roman" w:cs="Times New Roman" w:eastAsia="Times New Roman" w:hAnsi="Times New Roman"/>
                <w:sz w:val="12"/>
                <w:szCs w:val="12"/>
                <w:b w:val="1"/>
                <w:bCs w:val="1"/>
                <w:color w:val="auto"/>
              </w:rPr>
              <w:t>Related-Party</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Parties</w:t>
            </w: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Related Parties</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Term Liabilities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Parties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Related Parties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Term Liabilities</w:t>
            </w:r>
          </w:p>
        </w:tc>
        <w:tc>
          <w:tcPr>
            <w:tcW w:w="0" w:type="dxa"/>
            <w:vAlign w:val="bottom"/>
          </w:tcPr>
          <w:p>
            <w:pPr>
              <w:spacing w:after="0"/>
              <w:rPr>
                <w:sz w:val="1"/>
                <w:szCs w:val="1"/>
                <w:color w:val="auto"/>
              </w:rPr>
            </w:pPr>
          </w:p>
        </w:tc>
      </w:tr>
      <w:tr>
        <w:trPr>
          <w:trHeight w:val="193"/>
        </w:trPr>
        <w:tc>
          <w:tcPr>
            <w:tcW w:w="3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Mutual water companies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0" w:type="dxa"/>
            <w:vAlign w:val="bottom"/>
          </w:tcPr>
          <w:p>
            <w:pPr>
              <w:jc w:val="right"/>
              <w:ind w:right="7"/>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Cadiz / Fenner / WAM</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6"/>
                <w:szCs w:val="16"/>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6"/>
                <w:szCs w:val="16"/>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201"/>
        </w:trPr>
        <w:tc>
          <w:tcPr>
            <w:tcW w:w="3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FGF</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360" w:type="dxa"/>
            <w:vAlign w:val="bottom"/>
          </w:tcPr>
          <w:p>
            <w:pPr>
              <w:jc w:val="right"/>
              <w:ind w:right="7"/>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LLCB</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Year Ended October 31, 2022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Year Ended October 31, 2021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Consolidated Statement of Operations</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Consolidated Statement of Operations</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Net Revenue</w:t>
            </w:r>
          </w:p>
        </w:tc>
        <w:tc>
          <w:tcPr>
            <w:tcW w:w="100" w:type="dxa"/>
            <w:vAlign w:val="bottom"/>
          </w:tcPr>
          <w:p>
            <w:pPr>
              <w:spacing w:after="0"/>
              <w:rPr>
                <w:sz w:val="9"/>
                <w:szCs w:val="9"/>
                <w:color w:val="auto"/>
              </w:rPr>
            </w:pPr>
          </w:p>
        </w:tc>
        <w:tc>
          <w:tcPr>
            <w:tcW w:w="9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2"/>
                <w:szCs w:val="12"/>
                <w:b w:val="1"/>
                <w:bCs w:val="1"/>
                <w:color w:val="auto"/>
              </w:rPr>
              <w:t>Net Revenue</w:t>
            </w:r>
          </w:p>
        </w:tc>
        <w:tc>
          <w:tcPr>
            <w:tcW w:w="100" w:type="dxa"/>
            <w:vAlign w:val="bottom"/>
          </w:tcPr>
          <w:p>
            <w:pPr>
              <w:spacing w:after="0"/>
              <w:rPr>
                <w:sz w:val="9"/>
                <w:szCs w:val="9"/>
                <w:color w:val="auto"/>
              </w:rPr>
            </w:pPr>
          </w:p>
        </w:tc>
        <w:tc>
          <w:tcPr>
            <w:tcW w:w="88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2"/>
                <w:szCs w:val="12"/>
                <w:b w:val="1"/>
                <w:bCs w:val="1"/>
                <w:color w:val="auto"/>
              </w:rPr>
              <w:t>Agribusiness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Dividends</w:t>
            </w:r>
          </w:p>
        </w:tc>
        <w:tc>
          <w:tcPr>
            <w:tcW w:w="120" w:type="dxa"/>
            <w:vAlign w:val="bottom"/>
          </w:tcPr>
          <w:p>
            <w:pPr>
              <w:spacing w:after="0"/>
              <w:rPr>
                <w:sz w:val="9"/>
                <w:szCs w:val="9"/>
                <w:color w:val="auto"/>
              </w:rPr>
            </w:pPr>
          </w:p>
        </w:tc>
        <w:tc>
          <w:tcPr>
            <w:tcW w:w="840" w:type="dxa"/>
            <w:vAlign w:val="bottom"/>
            <w:vMerge w:val="restart"/>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Net Revenue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2"/>
                <w:szCs w:val="12"/>
                <w:b w:val="1"/>
                <w:bCs w:val="1"/>
                <w:color w:val="auto"/>
                <w:w w:val="98"/>
              </w:rPr>
              <w:t>Net Revenue</w:t>
            </w:r>
          </w:p>
        </w:tc>
        <w:tc>
          <w:tcPr>
            <w:tcW w:w="80" w:type="dxa"/>
            <w:vAlign w:val="bottom"/>
          </w:tcPr>
          <w:p>
            <w:pPr>
              <w:spacing w:after="0"/>
              <w:rPr>
                <w:sz w:val="9"/>
                <w:szCs w:val="9"/>
                <w:color w:val="auto"/>
              </w:rPr>
            </w:pPr>
          </w:p>
        </w:tc>
        <w:tc>
          <w:tcPr>
            <w:tcW w:w="880" w:type="dxa"/>
            <w:vAlign w:val="bottom"/>
            <w:gridSpan w:val="3"/>
          </w:tcPr>
          <w:p>
            <w:pPr>
              <w:jc w:val="center"/>
              <w:ind w:right="100"/>
              <w:spacing w:after="0" w:line="113" w:lineRule="exact"/>
              <w:rPr>
                <w:sz w:val="20"/>
                <w:szCs w:val="20"/>
                <w:color w:val="auto"/>
              </w:rPr>
            </w:pPr>
            <w:r>
              <w:rPr>
                <w:rFonts w:ascii="Times New Roman" w:cs="Times New Roman" w:eastAsia="Times New Roman" w:hAnsi="Times New Roman"/>
                <w:sz w:val="12"/>
                <w:szCs w:val="12"/>
                <w:b w:val="1"/>
                <w:bCs w:val="1"/>
                <w:color w:val="auto"/>
                <w:w w:val="99"/>
              </w:rPr>
              <w:t>Agribusiness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Dividends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w w:val="99"/>
              </w:rPr>
              <w:t>Rental</w:t>
            </w:r>
          </w:p>
        </w:tc>
        <w:tc>
          <w:tcPr>
            <w:tcW w:w="100" w:type="dxa"/>
            <w:vAlign w:val="bottom"/>
          </w:tcPr>
          <w:p>
            <w:pPr>
              <w:spacing w:after="0"/>
              <w:rPr>
                <w:sz w:val="10"/>
                <w:szCs w:val="10"/>
                <w:color w:val="auto"/>
              </w:rPr>
            </w:pPr>
          </w:p>
        </w:tc>
        <w:tc>
          <w:tcPr>
            <w:tcW w:w="880" w:type="dxa"/>
            <w:vAlign w:val="bottom"/>
            <w:gridSpan w:val="3"/>
          </w:tcPr>
          <w:p>
            <w:pPr>
              <w:jc w:val="right"/>
              <w:ind w:right="200"/>
              <w:spacing w:after="0" w:line="116" w:lineRule="exact"/>
              <w:rPr>
                <w:sz w:val="20"/>
                <w:szCs w:val="20"/>
                <w:color w:val="auto"/>
              </w:rPr>
            </w:pPr>
            <w:r>
              <w:rPr>
                <w:rFonts w:ascii="Times New Roman" w:cs="Times New Roman" w:eastAsia="Times New Roman" w:hAnsi="Times New Roman"/>
                <w:sz w:val="12"/>
                <w:szCs w:val="12"/>
                <w:b w:val="1"/>
                <w:bCs w:val="1"/>
                <w:color w:val="auto"/>
              </w:rPr>
              <w:t>Expense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w w:val="99"/>
              </w:rPr>
              <w:t>Rental</w:t>
            </w:r>
          </w:p>
        </w:tc>
        <w:tc>
          <w:tcPr>
            <w:tcW w:w="80" w:type="dxa"/>
            <w:vAlign w:val="bottom"/>
          </w:tcPr>
          <w:p>
            <w:pPr>
              <w:spacing w:after="0"/>
              <w:rPr>
                <w:sz w:val="10"/>
                <w:szCs w:val="10"/>
                <w:color w:val="auto"/>
              </w:rPr>
            </w:pPr>
          </w:p>
        </w:tc>
        <w:tc>
          <w:tcPr>
            <w:tcW w:w="880" w:type="dxa"/>
            <w:vAlign w:val="bottom"/>
            <w:gridSpan w:val="3"/>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w w:val="98"/>
              </w:rPr>
              <w:t>Expense and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Ref</w:t>
            </w:r>
          </w:p>
        </w:tc>
        <w:tc>
          <w:tcPr>
            <w:tcW w:w="290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rPr>
              <w:t>Related-Party</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Agribusiness</w:t>
            </w: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100" w:type="dxa"/>
            <w:vAlign w:val="bottom"/>
          </w:tcPr>
          <w:p>
            <w:pPr>
              <w:spacing w:after="0"/>
              <w:rPr>
                <w:sz w:val="15"/>
                <w:szCs w:val="15"/>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Paid</w:t>
            </w:r>
          </w:p>
        </w:tc>
        <w:tc>
          <w:tcPr>
            <w:tcW w:w="12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Operations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Paid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auto"/>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Employees</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6"/>
                <w:szCs w:val="16"/>
                <w:color w:val="auto"/>
              </w:rPr>
            </w:pPr>
          </w:p>
        </w:tc>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Mutual water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1,454</w:t>
            </w: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Cooperative association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1,834</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6"/>
                <w:szCs w:val="16"/>
                <w:color w:val="auto"/>
              </w:rPr>
            </w:pPr>
          </w:p>
        </w:tc>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Calavo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6,594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Cadiz / Fenner / WAM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1,467</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6"/>
                <w:szCs w:val="16"/>
                <w:color w:val="auto"/>
              </w:rPr>
            </w:pPr>
          </w:p>
        </w:tc>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Colorado River Growers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YMIDD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142</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6"/>
                <w:szCs w:val="16"/>
                <w:color w:val="auto"/>
              </w:rPr>
            </w:pPr>
          </w:p>
        </w:tc>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FGF</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4,129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Freska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16"/>
                <w:szCs w:val="16"/>
                <w:color w:val="auto"/>
              </w:rPr>
            </w:pPr>
          </w:p>
        </w:tc>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Third-party growers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Principal owner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center"/>
              <w:ind w:left="374"/>
              <w:spacing w:after="0"/>
              <w:rPr>
                <w:sz w:val="20"/>
                <w:szCs w:val="20"/>
                <w:color w:val="auto"/>
              </w:rPr>
            </w:pPr>
            <w:r>
              <w:rPr>
                <w:rFonts w:ascii="Times New Roman" w:cs="Times New Roman" w:eastAsia="Times New Roman" w:hAnsi="Times New Roman"/>
                <w:sz w:val="12"/>
                <w:szCs w:val="12"/>
                <w:b w:val="1"/>
                <w:bCs w:val="1"/>
                <w:color w:val="auto"/>
                <w:w w:val="98"/>
              </w:rPr>
              <w:t>Year Ended October 31, 2020</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Consolidated Statement of Operations</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Net Revenue</w:t>
            </w:r>
          </w:p>
        </w:tc>
        <w:tc>
          <w:tcPr>
            <w:tcW w:w="120" w:type="dxa"/>
            <w:vAlign w:val="bottom"/>
          </w:tcPr>
          <w:p>
            <w:pPr>
              <w:spacing w:after="0"/>
              <w:rPr>
                <w:sz w:val="10"/>
                <w:szCs w:val="10"/>
                <w:color w:val="auto"/>
              </w:rPr>
            </w:pPr>
          </w:p>
        </w:tc>
        <w:tc>
          <w:tcPr>
            <w:tcW w:w="840" w:type="dxa"/>
            <w:vAlign w:val="bottom"/>
          </w:tcPr>
          <w:p>
            <w:pPr>
              <w:jc w:val="right"/>
              <w:ind w:right="54"/>
              <w:spacing w:after="0" w:line="119" w:lineRule="exact"/>
              <w:rPr>
                <w:sz w:val="20"/>
                <w:szCs w:val="20"/>
                <w:color w:val="auto"/>
              </w:rPr>
            </w:pPr>
            <w:r>
              <w:rPr>
                <w:rFonts w:ascii="Times New Roman" w:cs="Times New Roman" w:eastAsia="Times New Roman" w:hAnsi="Times New Roman"/>
                <w:sz w:val="12"/>
                <w:szCs w:val="12"/>
                <w:b w:val="1"/>
                <w:bCs w:val="1"/>
                <w:color w:val="auto"/>
              </w:rPr>
              <w:t>Net Revenue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Agribusiness</w:t>
            </w:r>
          </w:p>
        </w:tc>
        <w:tc>
          <w:tcPr>
            <w:tcW w:w="80" w:type="dxa"/>
            <w:vAlign w:val="bottom"/>
          </w:tcPr>
          <w:p>
            <w:pPr>
              <w:spacing w:after="0"/>
              <w:rPr>
                <w:sz w:val="10"/>
                <w:szCs w:val="10"/>
                <w:color w:val="auto"/>
              </w:rPr>
            </w:pPr>
          </w:p>
        </w:tc>
        <w:tc>
          <w:tcPr>
            <w:tcW w:w="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Other Income,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Ref</w:t>
            </w:r>
          </w:p>
        </w:tc>
        <w:tc>
          <w:tcPr>
            <w:tcW w:w="29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2"/>
                <w:szCs w:val="12"/>
                <w:b w:val="1"/>
                <w:bCs w:val="1"/>
                <w:color w:val="auto"/>
              </w:rPr>
              <w:t>Related-Party</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14"/>
              <w:spacing w:after="0" w:line="124" w:lineRule="exact"/>
              <w:rPr>
                <w:sz w:val="20"/>
                <w:szCs w:val="20"/>
                <w:color w:val="auto"/>
              </w:rPr>
            </w:pPr>
            <w:r>
              <w:rPr>
                <w:rFonts w:ascii="Times New Roman" w:cs="Times New Roman" w:eastAsia="Times New Roman" w:hAnsi="Times New Roman"/>
                <w:sz w:val="12"/>
                <w:szCs w:val="12"/>
                <w:b w:val="1"/>
                <w:bCs w:val="1"/>
                <w:color w:val="auto"/>
              </w:rPr>
              <w:t>Rental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2"/>
                <w:szCs w:val="12"/>
                <w:b w:val="1"/>
                <w:bCs w:val="1"/>
                <w:color w:val="auto"/>
              </w:rPr>
              <w:t>Expense and</w:t>
            </w: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Dividends Paid</w:t>
            </w:r>
          </w:p>
        </w:tc>
        <w:tc>
          <w:tcPr>
            <w:tcW w:w="0" w:type="dxa"/>
            <w:vAlign w:val="bottom"/>
          </w:tcPr>
          <w:p>
            <w:pPr>
              <w:spacing w:after="0"/>
              <w:rPr>
                <w:sz w:val="1"/>
                <w:szCs w:val="1"/>
                <w:color w:val="auto"/>
              </w:rPr>
            </w:pPr>
          </w:p>
        </w:tc>
      </w:tr>
      <w:tr>
        <w:trPr>
          <w:trHeight w:val="163"/>
        </w:trPr>
        <w:tc>
          <w:tcPr>
            <w:tcW w:w="460" w:type="dxa"/>
            <w:vAlign w:val="bottom"/>
            <w:gridSpan w:val="3"/>
            <w:vMerge w:val="continue"/>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Agribusiness</w:t>
            </w:r>
          </w:p>
        </w:tc>
        <w:tc>
          <w:tcPr>
            <w:tcW w:w="12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 w:type="dxa"/>
            <w:vAlign w:val="bottom"/>
            <w:tcBorders>
              <w:top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Employees</w:t>
            </w: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ind w:right="7"/>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6"/>
                <w:szCs w:val="16"/>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Mutual water companies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894</w:t>
            </w:r>
          </w:p>
        </w:tc>
        <w:tc>
          <w:tcPr>
            <w:tcW w:w="80" w:type="dxa"/>
            <w:vAlign w:val="bottom"/>
          </w:tcPr>
          <w:p>
            <w:pPr>
              <w:spacing w:after="0"/>
              <w:rPr>
                <w:sz w:val="16"/>
                <w:szCs w:val="16"/>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Cooperative association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95"/>
              </w:rPr>
              <w:t>1,849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ind w:right="7"/>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6"/>
                <w:szCs w:val="16"/>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Calavo</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left="354"/>
              <w:spacing w:after="0"/>
              <w:rPr>
                <w:sz w:val="20"/>
                <w:szCs w:val="20"/>
                <w:color w:val="auto"/>
              </w:rPr>
            </w:pPr>
            <w:r>
              <w:rPr>
                <w:rFonts w:ascii="Times New Roman" w:cs="Times New Roman" w:eastAsia="Times New Roman" w:hAnsi="Times New Roman"/>
                <w:sz w:val="14"/>
                <w:szCs w:val="14"/>
                <w:color w:val="auto"/>
                <w:w w:val="95"/>
              </w:rPr>
              <w:t>1,223</w:t>
            </w:r>
          </w:p>
        </w:tc>
        <w:tc>
          <w:tcPr>
            <w:tcW w:w="80" w:type="dxa"/>
            <w:vAlign w:val="bottom"/>
          </w:tcPr>
          <w:p>
            <w:pPr>
              <w:spacing w:after="0"/>
              <w:rPr>
                <w:sz w:val="16"/>
                <w:szCs w:val="16"/>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01"/>
        </w:trPr>
        <w:tc>
          <w:tcPr>
            <w:tcW w:w="3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Cadiz / Fenner / WAM</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80" w:type="dxa"/>
            <w:vAlign w:val="bottom"/>
            <w:gridSpan w:val="2"/>
          </w:tcPr>
          <w:p>
            <w:pPr>
              <w:jc w:val="right"/>
              <w:ind w:right="7"/>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6"/>
                <w:szCs w:val="16"/>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Colorado River Growers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left="354"/>
              <w:spacing w:after="0"/>
              <w:rPr>
                <w:sz w:val="20"/>
                <w:szCs w:val="20"/>
                <w:color w:val="auto"/>
              </w:rPr>
            </w:pPr>
            <w:r>
              <w:rPr>
                <w:rFonts w:ascii="Times New Roman" w:cs="Times New Roman" w:eastAsia="Times New Roman" w:hAnsi="Times New Roman"/>
                <w:sz w:val="14"/>
                <w:szCs w:val="14"/>
                <w:color w:val="auto"/>
                <w:w w:val="95"/>
              </w:rPr>
              <w:t>6,613</w:t>
            </w:r>
          </w:p>
        </w:tc>
        <w:tc>
          <w:tcPr>
            <w:tcW w:w="80" w:type="dxa"/>
            <w:vAlign w:val="bottom"/>
          </w:tcPr>
          <w:p>
            <w:pPr>
              <w:spacing w:after="0"/>
              <w:rPr>
                <w:sz w:val="16"/>
                <w:szCs w:val="16"/>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7</w:t>
            </w:r>
          </w:p>
        </w:tc>
        <w:tc>
          <w:tcPr>
            <w:tcW w:w="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YMIDD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380" w:type="dxa"/>
            <w:vAlign w:val="bottom"/>
            <w:gridSpan w:val="2"/>
          </w:tcPr>
          <w:p>
            <w:pPr>
              <w:jc w:val="right"/>
              <w:ind w:right="7"/>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5"/>
                <w:szCs w:val="15"/>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FGF</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13,478</w:t>
            </w:r>
          </w:p>
        </w:tc>
        <w:tc>
          <w:tcPr>
            <w:tcW w:w="8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Related-Party Transactions (continued)</w:t>
      </w:r>
    </w:p>
    <w:p>
      <w:pPr>
        <w:spacing w:after="0" w:line="118" w:lineRule="exact"/>
        <w:rPr>
          <w:sz w:val="20"/>
          <w:szCs w:val="20"/>
          <w:color w:val="auto"/>
        </w:rPr>
      </w:pPr>
    </w:p>
    <w:p>
      <w:pPr>
        <w:ind w:firstLine="3"/>
        <w:spacing w:after="0" w:line="287" w:lineRule="auto"/>
        <w:tabs>
          <w:tab w:leader="none" w:pos="170"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Employees - The Company rents certain of its residential housing assets to employees on a month-to-month basis and recorded rental income from employees. There were no material rental payments due from employees at October 31, 2022 and 2021.</w:t>
      </w:r>
    </w:p>
    <w:p>
      <w:pPr>
        <w:spacing w:after="0" w:line="48" w:lineRule="exact"/>
        <w:rPr>
          <w:rFonts w:ascii="Times New Roman" w:cs="Times New Roman" w:eastAsia="Times New Roman" w:hAnsi="Times New Roman"/>
          <w:sz w:val="10"/>
          <w:szCs w:val="10"/>
          <w:color w:val="auto"/>
        </w:rPr>
      </w:pPr>
    </w:p>
    <w:p>
      <w:pPr>
        <w:jc w:val="both"/>
        <w:ind w:firstLine="3"/>
        <w:spacing w:after="0" w:line="270" w:lineRule="auto"/>
        <w:tabs>
          <w:tab w:leader="none" w:pos="165"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w:t>
      </w:r>
    </w:p>
    <w:p>
      <w:pPr>
        <w:spacing w:after="0" w:line="62" w:lineRule="exact"/>
        <w:rPr>
          <w:rFonts w:ascii="Times New Roman" w:cs="Times New Roman" w:eastAsia="Times New Roman" w:hAnsi="Times New Roman"/>
          <w:sz w:val="10"/>
          <w:szCs w:val="10"/>
          <w:color w:val="auto"/>
        </w:rPr>
      </w:pPr>
    </w:p>
    <w:p>
      <w:pPr>
        <w:ind w:firstLine="3"/>
        <w:spacing w:after="0" w:line="287" w:lineRule="auto"/>
        <w:tabs>
          <w:tab w:leader="none" w:pos="173"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Cooperative association - The Company has representation on the board of directors of a non-profit cooperative association that provides pest control services for the agricultural industry. The Company purchased services and supplies from and had no payments due to the cooperative association.</w:t>
      </w:r>
    </w:p>
    <w:p>
      <w:pPr>
        <w:spacing w:after="0" w:line="48" w:lineRule="exact"/>
        <w:rPr>
          <w:rFonts w:ascii="Times New Roman" w:cs="Times New Roman" w:eastAsia="Times New Roman" w:hAnsi="Times New Roman"/>
          <w:sz w:val="10"/>
          <w:szCs w:val="10"/>
          <w:color w:val="auto"/>
        </w:rPr>
      </w:pPr>
    </w:p>
    <w:p>
      <w:pPr>
        <w:jc w:val="both"/>
        <w:ind w:firstLine="3"/>
        <w:spacing w:after="0" w:line="270" w:lineRule="auto"/>
        <w:tabs>
          <w:tab w:leader="none" w:pos="176"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Calavo - Through January 2022, the Company had representation on the board of directors of Calavo. Calavo owned common stock of the Company and the Company paid dividends on such common stock to Calavo. Additionally, the Company leases office space to Calavo. As of February 2022, Calavo is no longer a related party.</w:t>
      </w:r>
    </w:p>
    <w:p>
      <w:pPr>
        <w:spacing w:after="0" w:line="62" w:lineRule="exact"/>
        <w:rPr>
          <w:rFonts w:ascii="Times New Roman" w:cs="Times New Roman" w:eastAsia="Times New Roman" w:hAnsi="Times New Roman"/>
          <w:sz w:val="10"/>
          <w:szCs w:val="10"/>
          <w:color w:val="auto"/>
        </w:rPr>
      </w:pPr>
    </w:p>
    <w:p>
      <w:pPr>
        <w:jc w:val="both"/>
        <w:ind w:firstLine="3"/>
        <w:spacing w:after="0" w:line="258" w:lineRule="auto"/>
        <w:tabs>
          <w:tab w:leader="none" w:pos="169"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affiliate of WAM is the holder of 9,300 shares of Limoneira Company Series B-2 convertible preferred stock. Upon the adoption of ASC 842, the Company recorded a right-of-use, or ROU, asset and corresponding lease liability.</w:t>
      </w:r>
    </w:p>
    <w:p>
      <w:pPr>
        <w:spacing w:after="0" w:line="76" w:lineRule="exact"/>
        <w:rPr>
          <w:rFonts w:ascii="Times New Roman" w:cs="Times New Roman" w:eastAsia="Times New Roman" w:hAnsi="Times New Roman"/>
          <w:sz w:val="10"/>
          <w:szCs w:val="10"/>
          <w:color w:val="auto"/>
        </w:rPr>
      </w:pPr>
    </w:p>
    <w:p>
      <w:pPr>
        <w:jc w:val="both"/>
        <w:ind w:firstLine="3"/>
        <w:spacing w:after="0" w:line="270" w:lineRule="auto"/>
        <w:tabs>
          <w:tab w:leader="none" w:pos="187"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Colorado River Growers, Inc. (“CRG”) - The Company had representation on the board of directors of CRG, a non-profit cooperative association of fruit growers engaged in the agricultural harvesting business in Yuma County, Arizona. CRG was dissolved in August 2021. The Company paid harvest expense to CRG and provided harvest management and administrative services to CRG.</w:t>
      </w:r>
    </w:p>
    <w:p>
      <w:pPr>
        <w:spacing w:after="0" w:line="62" w:lineRule="exact"/>
        <w:rPr>
          <w:rFonts w:ascii="Times New Roman" w:cs="Times New Roman" w:eastAsia="Times New Roman" w:hAnsi="Times New Roman"/>
          <w:sz w:val="10"/>
          <w:szCs w:val="10"/>
          <w:color w:val="auto"/>
        </w:rPr>
      </w:pPr>
    </w:p>
    <w:p>
      <w:pPr>
        <w:ind w:firstLine="3"/>
        <w:spacing w:after="0" w:line="287" w:lineRule="auto"/>
        <w:tabs>
          <w:tab w:leader="none" w:pos="181"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Yuma Mesa Irrigation and Drainage District (“YMIDD”) - The Company has representation on the board of directors of YMIDD. The Company purchased water from YMIDD and had no amounts payable to them for such purchases. Additionally, the Compnay received fallowing revenue from YMIDD.</w:t>
      </w:r>
    </w:p>
    <w:p>
      <w:pPr>
        <w:spacing w:after="0" w:line="48" w:lineRule="exact"/>
        <w:rPr>
          <w:rFonts w:ascii="Times New Roman" w:cs="Times New Roman" w:eastAsia="Times New Roman" w:hAnsi="Times New Roman"/>
          <w:sz w:val="10"/>
          <w:szCs w:val="10"/>
          <w:color w:val="auto"/>
        </w:rPr>
      </w:pPr>
    </w:p>
    <w:p>
      <w:pPr>
        <w:jc w:val="both"/>
        <w:ind w:firstLine="3"/>
        <w:spacing w:after="0" w:line="257" w:lineRule="auto"/>
        <w:tabs>
          <w:tab w:leader="none" w:pos="172"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FGF - In June 2021, the Company entered into an agreement, effective March 1, 2021, to sell and license certain assets of Trapani Fresh to FGF. These assets consist of packing supplies and certain intangible assets related to the packing, marketing, and selling business of Trapani Fresh. The total consideration to be received is approximately $3,900,000 over an 8-year term in 16 equal installments. Payments to be received are secured by FGF’s interest in land parcels at the Santa Clara ranch and consist of a $1,200,000 note receivable and $2,700,000 of royalty payments. There was no material gain or loss recognized on the transaction. In August 2021, the Company entered into several additional agreements whereby the additional 25% interest in Santa Clara was transferred into the trust resulting in the trust now holding a 100% interest in Santa Clara. Trapani Fresh owns and operated the 1,200-acre Santa Clara ranch and sold the lemons it grew to FGF, who packed, marketed, and sold the fruit to its export customers. As a result of this transaction, Trapani Fresh recognized lemon revenues at the market price less packinghouse charges to harvest, pack and market the fruit. Effective November 1, 2021, the Company leases Finca Santa Clara to FGF and records rental revenue related to the leased land.</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the sale of packing supplies and a payable due to FGF for fruit purchases and services. The Company records revenue related to the licensing of intangible assets to FGF.</w:t>
      </w:r>
    </w:p>
    <w:p>
      <w:pPr>
        <w:spacing w:after="0" w:line="68" w:lineRule="exact"/>
        <w:rPr>
          <w:sz w:val="20"/>
          <w:szCs w:val="20"/>
          <w:color w:val="auto"/>
        </w:rPr>
      </w:pPr>
    </w:p>
    <w:p>
      <w:pPr>
        <w:ind w:left="160" w:hanging="157"/>
        <w:spacing w:after="0"/>
        <w:tabs>
          <w:tab w:leader="none" w:pos="160" w:val="left"/>
        </w:tabs>
        <w:numPr>
          <w:ilvl w:val="0"/>
          <w:numId w:val="54"/>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LLCB - Refer to Note 5 - Real Estate Development.</w:t>
      </w:r>
    </w:p>
    <w:p>
      <w:pPr>
        <w:spacing w:after="0" w:line="113" w:lineRule="exact"/>
        <w:rPr>
          <w:rFonts w:ascii="Times New Roman" w:cs="Times New Roman" w:eastAsia="Times New Roman" w:hAnsi="Times New Roman"/>
          <w:sz w:val="10"/>
          <w:szCs w:val="10"/>
          <w:color w:val="auto"/>
        </w:rPr>
      </w:pPr>
    </w:p>
    <w:p>
      <w:pPr>
        <w:jc w:val="both"/>
        <w:ind w:firstLine="3"/>
        <w:spacing w:after="0" w:line="270" w:lineRule="auto"/>
        <w:tabs>
          <w:tab w:leader="none" w:pos="222" w:val="left"/>
        </w:tabs>
        <w:numPr>
          <w:ilvl w:val="0"/>
          <w:numId w:val="54"/>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Freska - A former member of the Company's board of directors is a majority shareholder of Freska Produce International, LLC ("Freska"). The Company had avocado sales to Freska and corresponding receivables for such sales. The former board member resigned effective June 14, 2022 and Freska is no longer a related-party.</w:t>
      </w:r>
    </w:p>
    <w:p>
      <w:pPr>
        <w:spacing w:after="0" w:line="62" w:lineRule="exact"/>
        <w:rPr>
          <w:rFonts w:ascii="Times New Roman" w:cs="Times New Roman" w:eastAsia="Times New Roman" w:hAnsi="Times New Roman"/>
          <w:sz w:val="10"/>
          <w:szCs w:val="10"/>
          <w:color w:val="auto"/>
        </w:rPr>
      </w:pPr>
    </w:p>
    <w:p>
      <w:pPr>
        <w:ind w:firstLine="3"/>
        <w:spacing w:after="0" w:line="287" w:lineRule="auto"/>
        <w:tabs>
          <w:tab w:leader="none" w:pos="232" w:val="left"/>
        </w:tabs>
        <w:numPr>
          <w:ilvl w:val="0"/>
          <w:numId w:val="54"/>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Third-party growers - A former member of the Company's board of directors marketed lemons through the Company. The former board member resigned effective June 14, 2022 and is no longer a related-party.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Related-Party Transactions (continued)</w:t>
      </w:r>
    </w:p>
    <w:p>
      <w:pPr>
        <w:spacing w:after="0" w:line="118" w:lineRule="exact"/>
        <w:rPr>
          <w:sz w:val="20"/>
          <w:szCs w:val="20"/>
          <w:color w:val="auto"/>
        </w:rPr>
      </w:pPr>
    </w:p>
    <w:p>
      <w:pPr>
        <w:ind w:left="220" w:hanging="217"/>
        <w:spacing w:after="0"/>
        <w:tabs>
          <w:tab w:leader="none" w:pos="220" w:val="left"/>
        </w:tabs>
        <w:numPr>
          <w:ilvl w:val="0"/>
          <w:numId w:val="55"/>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Principal owner - The Company has one principal owner with ownership shares over 10% and paid dividends to such owner.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reconciliation of income (loss) before income taxes for domestic and foreign locations for the years ended October 31, 2022, 2021 and 2020 are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(23,195)</w:t>
            </w:r>
          </w:p>
        </w:tc>
      </w:tr>
      <w:tr>
        <w:trPr>
          <w:trHeight w:val="21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(3,240)</w:t>
            </w: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(26,435)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72"/>
        </w:trPr>
        <w:tc>
          <w:tcPr>
            <w:tcW w:w="8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components of the provisions for income taxes for fiscal years 2022, 2021 and 2020 are as follows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8"/>
        </w:trPr>
        <w:tc>
          <w:tcPr>
            <w:tcW w:w="7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9"/>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5,835</w:t>
            </w:r>
          </w:p>
        </w:tc>
      </w:tr>
      <w:tr>
        <w:trPr>
          <w:trHeight w:val="21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19"/>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(provision) benefit</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6,361</w:t>
            </w:r>
          </w:p>
        </w:tc>
      </w:tr>
      <w:tr>
        <w:trPr>
          <w:trHeight w:val="245"/>
        </w:trPr>
        <w:tc>
          <w:tcPr>
            <w:tcW w:w="7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r>
      <w:tr>
        <w:trPr>
          <w:trHeight w:val="21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r>
      <w:tr>
        <w:trPr>
          <w:trHeight w:val="21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(provision) benefit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w:t>
            </w:r>
          </w:p>
        </w:tc>
      </w:tr>
      <w:tr>
        <w:trPr>
          <w:trHeight w:val="212"/>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tax (provision) benefit</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8,494</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 (continued)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Deferred income taxes reflect the net of temporary differences between the carrying amount of the assets and liabilities for financial reporting and income tax purposes. The components of deferred income tax assets at October 31, 2022 and 2021 are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Reserve and other accruals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operating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6,312</w:t>
            </w: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Minimum pension liability adjustment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limitation</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8,455</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w:t>
            </w: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deferred income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7,131</w:t>
            </w:r>
          </w:p>
        </w:tc>
      </w:tr>
      <w:tr>
        <w:trPr>
          <w:trHeight w:val="258"/>
        </w:trPr>
        <w:tc>
          <w:tcPr>
            <w:tcW w:w="8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(18,665)</w:t>
            </w: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Land and other indefinite life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(6,581)</w:t>
            </w: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in joint ventures and other basis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Right-of-use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Prepaids and receivables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2"/>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(31,678)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(29,984)</w:t>
            </w: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 — noncurrent assets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 — noncurrent liabilities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(23,497)</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(22,853)</w:t>
            </w:r>
          </w:p>
        </w:tc>
      </w:tr>
    </w:tbl>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periodically evaluates the recoverability of the deferred tax assets. The Company recognized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has recorded a valuation allowance of $1,536,000 on the net deferred tax assets of its subsidiaries in Argentina and Chile as of October 31, 2022 as the Company does not believe it is more likely than not that these deferred tax assets will be realized due to the recent history of cumulative pre-tax book losses and lack of objectively verifiable future source of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 (continued)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October 31, 2022, the Company has recorded a deferred tax asset of $5,917,000 related to its federal, state, and foreign net operating loss carryforwards. The entire federal net operating loss is subject to the 80% taxable income limitation. The net operating losses begin to expire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Jurisdiction</w:t>
            </w:r>
          </w:p>
        </w:tc>
        <w:tc>
          <w:tcPr>
            <w:tcW w:w="2320" w:type="dxa"/>
            <w:vAlign w:val="bottom"/>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22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Begin to Expire</w:t>
            </w:r>
          </w:p>
        </w:tc>
      </w:tr>
      <w:tr>
        <w:trPr>
          <w:trHeight w:val="212"/>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Indefinite</w:t>
            </w:r>
          </w:p>
        </w:tc>
      </w:tr>
      <w:tr>
        <w:trPr>
          <w:trHeight w:val="21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23,027</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10/31/2039</w:t>
            </w:r>
          </w:p>
        </w:tc>
      </w:tr>
      <w:tr>
        <w:trPr>
          <w:trHeight w:val="21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Chile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Indefinite</w:t>
            </w:r>
          </w:p>
        </w:tc>
      </w:tr>
      <w:tr>
        <w:trPr>
          <w:trHeight w:val="21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Holland</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10/31/2025</w:t>
            </w:r>
          </w:p>
        </w:tc>
      </w:tr>
      <w:tr>
        <w:trPr>
          <w:trHeight w:val="21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Argentina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10/31/2025</w:t>
            </w: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provision for income taxes differs from the amount of income tax determined by applying U.S. statutory federal income tax rate to pretax income as a result of the following differences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840" w:type="dxa"/>
            <w:vAlign w:val="bottom"/>
            <w:tcBorders>
              <w:bottom w:val="single" w:sz="8" w:color="auto"/>
            </w:tcBorders>
          </w:tcPr>
          <w:p>
            <w:pPr>
              <w:spacing w:after="0"/>
              <w:rPr>
                <w:sz w:val="19"/>
                <w:szCs w:val="19"/>
                <w:color w:val="auto"/>
              </w:rPr>
            </w:pPr>
          </w:p>
        </w:tc>
      </w:tr>
      <w:tr>
        <w:trPr>
          <w:trHeight w:val="212"/>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at statutory rates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 net of federal benefit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exclusion</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Meals and entertainment</w:t>
            </w:r>
          </w:p>
        </w:tc>
        <w:tc>
          <w:tcPr>
            <w:tcW w:w="180" w:type="dxa"/>
            <w:vAlign w:val="bottom"/>
          </w:tcPr>
          <w:p>
            <w:pPr>
              <w:spacing w:after="0"/>
              <w:rPr>
                <w:sz w:val="19"/>
                <w:szCs w:val="19"/>
                <w:color w:val="auto"/>
              </w:rPr>
            </w:pPr>
          </w:p>
        </w:tc>
        <w:tc>
          <w:tcPr>
            <w:tcW w:w="134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9"/>
                <w:szCs w:val="19"/>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Shared-based compensation</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compensation</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law change</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rate adjustment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18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 and others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tax (provision) benefit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October 31, 2022 and 2021, the Company had no unrecognized tax benefits. The Company files income tax returns in the U.S., California, Arizona, Chile, Argentina and Holland.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was no accrued interest or penalties associated with uncertain tax positions as of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Retirement Plans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Principal Bank and Mercer Human Resource Consulting. In fiscal year 2021, the Company terminated the Plan effective December 31, 2021. The liabilities disclosed as of October 31, 2022 and 2021, reflect an estimate of the additional cost to pay lump sums to a portion of the active and vested terminated participants and purchase annuities for all remaining participants from an insurance company.</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Plan was funded consistent with the funding requirements of federal law and regulations. There were no funding contributions during fiscal years 2022 or 2021. Plan assets are invested in a group trust consisting primarily of cash.</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investment policy and strategy has been established to provide a total investment return that will, over time, maintain purchasing power parity for the Plan’s variable benefits and keep the Plan funding at a reasonable level. The target asset allocation is 100% cash.</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following tables set forth the Plan’s net periodic cost, changes in benefit obligation and Plan assets, funded status, amounts recognized in the Company’s consolidated balance sheets, additional year-end information and assumptions used in determining the benefit obligations and net periodic benefit cost.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net periodic benefit cost for the Plan for fiscal years 2022 and 2021 were as follows (in thousands):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48"/>
        </w:trPr>
        <w:tc>
          <w:tcPr>
            <w:tcW w:w="85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19"/>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r>
      <w:tr>
        <w:trPr>
          <w:trHeight w:val="219"/>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Prior service cost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net loss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r>
      <w:tr>
        <w:trPr>
          <w:trHeight w:val="219"/>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 loss recognized</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benefit cost</w:t>
            </w: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1,777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0"/>
        </w:trPr>
        <w:tc>
          <w:tcPr>
            <w:tcW w:w="8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7"/>
        </w:trPr>
        <w:tc>
          <w:tcPr>
            <w:tcW w:w="8520" w:type="dxa"/>
            <w:vAlign w:val="bottom"/>
          </w:tcPr>
          <w:p>
            <w:pPr>
              <w:ind w:left="4640"/>
              <w:spacing w:after="0"/>
              <w:rPr>
                <w:sz w:val="20"/>
                <w:szCs w:val="20"/>
                <w:color w:val="auto"/>
              </w:rPr>
            </w:pPr>
            <w:r>
              <w:rPr>
                <w:rFonts w:ascii="Times New Roman" w:cs="Times New Roman" w:eastAsia="Times New Roman" w:hAnsi="Times New Roman"/>
                <w:sz w:val="17"/>
                <w:szCs w:val="17"/>
                <w:b w:val="1"/>
                <w:bCs w:val="1"/>
                <w:color w:val="auto"/>
              </w:rPr>
              <w:t>LIMONEIRA COMPANY</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85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9"/>
        </w:trPr>
        <w:tc>
          <w:tcPr>
            <w:tcW w:w="8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16. Retirement Plans (continued)</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Following is a summary of the Plan’s funded status as of October 31 (in thousands):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5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benefit obligation:</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Benefit obligation at beginning of year</w:t>
            </w:r>
          </w:p>
        </w:tc>
        <w:tc>
          <w:tcPr>
            <w:tcW w:w="48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22,898</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Administrative expenses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Plan settlements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Expenses paid</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Actuarial gain</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 obligation at end of year</w:t>
            </w:r>
          </w:p>
        </w:tc>
        <w:tc>
          <w:tcPr>
            <w:tcW w:w="480" w:type="dxa"/>
            <w:vAlign w:val="bottom"/>
            <w:tcBorders>
              <w:bottom w:val="single" w:sz="8" w:color="auto"/>
            </w:tcBorders>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Change in plan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of plan assets at beginning of year</w:t>
            </w: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Plan settlements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Expenses paid</w:t>
            </w: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12"/>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of plan assets at end of year</w:t>
            </w:r>
          </w:p>
        </w:tc>
        <w:tc>
          <w:tcPr>
            <w:tcW w:w="48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20,570</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5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Reconciliation of funded status:</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48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20,570</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 obligations</w:t>
            </w: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21,417</w:t>
            </w:r>
          </w:p>
        </w:tc>
        <w:tc>
          <w:tcPr>
            <w:tcW w:w="0" w:type="dxa"/>
            <w:vAlign w:val="bottom"/>
          </w:tcPr>
          <w:p>
            <w:pPr>
              <w:spacing w:after="0"/>
              <w:rPr>
                <w:sz w:val="1"/>
                <w:szCs w:val="1"/>
                <w:color w:val="auto"/>
              </w:rPr>
            </w:pPr>
          </w:p>
        </w:tc>
      </w:tr>
      <w:tr>
        <w:trPr>
          <w:trHeight w:val="212"/>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plan obligations</w:t>
            </w:r>
          </w:p>
        </w:tc>
        <w:tc>
          <w:tcPr>
            <w:tcW w:w="48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5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Amounts recognized in statements of financial position:</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Noncurrent liabilities</w:t>
            </w:r>
          </w:p>
        </w:tc>
        <w:tc>
          <w:tcPr>
            <w:tcW w:w="48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obligation recognized in statements of financial position</w:t>
            </w:r>
          </w:p>
        </w:tc>
        <w:tc>
          <w:tcPr>
            <w:tcW w:w="480" w:type="dxa"/>
            <w:vAlign w:val="bottom"/>
            <w:tcBorders>
              <w:bottom w:val="single" w:sz="8" w:color="auto"/>
            </w:tcBorders>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Reconciliation of amounts recognized in statements of financial position: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Accumulated contributions in excess of net periodic benefit cost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deficit recognized in statements of financial position</w:t>
            </w:r>
          </w:p>
        </w:tc>
        <w:tc>
          <w:tcPr>
            <w:tcW w:w="480" w:type="dxa"/>
            <w:vAlign w:val="bottom"/>
            <w:tcBorders>
              <w:bottom w:val="single" w:sz="8" w:color="auto"/>
            </w:tcBorders>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Presented below are changes in accumulated other comprehensive income, before tax, in the Plan as of October 31, (in thousands):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5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recognized in other comprehensive income:</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(gain) arising during the year</w:t>
            </w:r>
          </w:p>
        </w:tc>
        <w:tc>
          <w:tcPr>
            <w:tcW w:w="48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net loss</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recognized in other comprehensive income</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recognized in net periodic benefit and other comprehensive loss (income)</w:t>
            </w:r>
          </w:p>
        </w:tc>
        <w:tc>
          <w:tcPr>
            <w:tcW w:w="48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Retirement Plans (continued)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assumptions, as of October 31, were used in determining benefit obligations and net periodic benefit cost ($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80" w:type="dxa"/>
            <w:vAlign w:val="bottom"/>
            <w:gridSpan w:val="2"/>
          </w:tcPr>
          <w:p>
            <w:pPr>
              <w:ind w:left="8820"/>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assumptions used to determine benefit obligations:</w:t>
            </w: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2.58 %</w:t>
            </w:r>
          </w:p>
        </w:tc>
      </w:tr>
      <w:tr>
        <w:trPr>
          <w:trHeight w:val="245"/>
        </w:trPr>
        <w:tc>
          <w:tcPr>
            <w:tcW w:w="8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1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Assumptions used to determine net periodic benefit cost: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2.50 %</w:t>
            </w:r>
          </w:p>
        </w:tc>
      </w:tr>
      <w:tr>
        <w:trPr>
          <w:trHeight w:val="21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5.05 %</w:t>
            </w:r>
          </w:p>
        </w:tc>
      </w:tr>
      <w:tr>
        <w:trPr>
          <w:trHeight w:val="245"/>
        </w:trPr>
        <w:tc>
          <w:tcPr>
            <w:tcW w:w="8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year-end information:</w:t>
            </w:r>
          </w:p>
        </w:tc>
        <w:tc>
          <w:tcPr>
            <w:tcW w:w="3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3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14,607</w:t>
            </w:r>
          </w:p>
        </w:tc>
        <w:tc>
          <w:tcPr>
            <w:tcW w:w="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21,417</w:t>
            </w: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34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14,607</w:t>
            </w:r>
          </w:p>
        </w:tc>
        <w:tc>
          <w:tcPr>
            <w:tcW w:w="5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21,417</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3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12,335</w:t>
            </w:r>
          </w:p>
        </w:tc>
        <w:tc>
          <w:tcPr>
            <w:tcW w:w="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20,570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Employer contributions of $2,500,000 and benefit payments of $14,607,000 are expected to be paid in fiscal year 2023.</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Plan’s assets as of October 31, 2022, segregated by level using the hierarchy established by FASB ASC 820, Fair Value Measurements and Disclosures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1</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Level 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12,302</w:t>
            </w:r>
          </w:p>
        </w:tc>
      </w:tr>
      <w:tr>
        <w:trPr>
          <w:trHeight w:val="21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income</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7"/>
        </w:trPr>
        <w:tc>
          <w:tcPr>
            <w:tcW w:w="56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a 401(k) plan in which an employee can participate after one year of employment. Employees may elect to defer up to 100% of their annual earnings subject to Internal Revenue Code limits. The Company makes a matching contribution on these deferrals up to 4% of the employee’s annual earnings. Participants vest in any matching contribution at a rate of 20% per year beginning after one year of employment. During fiscal years 2022, 2021 and 2020, the Company contributed to the plan and recognized expenses of $445,000, $546,000 and $1,107,000, respectively.</w:t>
      </w:r>
    </w:p>
    <w:p>
      <w:pPr>
        <w:spacing w:after="0" w:line="51" w:lineRule="exact"/>
        <w:rPr>
          <w:sz w:val="20"/>
          <w:szCs w:val="20"/>
          <w:color w:val="auto"/>
        </w:rPr>
      </w:pPr>
    </w:p>
    <w:p>
      <w:pPr>
        <w:ind w:right="8540" w:firstLine="3"/>
        <w:spacing w:after="0" w:line="382" w:lineRule="auto"/>
        <w:tabs>
          <w:tab w:leader="none" w:pos="258"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Legal Proceedings</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is party to a lawsuit, initiated on March 27, 2018, against Southern California Edison in Superior Court of the State of California, County of Los Angeles whereby the Company is claiming unspecified damages, attorneys' fees and other costs, as a result from the Thomas Fire in fiscal year 2018. While the outcome of this lawsuit is uncertain, the Company believes its claim for damages is valid.</w:t>
      </w:r>
    </w:p>
    <w:p>
      <w:pPr>
        <w:spacing w:after="0" w:line="58" w:lineRule="exact"/>
        <w:rPr>
          <w:sz w:val="20"/>
          <w:szCs w:val="20"/>
          <w:color w:val="auto"/>
        </w:rPr>
      </w:pPr>
    </w:p>
    <w:p>
      <w:pPr>
        <w:ind w:right="8080" w:firstLine="3"/>
        <w:spacing w:after="0" w:line="382" w:lineRule="auto"/>
        <w:tabs>
          <w:tab w:leader="none" w:pos="258"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Series B Convertible Preferred Stock</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1997, in connection with the acquisition of Ronald Michaelis Ranches, Inc., the Company issued 30,000 shares of Series B Convertible Preferred Stock at $100.00 par value (the “Series B Stock”).</w:t>
      </w:r>
    </w:p>
    <w:p>
      <w:pPr>
        <w:spacing w:after="0" w:line="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Dividends: The holders of shares of Series B Stock are entitled to receive cumulative cash dividends at an annual rate of 8.75% of par value. Such dividends are payable quarterly on the first day of January, April, July and October in each year.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7200" w:firstLine="3"/>
        <w:spacing w:after="0" w:line="382" w:lineRule="auto"/>
        <w:tabs>
          <w:tab w:leader="none" w:pos="258"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 Convertible Preferred Stock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Rights: Each holder of Series B Stock is entitled to ten votes on all matters submitted to a vote of the stockholders of the Company.</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Put: The holders of Series B Stock may at any time after July 1, 2017 and before June 30,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Because the Series B Stock may be redeemed by holders of the shares at their discretion beginning July 1, 2017, the redemption is outside the control of the Company and accordingly, the Series B Stock has been classified as temporary equity.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B-2 Convertible Preferred Stock</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Conversion: Each share of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be trading or (b) $15.00 per share of common stock. Shares of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Rights: Each share of Series B-2 Preferred Stock is entitled to one vote on all matters submitted to a vote of the Company’s stockholders.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Because the Series B-2 Preferred Stock may be redeemed by WPI at its discretion with the exercise of the Option Agreement, the redemption is outside the control of the Company and accordingly, the Series B-2 Preferred Stock has been classified as temporary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7200" w:firstLine="3"/>
        <w:spacing w:after="0" w:line="382" w:lineRule="auto"/>
        <w:tabs>
          <w:tab w:leader="none" w:pos="258"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B-2 Convertible Preferred Stock (continued)</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Stockholders’ Equity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A Junior Participating Preferred Stock</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20,000 shares of preferred stock authorized as Series A Junior Participating Preferred Stock at $0.01 par value (the “Series A Stock”). No shares are issued or outstanding.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a stock-based compensation plan that allows for the grant of common stock of the Company to members of management, key executives and non-employee directors. The fair value of such awards is based on the fair value of the Company's stock on the date of grant and all are classified as equity awards. In fiscal year 2022, the 2010 Stock Plan terminated and was replaced by the 2022 Stock Plan (both plans collectively the “Stock Plans”) with 500,000 authorized shares. The Stock Plan has 450,769 remaining shares available to be issued as of October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Awards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Certain restricted stock grants are made to management each December under the Stock Plans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During December 2022, 79,972 shares of common stock with a per share price of $13.19 were granted to management under the Stock Plan for fiscal year 2022 performance, resulting in total compensation expense of approximately $1,055,000, with $365,000 recognized in the fiscal year ended October 31, 2022 and the balance to be recognized over the next two years as the shares vest. During December 2021 and 2020, there were no Performance Awards of restricted stock granted for fiscal year 2021 or 2020 performance because the financial performance and other criteria were not met.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Awards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Certain restricted stock grants are made to key executives under the Stock Plan (“Executive Awards”). These grants generally vest over a three to five-year period as service is provided. During December 2022, subsequent to fiscal year 2022, the Company granted 55,000 shares of common stock with a per share price of $13.19 to key executives under the Stock Plan. The related compensation expense of approximately $725,000 will be recognized equally over the next three years as the shares vest.</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fiscal year 2022, the Company entered into Retention Bonus Agreements with key executives (collectively, the “Retention Bonus Agreements”) whereby the executives will be eligible to receive cash and restricted stock grants. During December 2022, subsequent to fiscal year 2022, the Company granted 11,317 shares of common stock with a per share price of $13.19 to key executives related to the Retention Bonus Agreements. The related compensation expense of approximately $149,000 had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8420" w:firstLine="3"/>
        <w:spacing w:after="0" w:line="382" w:lineRule="auto"/>
        <w:tabs>
          <w:tab w:leader="none" w:pos="258"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(continued) Stock-based compensation (continued)</w:t>
      </w:r>
    </w:p>
    <w:p>
      <w:pPr>
        <w:spacing w:after="0" w:line="1" w:lineRule="exact"/>
        <w:rPr>
          <w:sz w:val="20"/>
          <w:szCs w:val="20"/>
          <w:color w:val="auto"/>
        </w:rPr>
      </w:pPr>
    </w:p>
    <w:p>
      <w:pPr>
        <w:ind w:right="1940"/>
        <w:spacing w:after="0" w:line="379" w:lineRule="auto"/>
        <w:rPr>
          <w:sz w:val="20"/>
          <w:szCs w:val="20"/>
          <w:color w:val="auto"/>
        </w:rPr>
      </w:pPr>
      <w:r>
        <w:rPr>
          <w:rFonts w:ascii="Times New Roman" w:cs="Times New Roman" w:eastAsia="Times New Roman" w:hAnsi="Times New Roman"/>
          <w:sz w:val="17"/>
          <w:szCs w:val="17"/>
          <w:color w:val="auto"/>
        </w:rPr>
        <w:t xml:space="preserve">$122,000 recognized in the fiscal year ended October 31, 2022 and the balance will be recognized over the next year as the shares vest. </w:t>
      </w:r>
      <w:r>
        <w:rPr>
          <w:rFonts w:ascii="Times New Roman" w:cs="Times New Roman" w:eastAsia="Times New Roman" w:hAnsi="Times New Roman"/>
          <w:sz w:val="17"/>
          <w:szCs w:val="17"/>
          <w:i w:val="1"/>
          <w:iCs w:val="1"/>
          <w:color w:val="auto"/>
        </w:rPr>
        <w:t>Director Awards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issues shares of common stock to non-employee directors under the Stock Plan on an annual basis that generally vest upon grant or over a one-year period (“Director Awards”).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of Awards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summary of the Performance, Executive, and Director awards granted under the Stock Plan during fiscal years 2022, 2021 and 2020, and the weighted average grant price is as follows: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3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Year Ended October 31,</w:t>
            </w:r>
          </w:p>
        </w:tc>
        <w:tc>
          <w:tcPr>
            <w:tcW w:w="1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7"/>
                <w:szCs w:val="17"/>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7"/>
                <w:szCs w:val="17"/>
                <w:b w:val="1"/>
                <w:bCs w:val="1"/>
                <w:color w:val="auto"/>
              </w:rPr>
              <w:t>2021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7"/>
                <w:szCs w:val="17"/>
                <w:b w:val="1"/>
                <w:bCs w:val="1"/>
                <w:color w:val="auto"/>
              </w:rPr>
              <w:t>2020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38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00" w:type="dxa"/>
            <w:vAlign w:val="bottom"/>
            <w:gridSpan w:val="2"/>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Weighted-Average Grant</w:t>
            </w:r>
          </w:p>
        </w:tc>
        <w:tc>
          <w:tcPr>
            <w:tcW w:w="100" w:type="dxa"/>
            <w:vAlign w:val="bottom"/>
          </w:tcPr>
          <w:p>
            <w:pPr>
              <w:spacing w:after="0"/>
              <w:rPr>
                <w:sz w:val="10"/>
                <w:szCs w:val="10"/>
                <w:color w:val="auto"/>
              </w:rPr>
            </w:pPr>
          </w:p>
        </w:tc>
        <w:tc>
          <w:tcPr>
            <w:tcW w:w="14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00" w:type="dxa"/>
            <w:vAlign w:val="bottom"/>
            <w:gridSpan w:val="2"/>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6"/>
              </w:rPr>
              <w:t>Weighted-Average Grant</w:t>
            </w:r>
          </w:p>
        </w:tc>
        <w:tc>
          <w:tcPr>
            <w:tcW w:w="120" w:type="dxa"/>
            <w:vAlign w:val="bottom"/>
          </w:tcPr>
          <w:p>
            <w:pPr>
              <w:spacing w:after="0"/>
              <w:rPr>
                <w:sz w:val="10"/>
                <w:szCs w:val="10"/>
                <w:color w:val="auto"/>
              </w:rPr>
            </w:pPr>
          </w:p>
        </w:tc>
        <w:tc>
          <w:tcPr>
            <w:tcW w:w="138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w w:val="96"/>
              </w:rPr>
              <w:t>Weighted-Average Grant</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4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7"/>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awards</w:t>
            </w:r>
          </w:p>
        </w:tc>
        <w:tc>
          <w:tcPr>
            <w:tcW w:w="1780" w:type="dxa"/>
            <w:vAlign w:val="bottom"/>
            <w:tcBorders>
              <w:top w:val="single" w:sz="8" w:color="auto"/>
            </w:tcBorders>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awards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awards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49,231</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30,663</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17,841</w:t>
            </w:r>
          </w:p>
        </w:tc>
        <w:tc>
          <w:tcPr>
            <w:tcW w:w="4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0" w:type="dxa"/>
            <w:vAlign w:val="bottom"/>
          </w:tcPr>
          <w:p>
            <w:pPr>
              <w:spacing w:after="0"/>
              <w:rPr>
                <w:sz w:val="1"/>
                <w:szCs w:val="1"/>
                <w:color w:val="auto"/>
              </w:rPr>
            </w:pP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119,231</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125,663</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112,841</w:t>
            </w: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recognized $2,732,000, $2,582,000 and $2,044,000 of stock-based compensation in fiscal years 2022, 2021 and 2020, respectively, of which substantially all of the expense has been included in selling, general and administrative expenses for all years presented. Forfeitures are accounted for in the period that the forfeiture occurs. The income tax benefit recognized in the income statement for stock-based compensation arrangements was $604,000, $476,000 and $400,000 for fiscal years 2022, 2021 and 2020, respectively. The total fair value of shares vested during the years ended October 31, 2022, 2021 and 2020 was $1,856,000, $2,951,000 and $2,365,000 respectively. The Company has unrecognized stock-based compensation expense of $1,208,000 as of October 31, 2022, which is expected to be recognized over the next one to two years as the shares vest. All unvested shares are expected to vest.</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fiscal years 2022, 2021 and 2020, respectively, members of management exchanged 105,316, 46,993 and 11,314 shares of common stock with fair values of $1,530,000, $701,000 and $213,000, at the dates of the exchanges, for the payment of payroll taxes associated with the vesting of shares under the Company’s stock-based compensation programs.</w:t>
      </w:r>
    </w:p>
    <w:p>
      <w:pPr>
        <w:spacing w:after="0" w:line="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summary of the status of the Company’s nonvested shares as of October 31, 2022, and changes during the fiscal year ended October 31, 2022, is presented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186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232"/>
        </w:trPr>
        <w:tc>
          <w:tcPr>
            <w:tcW w:w="728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Grant Price</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October 31, 2021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0" w:type="dxa"/>
            <w:vAlign w:val="bottom"/>
          </w:tcPr>
          <w:p>
            <w:pPr>
              <w:spacing w:after="0"/>
              <w:rPr>
                <w:sz w:val="1"/>
                <w:szCs w:val="1"/>
                <w:color w:val="auto"/>
              </w:rPr>
            </w:pPr>
          </w:p>
        </w:tc>
      </w:tr>
      <w:tr>
        <w:trPr>
          <w:trHeight w:val="21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119,231</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(106,334)</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0" w:type="dxa"/>
            <w:vAlign w:val="bottom"/>
          </w:tcPr>
          <w:p>
            <w:pPr>
              <w:spacing w:after="0"/>
              <w:rPr>
                <w:sz w:val="1"/>
                <w:szCs w:val="1"/>
                <w:color w:val="auto"/>
              </w:rPr>
            </w:pPr>
          </w:p>
        </w:tc>
      </w:tr>
      <w:tr>
        <w:trPr>
          <w:trHeight w:val="21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320" w:type="dxa"/>
            <w:vAlign w:val="bottom"/>
            <w:tcBorders>
              <w:bottom w:val="single" w:sz="8" w:color="CCEEFF"/>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rPr>
                <w:sz w:val="1"/>
                <w:szCs w:val="1"/>
                <w:color w:val="auto"/>
              </w:rPr>
            </w:pP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October 31,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110,897</w:t>
            </w:r>
          </w:p>
        </w:tc>
        <w:tc>
          <w:tcPr>
            <w:tcW w:w="3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fiscal year 2021, the Company's Board of Directors approved a share repurchase program authorizing it to repurchase up to $10,000,000 of its outstanding shares of common stock through September 2022; no shares were repurchased under this program. In fiscal year 2020, the Company repurchased 250,977 shares for $3,493,000 under a program which expired in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8540" w:firstLine="3"/>
        <w:spacing w:after="0" w:line="382" w:lineRule="auto"/>
        <w:tabs>
          <w:tab w:leader="none" w:pos="258"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(continued) Dividend</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20, 2022, the Company declared a $0.075 per share dividend payable on January 13, 2023, in the aggregate amount of $1,326,000 to common stockholders of record as of January 3,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Segment Information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and brokered fruit costs of oranges, specialty citrus and other crops. Revenues related to rental operations are included in “Corporate and Other.”</w:t>
      </w:r>
    </w:p>
    <w:p>
      <w:pPr>
        <w:spacing w:after="0" w:line="2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fiscal year 2022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Lemon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3"/>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Lemons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Packing</w:t>
            </w: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Avocados</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22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184,605</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184,605</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172,606</w:t>
            </w:r>
          </w:p>
        </w:tc>
      </w:tr>
      <w:tr>
        <w:trPr>
          <w:trHeight w:val="20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fiscal year 2021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Lemon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3"/>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Lemons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Packing</w:t>
            </w: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Avocados</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22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166,027</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166,027</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162,548</w:t>
            </w:r>
          </w:p>
        </w:tc>
      </w:tr>
      <w:tr>
        <w:trPr>
          <w:trHeight w:val="20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(6,333)</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fiscal year 2020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Lemon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Lemons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Packing</w:t>
            </w: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Avocados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Agribusiness</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220" w:type="dxa"/>
            <w:vAlign w:val="bottom"/>
          </w:tcPr>
          <w:p>
            <w:pPr>
              <w:spacing w:after="0"/>
              <w:rPr>
                <w:sz w:val="14"/>
                <w:szCs w:val="14"/>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159,937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164,559</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159,937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164,559</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173,470</w:t>
            </w:r>
          </w:p>
        </w:tc>
      </w:tr>
      <w:tr>
        <w:trPr>
          <w:trHeight w:val="20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10,097</w:t>
            </w: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(19,008)</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LIMONEIRA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Segment Information (continued)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detail of other agribusiness revenues for fiscal years 2022,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 Ended October 31,</w:t>
            </w:r>
          </w:p>
        </w:tc>
        <w:tc>
          <w:tcPr>
            <w:tcW w:w="1000" w:type="dxa"/>
            <w:vAlign w:val="bottom"/>
            <w:tcBorders>
              <w:bottom w:val="single" w:sz="8" w:color="auto"/>
            </w:tcBorders>
          </w:tcPr>
          <w:p>
            <w:pPr>
              <w:spacing w:after="0"/>
              <w:rPr>
                <w:sz w:val="19"/>
                <w:szCs w:val="19"/>
                <w:color w:val="auto"/>
              </w:rPr>
            </w:pPr>
          </w:p>
        </w:tc>
      </w:tr>
      <w:tr>
        <w:trPr>
          <w:trHeight w:val="212"/>
        </w:trPr>
        <w:tc>
          <w:tcPr>
            <w:tcW w:w="7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Oranges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7,722</w:t>
            </w:r>
          </w:p>
        </w:tc>
      </w:tr>
      <w:tr>
        <w:trPr>
          <w:trHeight w:val="21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Specialty citrus and other crops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5,846</w:t>
            </w: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agribusiness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Subsequent Events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evaluated events subsequent to October 31, 2022 through the date of this filing, to assess the need for potential recognition or disclosure in this Annual Report. Based upon this evaluation, except as described in the notes to consolidated financial statements, it was determined that no other subsequent events occurred that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Disclosure Controls and Procedures</w:t>
      </w:r>
      <w:r>
        <w:rPr>
          <w:rFonts w:ascii="Times New Roman" w:cs="Times New Roman" w:eastAsia="Times New Roman" w:hAnsi="Times New Roman"/>
          <w:sz w:val="17"/>
          <w:szCs w:val="17"/>
          <w:color w:val="auto"/>
        </w:rPr>
        <w:t>. As of October 31, 2022, we carried out an evaluation, under the supervision and with the participation of our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pacing w:after="0" w:line="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Internal Control over Financial Reporting. </w:t>
      </w:r>
      <w:r>
        <w:rPr>
          <w:rFonts w:ascii="Times New Roman" w:cs="Times New Roman" w:eastAsia="Times New Roman" w:hAnsi="Times New Roman"/>
          <w:sz w:val="17"/>
          <w:szCs w:val="17"/>
          <w:color w:val="auto"/>
        </w:rPr>
        <w:t>Refer to “Management’s Report on Internal Control over Financial Reporting” and “Report of Independent Registered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Public Accounting Firm” below.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Company’s management, including the principal executive officer and principal financial officer, conducted an evaluation of the effectiveness of Limoneira Company’s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evaluation, management concluded that internal control over financial reporting was effective as of October 31, 2022. Deloitte &amp; Touche LLP, an independent registered public accounting firm, has audited the effectiveness of the Company’s internal control over financial reporting and has issued a report on internal control over financial reporting, which is included herein.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Harold S. Edwards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Palamountain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ectPr>
          <w:pgSz w:w="11900" w:h="16838" w:orient="portrait"/>
          <w:cols w:equalWidth="0" w:num="1">
            <w:col w:w="11240"/>
          </w:cols>
          <w:pgMar w:left="320" w:top="9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Limoneira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Limoneira Company and subsidiaries (the “Company”) as of October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October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October 31, 2022, of the Company and our report dated December 22, 2022, expressed an unqualified opinion on those financial statements based on our audit and the report of the other auditors.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22, 2022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5" w:name="page86"/>
    <w:bookmarkEnd w:id="85"/>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r>
        <w:rPr>
          <w:rFonts w:ascii="Times New Roman" w:cs="Times New Roman" w:eastAsia="Times New Roman" w:hAnsi="Times New Roman"/>
          <w:sz w:val="17"/>
          <w:szCs w:val="17"/>
          <w:color w:val="auto"/>
        </w:rPr>
        <w:t>. There have been no significant changes in our internal control over financial reporting during the quarter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October 31, 2022 or, to our knowledge, in other factors that have materially affected, or are reasonably likely to materially affect, our internal control over financial reporting.</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Limitations on the Effectiveness of Controls</w:t>
      </w:r>
      <w:r>
        <w:rPr>
          <w:rFonts w:ascii="Times New Roman" w:cs="Times New Roman" w:eastAsia="Times New Roman" w:hAnsi="Times New Roman"/>
          <w:sz w:val="17"/>
          <w:szCs w:val="17"/>
          <w:color w:val="auto"/>
        </w:rPr>
        <w:t>. Control systems, no matter how well conceived and operated, are designed to provide a reasonable, but not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Proxy Statement.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Proxy Statement.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Proxy Statement.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Proxy Statement.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53"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7"/>
          <w:szCs w:val="17"/>
          <w:color w:val="auto"/>
        </w:rPr>
        <w:t>(a)(1)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(Public Company Accounting Oversight Board identification number 34)</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Consolidated Financial Statements of Limoneira Company</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Consolidated Balance Sheets at October 31, 2022 and 2021</w:t>
      </w:r>
    </w:p>
    <w:p>
      <w:pPr>
        <w:spacing w:after="0" w:line="24" w:lineRule="exact"/>
        <w:rPr>
          <w:sz w:val="20"/>
          <w:szCs w:val="20"/>
          <w:color w:val="auto"/>
        </w:rPr>
      </w:pPr>
    </w:p>
    <w:p>
      <w:pPr>
        <w:ind w:left="720" w:right="3380"/>
        <w:spacing w:after="0" w:line="269" w:lineRule="auto"/>
        <w:rPr>
          <w:sz w:val="20"/>
          <w:szCs w:val="20"/>
          <w:color w:val="auto"/>
        </w:rPr>
      </w:pPr>
      <w:r>
        <w:rPr>
          <w:rFonts w:ascii="Times New Roman" w:cs="Times New Roman" w:eastAsia="Times New Roman" w:hAnsi="Times New Roman"/>
          <w:sz w:val="17"/>
          <w:szCs w:val="17"/>
          <w:color w:val="auto"/>
        </w:rPr>
        <w:t>Consolidated Statements of Operations for the years ended October 31, 2022, 2021 and 2020 Consolidated Statements of Comprehensive Loss for the years ended October 31, 2022, 2021 and 2020</w:t>
      </w:r>
    </w:p>
    <w:p>
      <w:pPr>
        <w:ind w:left="720" w:right="1800"/>
        <w:spacing w:after="0" w:line="269" w:lineRule="auto"/>
        <w:rPr>
          <w:sz w:val="20"/>
          <w:szCs w:val="20"/>
          <w:color w:val="auto"/>
        </w:rPr>
      </w:pPr>
      <w:r>
        <w:rPr>
          <w:rFonts w:ascii="Times New Roman" w:cs="Times New Roman" w:eastAsia="Times New Roman" w:hAnsi="Times New Roman"/>
          <w:sz w:val="17"/>
          <w:szCs w:val="17"/>
          <w:color w:val="auto"/>
        </w:rPr>
        <w:t>Consolidated Statements of Stockholders’ Equity and Temporary Equity for the years ended October 31, 2022, 2021 and 2020 Consolidated Statements of Cash Flows for the years ended October 31, 2022, 2021 and 2020 Notes to Consolidated Financial Statements</w:t>
      </w:r>
    </w:p>
    <w:p>
      <w:pPr>
        <w:ind w:left="720"/>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on Internal Control over Financial Reporting</w:t>
      </w:r>
    </w:p>
    <w:p>
      <w:pPr>
        <w:spacing w:after="0" w:line="235"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7"/>
          <w:szCs w:val="17"/>
          <w:color w:val="auto"/>
        </w:rPr>
        <w:t>(a)(2)</w:t>
      </w:r>
      <w:r>
        <w:rPr>
          <w:sz w:val="20"/>
          <w:szCs w:val="20"/>
          <w:color w:val="auto"/>
        </w:rPr>
        <w:tab/>
      </w:r>
      <w:r>
        <w:rPr>
          <w:rFonts w:ascii="Times New Roman" w:cs="Times New Roman" w:eastAsia="Times New Roman" w:hAnsi="Times New Roman"/>
          <w:sz w:val="17"/>
          <w:szCs w:val="17"/>
          <w:b w:val="1"/>
          <w:bCs w:val="1"/>
          <w:color w:val="auto"/>
        </w:rPr>
        <w:t>Financial Statement Schedules</w:t>
      </w:r>
    </w:p>
    <w:p>
      <w:pPr>
        <w:spacing w:after="0" w:line="32" w:lineRule="exact"/>
        <w:rPr>
          <w:sz w:val="20"/>
          <w:szCs w:val="20"/>
          <w:color w:val="auto"/>
        </w:rPr>
      </w:pPr>
    </w:p>
    <w:p>
      <w:pPr>
        <w:ind w:left="720"/>
        <w:spacing w:after="0" w:line="237" w:lineRule="auto"/>
        <w:rPr>
          <w:sz w:val="20"/>
          <w:szCs w:val="20"/>
          <w:color w:val="auto"/>
        </w:rPr>
      </w:pPr>
      <w:r>
        <w:rPr>
          <w:rFonts w:ascii="Times New Roman" w:cs="Times New Roman" w:eastAsia="Times New Roman" w:hAnsi="Times New Roman"/>
          <w:sz w:val="17"/>
          <w:szCs w:val="17"/>
          <w:color w:val="auto"/>
        </w:rPr>
        <w:t>Per Item 15(a)(2), list the following documents filed as part of the report: those financial statements required to be filed by Item 8 of this Form 10-K, and by paragraph (b) below.</w:t>
      </w:r>
    </w:p>
    <w:p>
      <w:pPr>
        <w:spacing w:after="0" w:line="263" w:lineRule="exact"/>
        <w:rPr>
          <w:sz w:val="20"/>
          <w:szCs w:val="20"/>
          <w:color w:val="auto"/>
        </w:rPr>
      </w:pPr>
    </w:p>
    <w:p>
      <w:pPr>
        <w:ind w:left="720" w:hanging="700"/>
        <w:spacing w:after="0"/>
        <w:tabs>
          <w:tab w:leader="none" w:pos="7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Exhibits</w:t>
      </w:r>
    </w:p>
    <w:p>
      <w:pPr>
        <w:spacing w:after="0" w:line="31"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“Exhibit Index” set forth on page 89.</w:t>
      </w:r>
    </w:p>
    <w:p>
      <w:pPr>
        <w:spacing w:after="0" w:line="273" w:lineRule="exact"/>
        <w:rPr>
          <w:rFonts w:ascii="Times New Roman" w:cs="Times New Roman" w:eastAsia="Times New Roman" w:hAnsi="Times New Roman"/>
          <w:sz w:val="17"/>
          <w:szCs w:val="17"/>
          <w:color w:val="auto"/>
        </w:rPr>
      </w:pPr>
    </w:p>
    <w:p>
      <w:pPr>
        <w:ind w:left="720" w:hanging="700"/>
        <w:spacing w:after="0"/>
        <w:tabs>
          <w:tab w:leader="none" w:pos="7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Financial Statement Schedules</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Per Item 15(c), registrants shall file, as financial statement schedules to this Form 10-K, the financial statements required by Regulation S-X (17 CFR</w:t>
      </w:r>
    </w:p>
    <w:p>
      <w:pPr>
        <w:jc w:val="both"/>
        <w:ind w:left="720" w:firstLine="9"/>
        <w:spacing w:after="0" w:line="226" w:lineRule="auto"/>
        <w:tabs>
          <w:tab w:leader="none" w:pos="110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excluded from the annual report to stockholders by Rule 14a-3(b) including: (1) separate financial statements of subsidiaries not consolidated and fifty percent or less owned persons; (2) separate financial statements of affiliates whose securities are pledged as collateral; and (3) schedules.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57"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 on December 22, 2022.</w:t>
      </w:r>
    </w:p>
    <w:p>
      <w:pPr>
        <w:spacing w:after="0" w:line="8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LIMONEIRA COMPANY</w:t>
      </w:r>
    </w:p>
    <w:p>
      <w:pPr>
        <w:spacing w:after="0" w:line="243" w:lineRule="exact"/>
        <w:rPr>
          <w:sz w:val="20"/>
          <w:szCs w:val="20"/>
          <w:color w:val="auto"/>
        </w:rPr>
      </w:pPr>
    </w:p>
    <w:p>
      <w:pPr>
        <w:ind w:left="5440"/>
        <w:spacing w:after="0"/>
        <w:tabs>
          <w:tab w:leader="none" w:pos="5940" w:val="left"/>
        </w:tabs>
        <w:rPr>
          <w:sz w:val="20"/>
          <w:szCs w:val="20"/>
          <w:color w:val="auto"/>
        </w:rPr>
      </w:pPr>
      <w:r>
        <w:rPr>
          <w:rFonts w:ascii="Times New Roman" w:cs="Times New Roman" w:eastAsia="Times New Roman" w:hAnsi="Times New Roman"/>
          <w:sz w:val="17"/>
          <w:szCs w:val="17"/>
          <w:color w:val="auto"/>
        </w:rPr>
        <w:t>By:</w:t>
        <w:tab/>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17145</wp:posOffset>
            </wp:positionV>
            <wp:extent cx="22428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Harold S. Edwards</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Director, President and</w:t>
      </w:r>
    </w:p>
    <w:p>
      <w:pPr>
        <w:ind w:left="59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on December 22, 2022, by the following persons on behalf of the registrant and in the capacities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84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w w:val="99"/>
              </w:rPr>
              <w:t>Title</w:t>
            </w:r>
          </w:p>
        </w:tc>
      </w:tr>
      <w:tr>
        <w:trPr>
          <w:trHeight w:val="438"/>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Scott S. Slater</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Chairman of the Board of Directors</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Scott S. Slater</w:t>
            </w:r>
          </w:p>
        </w:tc>
        <w:tc>
          <w:tcPr>
            <w:tcW w:w="5840" w:type="dxa"/>
            <w:vAlign w:val="bottom"/>
          </w:tcPr>
          <w:p>
            <w:pPr>
              <w:spacing w:after="0"/>
              <w:rPr>
                <w:sz w:val="18"/>
                <w:szCs w:val="18"/>
                <w:color w:val="auto"/>
              </w:rPr>
            </w:pPr>
          </w:p>
        </w:tc>
      </w:tr>
      <w:tr>
        <w:trPr>
          <w:trHeight w:val="43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Harold S. Edwards</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Director, President and Chief Executive Officer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Harold S. Edwards</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3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Mark Palamountain</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Mark Palamountain</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43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Gordon E. Kimball</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Gordon E. Kimball</w:t>
            </w:r>
          </w:p>
        </w:tc>
        <w:tc>
          <w:tcPr>
            <w:tcW w:w="5840" w:type="dxa"/>
            <w:vAlign w:val="bottom"/>
          </w:tcPr>
          <w:p>
            <w:pPr>
              <w:spacing w:after="0"/>
              <w:rPr>
                <w:sz w:val="18"/>
                <w:szCs w:val="18"/>
                <w:color w:val="auto"/>
              </w:rPr>
            </w:pPr>
          </w:p>
        </w:tc>
      </w:tr>
      <w:tr>
        <w:trPr>
          <w:trHeight w:val="460"/>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Edgar Terry</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Edgar Terry</w:t>
            </w:r>
          </w:p>
        </w:tc>
        <w:tc>
          <w:tcPr>
            <w:tcW w:w="5840" w:type="dxa"/>
            <w:vAlign w:val="bottom"/>
          </w:tcPr>
          <w:p>
            <w:pPr>
              <w:spacing w:after="0"/>
              <w:rPr>
                <w:sz w:val="18"/>
                <w:szCs w:val="18"/>
                <w:color w:val="auto"/>
              </w:rPr>
            </w:pPr>
          </w:p>
        </w:tc>
      </w:tr>
      <w:tr>
        <w:trPr>
          <w:trHeight w:val="43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Elizabeth Blanchard Chess</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Elizabeth Blanchard Chess</w:t>
            </w:r>
          </w:p>
        </w:tc>
        <w:tc>
          <w:tcPr>
            <w:tcW w:w="5840" w:type="dxa"/>
            <w:vAlign w:val="bottom"/>
          </w:tcPr>
          <w:p>
            <w:pPr>
              <w:spacing w:after="0"/>
              <w:rPr>
                <w:sz w:val="18"/>
                <w:szCs w:val="18"/>
                <w:color w:val="auto"/>
              </w:rPr>
            </w:pPr>
          </w:p>
        </w:tc>
      </w:tr>
      <w:tr>
        <w:trPr>
          <w:trHeight w:val="43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Elizabeth Mora</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Elizabeth Mora</w:t>
            </w:r>
          </w:p>
        </w:tc>
        <w:tc>
          <w:tcPr>
            <w:tcW w:w="5840" w:type="dxa"/>
            <w:vAlign w:val="bottom"/>
          </w:tcPr>
          <w:p>
            <w:pPr>
              <w:spacing w:after="0"/>
              <w:rPr>
                <w:sz w:val="18"/>
                <w:szCs w:val="18"/>
                <w:color w:val="auto"/>
              </w:rPr>
            </w:pPr>
          </w:p>
        </w:tc>
      </w:tr>
      <w:tr>
        <w:trPr>
          <w:trHeight w:val="43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John W.H. Merriman</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John W.H. Merriman</w:t>
            </w:r>
          </w:p>
        </w:tc>
        <w:tc>
          <w:tcPr>
            <w:tcW w:w="5840" w:type="dxa"/>
            <w:vAlign w:val="bottom"/>
          </w:tcPr>
          <w:p>
            <w:pPr>
              <w:spacing w:after="0"/>
              <w:rPr>
                <w:sz w:val="18"/>
                <w:szCs w:val="18"/>
                <w:color w:val="auto"/>
              </w:rPr>
            </w:pPr>
          </w:p>
        </w:tc>
      </w:tr>
      <w:tr>
        <w:trPr>
          <w:trHeight w:val="421"/>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Barbara Carbone</w:t>
            </w:r>
          </w:p>
        </w:tc>
        <w:tc>
          <w:tcPr>
            <w:tcW w:w="58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Barbara Carbone</w:t>
            </w:r>
          </w:p>
        </w:tc>
        <w:tc>
          <w:tcPr>
            <w:tcW w:w="5840" w:type="dxa"/>
            <w:vAlign w:val="bottom"/>
          </w:tcPr>
          <w:p>
            <w:pPr>
              <w:spacing w:after="0"/>
              <w:rPr>
                <w:sz w:val="18"/>
                <w:szCs w:val="18"/>
                <w:color w:val="auto"/>
              </w:rPr>
            </w:pPr>
          </w:p>
        </w:tc>
      </w:tr>
      <w:tr>
        <w:trPr>
          <w:trHeight w:val="822"/>
        </w:trPr>
        <w:tc>
          <w:tcPr>
            <w:tcW w:w="5400" w:type="dxa"/>
            <w:vAlign w:val="bottom"/>
          </w:tcPr>
          <w:p>
            <w:pPr>
              <w:spacing w:after="0"/>
              <w:rPr>
                <w:sz w:val="24"/>
                <w:szCs w:val="24"/>
                <w:color w:val="auto"/>
              </w:rPr>
            </w:pPr>
          </w:p>
        </w:tc>
        <w:tc>
          <w:tcPr>
            <w:tcW w:w="5840" w:type="dxa"/>
            <w:vAlign w:val="bottom"/>
          </w:tcPr>
          <w:p>
            <w:pPr>
              <w:jc w:val="right"/>
              <w:ind w:right="5454"/>
              <w:spacing w:after="0"/>
              <w:rPr>
                <w:sz w:val="20"/>
                <w:szCs w:val="20"/>
                <w:color w:val="auto"/>
              </w:rPr>
            </w:pPr>
            <w:r>
              <w:rPr>
                <w:rFonts w:ascii="Times New Roman" w:cs="Times New Roman" w:eastAsia="Times New Roman" w:hAnsi="Times New Roman"/>
                <w:sz w:val="17"/>
                <w:szCs w:val="17"/>
                <w:color w:val="auto"/>
              </w:rPr>
              <w:t>88</w:t>
            </w:r>
          </w:p>
        </w:tc>
      </w:tr>
      <w:tr>
        <w:trPr>
          <w:trHeight w:val="108"/>
        </w:trPr>
        <w:tc>
          <w:tcPr>
            <w:tcW w:w="5400" w:type="dxa"/>
            <w:vAlign w:val="bottom"/>
            <w:tcBorders>
              <w:bottom w:val="single" w:sz="8" w:color="9A9A9A"/>
            </w:tcBorders>
          </w:tcPr>
          <w:p>
            <w:pPr>
              <w:spacing w:after="0"/>
              <w:rPr>
                <w:sz w:val="9"/>
                <w:szCs w:val="9"/>
                <w:color w:val="auto"/>
              </w:rPr>
            </w:pPr>
          </w:p>
        </w:tc>
        <w:tc>
          <w:tcPr>
            <w:tcW w:w="5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7"/>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34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780" w:type="dxa"/>
            <w:vAlign w:val="bottom"/>
            <w:gridSpan w:val="2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80" w:type="dxa"/>
            <w:vAlign w:val="bottom"/>
            <w:gridSpan w:val="2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80" w:type="dxa"/>
            <w:vAlign w:val="bottom"/>
            <w:tcBorders>
              <w:top w:val="single" w:sz="8" w:color="auto"/>
            </w:tcBorders>
            <w:gridSpan w:val="28"/>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Certificate of Merger of Limoneira Company and The Samuel Edwards Associates into Limoneira Company, dated October 31, 1990</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(Incorporated by reference to exhibit 3.2 to the Company’s Registration Statement on Form 10, and amendments thereto, declared effective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April 13, 2010 (File No. 000-53885))</w:t>
              </w:r>
            </w:hyperlink>
          </w:p>
        </w:tc>
        <w:tc>
          <w:tcPr>
            <w:tcW w:w="73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Certificate of Merger of McKevett Corporation into Limoneira Company dated December 31, 1994 (Incorporated by reference to exhibit 3.3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the Company’s Registration Statement on Form 10, and amendments thereto, declared effective April 13, 2010 (File No. 000-53885))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Agreement of Merger Between Ronald Michaelis Ranches, Inc. and Limoneira Company, dated June 24, 1997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exhibit 3.6 to the Company’s Registration Statement on Form 10, and amendments thereto, declared effective April 13, 2010 (File No. 000-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6"/>
              </w:rPr>
            </w:pPr>
            <w:hyperlink r:id="rId115">
              <w:r>
                <w:rPr>
                  <w:rFonts w:ascii="Times New Roman" w:cs="Times New Roman" w:eastAsia="Times New Roman" w:hAnsi="Times New Roman"/>
                  <w:sz w:val="17"/>
                  <w:szCs w:val="17"/>
                  <w:color w:val="0000FF"/>
                  <w:w w:val="96"/>
                </w:rPr>
                <w:t>53885)</w:t>
              </w:r>
              <w:r>
                <w:rPr>
                  <w:rFonts w:ascii="Times New Roman" w:cs="Times New Roman" w:eastAsia="Times New Roman" w:hAnsi="Times New Roman"/>
                  <w:sz w:val="17"/>
                  <w:szCs w:val="17"/>
                  <w:u w:val="single" w:color="auto"/>
                  <w:color w:val="0000FF"/>
                  <w:w w:val="96"/>
                </w:rPr>
                <w:t>)</w:t>
              </w:r>
            </w:hyperlink>
          </w:p>
        </w:tc>
        <w:tc>
          <w:tcPr>
            <w:tcW w:w="6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Restated Certificate of Incorporation of Limoneira Company, dated July 5, 1990 (Incorporated by reference to exhibit 3.1 to the Company’s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Registration Statement on Form 10, and amendments thereto, declared effective April 13, 2010 (File No. 000-53885))</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Certificate of Amendment of Certificate of Incorporation of Limoneira Company, dated April 22, 2003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0000FF"/>
                </w:rPr>
                <w:t xml:space="preserve"> to the Company’s Registration Statement on Form 10, and amendments thereto, declared effective April 13, 2010 (File No. 000-53885))</w:t>
              </w:r>
            </w:hyperlink>
          </w:p>
        </w:tc>
        <w:tc>
          <w:tcPr>
            <w:tcW w:w="48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Certificate of Amendment of Certificate of Incorporation of Limoneira Company, dated March 24, 2010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9</w:t>
              </w:r>
              <w:r>
                <w:rPr>
                  <w:rFonts w:ascii="Times New Roman" w:cs="Times New Roman" w:eastAsia="Times New Roman" w:hAnsi="Times New Roman"/>
                  <w:sz w:val="17"/>
                  <w:szCs w:val="17"/>
                  <w:color w:val="0000FF"/>
                </w:rPr>
                <w:t xml:space="preserve"> to the Company’s Registration Statement on Form 10, and amendments thereto, declared effective April 13, 2010 (File No. 000-53885))</w:t>
              </w:r>
            </w:hyperlink>
          </w:p>
        </w:tc>
        <w:tc>
          <w:tcPr>
            <w:tcW w:w="3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Certificate of Amendment of Certificate of Incorporation of Limoneira Company, dated March 29, 2017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Company’s Current Report on Form 8-K, filed March 31, 2017 (File No. 001-34755))</w:t>
              </w:r>
            </w:hyperlink>
          </w:p>
        </w:tc>
        <w:tc>
          <w:tcPr>
            <w:tcW w:w="34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Amended and Restated Bylaws of Limoneira Company (Incorporated by reference to exhibit 3.1 to the Company's Current Report on Form 8-</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K, filed October 27, 2021 (File No. 001-34755))</w:t>
              </w:r>
            </w:hyperlink>
          </w:p>
        </w:tc>
        <w:tc>
          <w:tcPr>
            <w:tcW w:w="664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 xml:space="preserve">Specimen Certificate representing shares of Common Stock, par value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0.01 per share (Incorporated by reference to exhibit 4.1 to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Company’s Registration Statement on Form 10, and amendments thereto, declared effective April 13, 2010 (File No. 000-53885))</w:t>
              </w:r>
            </w:hyperlink>
          </w:p>
        </w:tc>
        <w:tc>
          <w:tcPr>
            <w:tcW w:w="1020" w:type="dxa"/>
            <w:vAlign w:val="bottom"/>
            <w:tcBorders>
              <w:top w:val="single" w:sz="8" w:color="0000FF"/>
            </w:tcBorders>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Rights Agreement dated December 20, 2006 between Limoneira Company and The Bank of New York, as Rights Agent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reference to exhibit 4.2 to the Company’s Registration Statement on Form 10, and amendments thereto, declared effective April 13, 2010 (File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w w:val="99"/>
              </w:rPr>
            </w:pPr>
            <w:hyperlink r:id="rId122">
              <w:r>
                <w:rPr>
                  <w:rFonts w:ascii="Times New Roman" w:cs="Times New Roman" w:eastAsia="Times New Roman" w:hAnsi="Times New Roman"/>
                  <w:sz w:val="17"/>
                  <w:szCs w:val="17"/>
                  <w:color w:val="0000FF"/>
                  <w:w w:val="99"/>
                </w:rPr>
                <w:t>No. 000-53885))</w:t>
              </w:r>
            </w:hyperlink>
          </w:p>
        </w:tc>
        <w:tc>
          <w:tcPr>
            <w:tcW w:w="88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Certificate of Designation, Preferences and Rights of Series A Junior Participating Preferred Stock, $.01 Par Value, of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dated November 21, 2006 (Incorporated by reference to exhibit 3.8 to the Company’s Registration Statement on Form 10, and amendments</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61"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thereto, declared effective April 13, 2010 (File No. 000-53885))</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 xml:space="preserve">Certificate of Designation, Preferences and Rights of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8.75 Voting Preferred Stock,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100.00 Par Value, Series B of Limoneira Company, dated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May 21, 1997 (Incorporated by reference to exhibit 3.4 to the Company’s Registration Statement on Form 10, and amendments thereto,</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declared effective April 13, 2010 (File No. 000-53885))</w:t>
              </w:r>
            </w:hyperlink>
          </w:p>
        </w:tc>
        <w:tc>
          <w:tcPr>
            <w:tcW w:w="624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8"/>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 xml:space="preserve">Amended Certificate of Designation, Preferences and Rights of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8.75 Voting Preferred Stock,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100.00 Par Value, Series B of Limoneira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Company, dated May 21, 1997 (Incorporated by reference to exhibit 3.5 to the Company’s Registration Statement on Form 10, and</w:t>
              </w:r>
            </w:hyperlink>
          </w:p>
        </w:tc>
        <w:tc>
          <w:tcPr>
            <w:tcW w:w="20" w:type="dxa"/>
            <w:vAlign w:val="bottom"/>
            <w:tcBorders>
              <w:bottom w:val="single" w:sz="8" w:color="0000FF"/>
            </w:tcBorders>
          </w:tcPr>
          <w:p>
            <w:pPr>
              <w:spacing w:after="0"/>
              <w:rPr>
                <w:sz w:val="12"/>
                <w:szCs w:val="12"/>
                <w:color w:val="auto"/>
              </w:rPr>
            </w:pPr>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bl>
    <w:p>
      <w:pPr>
        <w:ind w:left="1360"/>
        <w:spacing w:after="0"/>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amendments thereto, declared effective April 13, 2010 (File No. 000-53885))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580" w:type="dxa"/>
            <w:vAlign w:val="bottom"/>
            <w:gridSpan w:val="22"/>
            <w:vMerge w:val="restart"/>
          </w:tcPr>
          <w:p>
            <w:pPr>
              <w:ind w:left="19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80" w:type="dxa"/>
            <w:vAlign w:val="bottom"/>
            <w:gridSpan w:val="2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60" w:type="dxa"/>
            <w:vAlign w:val="bottom"/>
            <w:tcBorders>
              <w:top w:val="single" w:sz="8" w:color="auto"/>
            </w:tcBorders>
            <w:gridSpan w:val="26"/>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 xml:space="preserve">Certificate of Designation, Preferences and Rights of 4% Voting Preferred Stock,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100.00 Par Value, Series B-2 of Limoneira Company, dated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March 20, 2014 (Incorporated by reference to exhibit 3.1 to the Company’s Current Report on Form 8-K, filed March 24, 2014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6"/>
              </w:rPr>
            </w:pPr>
            <w:hyperlink r:id="rId127">
              <w:r>
                <w:rPr>
                  <w:rFonts w:ascii="Times New Roman" w:cs="Times New Roman" w:eastAsia="Times New Roman" w:hAnsi="Times New Roman"/>
                  <w:sz w:val="17"/>
                  <w:szCs w:val="17"/>
                  <w:color w:val="0000FF"/>
                  <w:w w:val="96"/>
                </w:rPr>
                <w:t>34755)</w:t>
              </w:r>
              <w:r>
                <w:rPr>
                  <w:rFonts w:ascii="Times New Roman" w:cs="Times New Roman" w:eastAsia="Times New Roman" w:hAnsi="Times New Roman"/>
                  <w:sz w:val="17"/>
                  <w:szCs w:val="17"/>
                  <w:u w:val="single" w:color="auto"/>
                  <w:color w:val="0000FF"/>
                  <w:w w:val="96"/>
                </w:rPr>
                <w:t>)</w:t>
              </w:r>
            </w:hyperlink>
          </w:p>
        </w:tc>
        <w:tc>
          <w:tcPr>
            <w:tcW w:w="9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4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Description of Securities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Real Estate Advisory Management Consultant Agreement dated April 1, 2004, by and between Limoneira Company and Parkstone Companies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(Incorporated by reference to exhibit 10.1 of the Company’s Current Report on Form 8-K, filed August 25, 2010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Amendment No. 1 to Real Estate Advisory Management Consultant Agreement dated August 24, 2010, by and between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and Parkstone Companies (Incorporated by reference to exhibit 10.2 of the Company’s Current Report on Form 8-K, filed August 25, 2010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Lease Agreement dated February 15, 2005, between Limoneira Company and Calavo Growers, Inc. (Incorporated by reference to exhibit 10.6</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to the Company’s Registration Statement on Form 10, and amendments thereto, declared effective April 13, 2010 (File No. 000-53885))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Revolving Equity Line of Credit Promissory Note and Loan Agreement, dated October 28, 1997, between Limoneira Company and Farm</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Credit West, FLCA (as successor by merger to Central Coast Federal Land Bank Association) (Incorporated by reference to exhibit 10.9 to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Company’s Registration Statement on Form 10, and amendments thereto, declared effective April 13, 2010 (File No. 000-53885))</w:t>
              </w:r>
            </w:hyperlink>
          </w:p>
        </w:tc>
        <w:tc>
          <w:tcPr>
            <w:tcW w:w="114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Promissory Note and Loan Agreement, dated April 23, 2007, between Farm Credit West, FLCA and Limoneira Company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reference to exhibit 10.10 to the Company’s Registration Statement on Form 10, and amendments thereto, declared effective April 13, 2010</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6"/>
          </w:tcPr>
          <w:p>
            <w:pPr>
              <w:spacing w:after="0" w:line="161"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Promissory Note and Loan Agreement, dated September 23, 2005, among Farm Credit West, FLCA and Windfall Investors, LLC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(Incorporated by reference to exhibit 10.12 to the Company’s Registration Statement on Form 10, and amendments thereto, declared effective</w:t>
              </w:r>
            </w:hyperlink>
          </w:p>
        </w:tc>
        <w:tc>
          <w:tcPr>
            <w:tcW w:w="40" w:type="dxa"/>
            <w:vAlign w:val="bottom"/>
            <w:tcBorders>
              <w:bottom w:val="single" w:sz="8" w:color="0000FF"/>
            </w:tcBorders>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April 13, 2010 (File No. 000-53885))</w:t>
              </w:r>
            </w:hyperlink>
          </w:p>
        </w:tc>
        <w:tc>
          <w:tcPr>
            <w:tcW w:w="7460" w:type="dxa"/>
            <w:vAlign w:val="bottom"/>
            <w:gridSpan w:val="1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Master Loan Agreement, dated May 1, 2012, between Limoneira Company and Farm Credit West, PCA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the Company’s Current Report on Form 8-K, filed May 2, 2012 (File No. 001-34755))</w:t>
              </w:r>
            </w:hyperlink>
          </w:p>
        </w:tc>
        <w:tc>
          <w:tcPr>
            <w:tcW w:w="368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Promissory Note and Supplement to Master Loan Agreement, dated May 1, 2012, between Limoneira Company and Farm Credit West, PCA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(Incorporated by reference to exhibit 10.1 to the Company’s Current Report on Form 8-K filed, May 2, 2012 (File No. 001-34755))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Pre-Annexation and Development Agreement, dated March 3, 2008, by and between the City of Santa Paula and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(Incorporated by reference to exhibit 10.20 to the Company’s Registration Statement on Form 10, and amendments thereto, declared effective</w:t>
              </w:r>
            </w:hyperlink>
          </w:p>
        </w:tc>
        <w:tc>
          <w:tcPr>
            <w:tcW w:w="40" w:type="dxa"/>
            <w:vAlign w:val="bottom"/>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April 13, 2010 (File No. 000-53885))</w:t>
              </w:r>
            </w:hyperlink>
          </w:p>
        </w:tc>
        <w:tc>
          <w:tcPr>
            <w:tcW w:w="7460" w:type="dxa"/>
            <w:vAlign w:val="bottom"/>
            <w:tcBorders>
              <w:top w:val="single" w:sz="8" w:color="0000FF"/>
            </w:tcBorders>
            <w:gridSpan w:val="1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Judgment, dated March 7, 1996, United Water Conservation Dist. v. City of San Buenaventura, et al., Case No. 115611, Superior Court of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State of California, Ventura County (Incorporated by reference to exhibit 10.24 to the Company’s Registration Statement on Form 10, and</w:t>
              </w:r>
            </w:hyperlink>
          </w:p>
        </w:tc>
        <w:tc>
          <w:tcPr>
            <w:tcW w:w="100" w:type="dxa"/>
            <w:vAlign w:val="bottom"/>
            <w:tcBorders>
              <w:bottom w:val="single" w:sz="8" w:color="0000FF"/>
            </w:tcBorders>
            <w:gridSpan w:val="5"/>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bottom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amendments thereto, declared effective April 13, 2010 (File No. 000-53885))</w:t>
              </w:r>
            </w:hyperlink>
          </w:p>
        </w:tc>
        <w:tc>
          <w:tcPr>
            <w:tcW w:w="4660" w:type="dxa"/>
            <w:vAlign w:val="bottom"/>
            <w:gridSpan w:val="12"/>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6"/>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Option Agreement, dated February 27, 2013, by and among the Company, Jason B. Rushing as Trustee of the Jason B. Rushing Trust, Jennifer</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 Rushing as trustee for the Jennifer R. Rushing Revocable trust, Zella A. Rushing as trustee of the 1988 Zella Rushing Trust (Incorporated</w:t>
              </w:r>
            </w:hyperlink>
          </w:p>
        </w:tc>
        <w:tc>
          <w:tcPr>
            <w:tcW w:w="80" w:type="dxa"/>
            <w:vAlign w:val="bottom"/>
            <w:tcBorders>
              <w:bottom w:val="single" w:sz="8" w:color="0000FF"/>
            </w:tcBorders>
            <w:gridSpan w:val="4"/>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bl>
    <w:p>
      <w:pPr>
        <w:ind w:left="1360"/>
        <w:spacing w:after="0"/>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by reference to exhibit 10.1 of the Company’s Quarterly Report on Form 10-Q, filed June 10, 2013 (File No. 001-34755))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60" w:type="dxa"/>
            <w:vAlign w:val="bottom"/>
            <w:gridSpan w:val="2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60" w:type="dxa"/>
            <w:vAlign w:val="bottom"/>
            <w:gridSpan w:val="2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25"/>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Purchase and Sale Agreement and Escrow Instructions, dated April 8, 2013, by and among HM East Ridge LLC, Limoneira Company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IPDC construction, Inc., (Incorporated by reference to exhibit 10.1 to the Current Report on Form 8-K, filed April 12, 2013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0000FF"/>
            </w:tcBorders>
          </w:tcPr>
          <w:p>
            <w:pPr>
              <w:spacing w:after="0" w:line="161" w:lineRule="exact"/>
              <w:rPr>
                <w:rFonts w:ascii="Times New Roman" w:cs="Times New Roman" w:eastAsia="Times New Roman" w:hAnsi="Times New Roman"/>
                <w:sz w:val="17"/>
                <w:szCs w:val="17"/>
                <w:color w:val="0000FF"/>
                <w:w w:val="96"/>
              </w:rPr>
            </w:pPr>
            <w:hyperlink r:id="rId140">
              <w:r>
                <w:rPr>
                  <w:rFonts w:ascii="Times New Roman" w:cs="Times New Roman" w:eastAsia="Times New Roman" w:hAnsi="Times New Roman"/>
                  <w:sz w:val="17"/>
                  <w:szCs w:val="17"/>
                  <w:color w:val="0000FF"/>
                  <w:w w:val="96"/>
                </w:rPr>
                <w:t>34755)</w:t>
              </w:r>
              <w:r>
                <w:rPr>
                  <w:rFonts w:ascii="Times New Roman" w:cs="Times New Roman" w:eastAsia="Times New Roman" w:hAnsi="Times New Roman"/>
                  <w:sz w:val="17"/>
                  <w:szCs w:val="17"/>
                  <w:u w:val="single" w:color="auto"/>
                  <w:color w:val="0000FF"/>
                  <w:w w:val="96"/>
                </w:rPr>
                <w:t>)</w:t>
              </w:r>
            </w:hyperlink>
          </w:p>
        </w:tc>
        <w:tc>
          <w:tcPr>
            <w:tcW w:w="2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Lease Agreement, dated July 1, 2013, by and between the Company and Cadiz, Inc. (Incorporated by reference to exhibit 10.1 to the Current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Report on Form 8-K, filed July 2, 2013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Cadiz-Limoneira Amended and Restated Lease, dated February 3, 2015, by and between Cadiz Real Estate LLC and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(Incorporated by reference to exhibit 10.1 of the Company’s Quarterly Report on Form 10-Q, filed March 9, 2015 (File No. 001-34755)).</w:t>
              </w:r>
            </w:hyperlink>
          </w:p>
        </w:tc>
        <w:tc>
          <w:tcPr>
            <w:tcW w:w="6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Agreement and Plan of Merger, dated September 6, 2013, by and among Limoneira Company, ACP Merger Sub, Inc., Associated Citrus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Packers, Inc., and Mark Spencer, as the Shareholder Representative defined therein (Incorporated by reference to exhibit 10.1 to the Current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Report on form 8-K, filed September 12, 2013 (File No. 001-34755))</w:t>
              </w:r>
            </w:hyperlink>
          </w:p>
        </w:tc>
        <w:tc>
          <w:tcPr>
            <w:tcW w:w="524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Purchase and Sale Agreement and Joint Escrow Instructions, dated September 27, 2013, by and between Sun World International, LLC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Limoneira Company (Incorporated by reference to exhibit 10.1 to the Current Report on Form 8-K, filed October 15, 2013 (File No. 001-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6"/>
              </w:rPr>
            </w:pPr>
            <w:hyperlink r:id="rId144">
              <w:r>
                <w:rPr>
                  <w:rFonts w:ascii="Times New Roman" w:cs="Times New Roman" w:eastAsia="Times New Roman" w:hAnsi="Times New Roman"/>
                  <w:sz w:val="17"/>
                  <w:szCs w:val="17"/>
                  <w:color w:val="0000FF"/>
                  <w:w w:val="96"/>
                </w:rPr>
                <w:t>34755)</w:t>
              </w:r>
              <w:r>
                <w:rPr>
                  <w:rFonts w:ascii="Times New Roman" w:cs="Times New Roman" w:eastAsia="Times New Roman" w:hAnsi="Times New Roman"/>
                  <w:sz w:val="17"/>
                  <w:szCs w:val="17"/>
                  <w:u w:val="single" w:color="auto"/>
                  <w:color w:val="0000FF"/>
                  <w:w w:val="96"/>
                </w:rPr>
                <w:t>)</w:t>
              </w:r>
            </w:hyperlink>
          </w:p>
        </w:tc>
        <w:tc>
          <w:tcPr>
            <w:tcW w:w="23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Construction Contract and Agreement, dated October 1, 2013, by and between Limoneira Company and NEXGEN Builders, Inc. (Incorporated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2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by reference to exhibit 10.1 to the Current Report on Form 8-K, filed December 4, 2013 (File No. 001-34755))</w:t>
              </w:r>
            </w:hyperlink>
          </w:p>
        </w:tc>
        <w:tc>
          <w:tcPr>
            <w:tcW w:w="23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General Conditions of the Contract and Agreement, dated October 1, 2013, by and between Limoneira company and NEXGEN Builders,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(Incorporated by reference to exhibit 10.2 to the Current Report on Form 8-K, filed December 4, 2013 (File No. 001-34755))</w:t>
              </w:r>
            </w:hyperlink>
          </w:p>
        </w:tc>
        <w:tc>
          <w:tcPr>
            <w:tcW w:w="14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Purchase and Sale Agreement and Escrow Instructions, dated November 29, 2013, by and between Templeton Santa Barbara, LLC and MI</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Land, LLC related to the sale of the Sevilla Property (Incorporated by reference to exhibit 10.3 to the Current Report on Form 8-K, filed</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December 4, 2013 (File No. 001-34755))</w:t>
              </w:r>
            </w:hyperlink>
          </w:p>
        </w:tc>
        <w:tc>
          <w:tcPr>
            <w:tcW w:w="7140" w:type="dxa"/>
            <w:vAlign w:val="bottom"/>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Series B-2 Preferred Stock Purchase Agreement, dated March 21, 2014, by and between Limoneira Company and WPI-ACP Holdings, LLC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(Incorporated by reference to exhibit 10.1 to the Current Report on Form 8-K, filed March 24, 2014 (File No. 001-34755))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gridSpan w:val="5"/>
            <w:shd w:val="clear" w:color="auto" w:fill="0000FF"/>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Contribution Agreement, dated September 4, 2015, by and among Limoneira Company and Lewis Santa Paula Member, LLC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reference to exhibit 10.1 to the Company’s Current Report on Form 8-K, filed September 10, 2015 (File No. 001-34755))</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gridSpan w:val="5"/>
            <w:shd w:val="clear" w:color="auto" w:fill="0000FF"/>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First Amended and Restated Limited Liability Company Agreement of Limoneira Lewis Community Builders, LLC, dated November 10,</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2015, by and among Limoneira EA1 Land LLC and Lewis Santa Paula Member, LLC (Incorporated by reference to exhibit 10.1 to the</w:t>
              </w:r>
            </w:hyperlink>
          </w:p>
        </w:tc>
        <w:tc>
          <w:tcPr>
            <w:tcW w:w="140" w:type="dxa"/>
            <w:vAlign w:val="bottom"/>
            <w:tcBorders>
              <w:bottom w:val="single" w:sz="8" w:color="0000FF"/>
            </w:tcBorders>
            <w:gridSpan w:val="7"/>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3"/>
          </w:tcPr>
          <w:p>
            <w:pPr>
              <w:spacing w:after="0" w:line="16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Company’s Current Report on Form 8-K, filed November 16, 2015 (File No. 001-34755))</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gridSpan w:val="5"/>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Interim Funding Agreement, dated December 1, 2015, between Limoneira and Wells Fargo Equipment Finance, Inc.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reference to exhibit 10.1 to the Company’s Current Report on Form 8-K, filed December 22, 2015 (File No. 001-34755))</w:t>
              </w:r>
            </w:hyperlink>
          </w:p>
        </w:tc>
        <w:tc>
          <w:tcPr>
            <w:tcW w:w="1520" w:type="dxa"/>
            <w:vAlign w:val="bottom"/>
            <w:tcBorders>
              <w:top w:val="single" w:sz="8" w:color="0000FF"/>
            </w:tcBorders>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Master Loan and Security Agreement, dated December 1, 2015, between Limoneira Company and Wells Fargo Equipment Finance,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(Incorporated by reference to exhibit 10.1 to the Company’s Quarterly Report on Form 10-Q, filed March 10, 2016 (File No. 001- 34755))</w:t>
              </w:r>
            </w:hyperlink>
          </w:p>
        </w:tc>
        <w:tc>
          <w:tcPr>
            <w:tcW w:w="500" w:type="dxa"/>
            <w:vAlign w:val="bottom"/>
            <w:tcBorders>
              <w:top w:val="single" w:sz="8" w:color="0000FF"/>
            </w:tcBorders>
            <w:gridSpan w:val="9"/>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80" w:type="dxa"/>
            <w:vAlign w:val="bottom"/>
            <w:gridSpan w:val="27"/>
            <w:vMerge w:val="restart"/>
          </w:tcPr>
          <w:p>
            <w:pPr>
              <w:ind w:left="23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80" w:type="dxa"/>
            <w:vAlign w:val="bottom"/>
            <w:gridSpan w:val="2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10.25</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2"/>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Loan Schedule to Master Loan and Security Agreement, dated January 20, 2016, between Limoneira Company and Wells Fargo Equipment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Finance, Inc. (Incorporated by reference to exhibit 10.2 to the Company’s Quarterly Report on Form 10-Q, filed March 10, 2016 (File No. 001-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0000FF"/>
            </w:tcBorders>
          </w:tcPr>
          <w:p>
            <w:pPr>
              <w:spacing w:after="0" w:line="161" w:lineRule="exact"/>
              <w:rPr>
                <w:rFonts w:ascii="Times New Roman" w:cs="Times New Roman" w:eastAsia="Times New Roman" w:hAnsi="Times New Roman"/>
                <w:sz w:val="17"/>
                <w:szCs w:val="17"/>
                <w:color w:val="0000FF"/>
                <w:w w:val="96"/>
              </w:rPr>
            </w:pPr>
            <w:hyperlink r:id="rId154">
              <w:r>
                <w:rPr>
                  <w:rFonts w:ascii="Times New Roman" w:cs="Times New Roman" w:eastAsia="Times New Roman" w:hAnsi="Times New Roman"/>
                  <w:sz w:val="17"/>
                  <w:szCs w:val="17"/>
                  <w:color w:val="0000FF"/>
                  <w:w w:val="96"/>
                </w:rPr>
                <w:t>34755)</w:t>
              </w:r>
              <w:r>
                <w:rPr>
                  <w:rFonts w:ascii="Times New Roman" w:cs="Times New Roman" w:eastAsia="Times New Roman" w:hAnsi="Times New Roman"/>
                  <w:sz w:val="17"/>
                  <w:szCs w:val="17"/>
                  <w:u w:val="single" w:color="auto"/>
                  <w:color w:val="0000FF"/>
                  <w:w w:val="96"/>
                </w:rPr>
                <w:t>)</w:t>
              </w:r>
            </w:hyperlink>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Promissory Note and Loan Agreement, dated February 11, 2016, between Limoneira Company and Farm Credit West, FLCA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reference to exhibit 10.1 to the Company’s Current Report on Form 8-K, filed February 18, 2016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Retained Property Development Agreement, dated November 10, 2015, by and among Limoneira Company and Limoneira Lewis Community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bottom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Builders, LLC (Incorporated by reference to exhibit 10.3 to the Company’s Current Report on Form 8-K, filed November 16, 2015 (File No.</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0000FF"/>
            </w:tcBorders>
            <w:gridSpan w:val="2"/>
          </w:tcPr>
          <w:p>
            <w:pPr>
              <w:spacing w:after="0" w:line="161" w:lineRule="exact"/>
              <w:rPr>
                <w:rFonts w:ascii="Times New Roman" w:cs="Times New Roman" w:eastAsia="Times New Roman" w:hAnsi="Times New Roman"/>
                <w:sz w:val="17"/>
                <w:szCs w:val="17"/>
                <w:color w:val="0000FF"/>
                <w:w w:val="98"/>
              </w:rPr>
            </w:pPr>
            <w:hyperlink r:id="rId156">
              <w:r>
                <w:rPr>
                  <w:rFonts w:ascii="Times New Roman" w:cs="Times New Roman" w:eastAsia="Times New Roman" w:hAnsi="Times New Roman"/>
                  <w:sz w:val="17"/>
                  <w:szCs w:val="17"/>
                  <w:color w:val="0000FF"/>
                  <w:w w:val="98"/>
                </w:rPr>
                <w:t>001-34755)</w:t>
              </w:r>
            </w:hyperlink>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Master Loan Agreement, dated June 19, 2017, between Limoneira Company and Farm Credit West, FLCA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exhibit 10.1 to the Company’s Current Report on Form 8-K, filed June 21, 2017 (File No. 001-34755))</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10.29†</w:t>
            </w: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Revolving Credit Facility Promissory Note and Supplement to Master Loan Agreement, dated June 19, 2017, between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and Farm Credit West FLCA (Incorporated by reference to exhibit 10.2 to the Company’s Current Report on Form 8-K, filed June 21, 2017</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29"/>
          </w:tcPr>
          <w:p>
            <w:pPr>
              <w:spacing w:after="0" w:line="161"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Non-revolving Credit Facility Promissory Note and Supplement to Master Loan Agreement, dated June 19, 2017, between Limoneira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Company and Farm Credit West FLCA (Incorporated by reference to exhibit 10.3 to the Company’s Current Report on Form 8-K, filed June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21, 2017 (File No. 001-24755))</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Revolving Credit Facility Supplement, dated January 29, 2018, between Limoneira Company and Farm Credit West, PCA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reference to exhibit 10.1 to the Company’s Current Report on Form 8-K, filed February 1, 2018 (File No. 001-34755))</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400" w:type="dxa"/>
            <w:vAlign w:val="bottom"/>
            <w:gridSpan w:val="3"/>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Line of Credit Loan Agreement, dated February 22, 2018, by and between Limoneira Lewis Community Builders, LLC and Bank of America,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N.A. (Incorporated by reference to exhibit 10.1 to the Company’s Current Report on Form 8-K, filed March 2, 2018 (File No. 001-34755))</w:t>
              </w:r>
            </w:hyperlink>
          </w:p>
        </w:tc>
        <w:tc>
          <w:tcPr>
            <w:tcW w:w="600" w:type="dxa"/>
            <w:vAlign w:val="bottom"/>
            <w:tcBorders>
              <w:top w:val="single" w:sz="8" w:color="0000FF"/>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Unsecured Line of Credit Promissory Note, dated February 22, 2018, by and between Limoneira Lewis Community Builders, LLC and Bank</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of America, N.A. (Incorporated by reference to exhibit 10.2 to the Company’s Current Report on Form 8-K, filed March 2, 2018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6"/>
              </w:rPr>
            </w:pPr>
            <w:hyperlink r:id="rId162">
              <w:r>
                <w:rPr>
                  <w:rFonts w:ascii="Times New Roman" w:cs="Times New Roman" w:eastAsia="Times New Roman" w:hAnsi="Times New Roman"/>
                  <w:sz w:val="17"/>
                  <w:szCs w:val="17"/>
                  <w:color w:val="0000FF"/>
                  <w:w w:val="96"/>
                </w:rPr>
                <w:t>34755)</w:t>
              </w:r>
              <w:r>
                <w:rPr>
                  <w:rFonts w:ascii="Times New Roman" w:cs="Times New Roman" w:eastAsia="Times New Roman" w:hAnsi="Times New Roman"/>
                  <w:sz w:val="17"/>
                  <w:szCs w:val="17"/>
                  <w:u w:val="single" w:color="auto"/>
                  <w:color w:val="0000FF"/>
                  <w:w w:val="96"/>
                </w:rPr>
                <w:t>)</w:t>
              </w:r>
            </w:hyperlink>
          </w:p>
        </w:tc>
        <w:tc>
          <w:tcPr>
            <w:tcW w:w="2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4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Guaranty Agreement, dated February 22, 2018, by and among Richard A. Lewis, individually and as Trustee of the Richard A. Lewis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Revocable Trust u/d/t dated August 16, 2004 , Robert E. Lewis, individually and as Trustee of the Robert E. Lewis Revocable Trust u/d/t dated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3"/>
          </w:tcPr>
          <w:p>
            <w:pPr>
              <w:spacing w:after="0" w:line="161"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August 17, 2004, Roger G. Lewis, individually and as Trustee of the Roger G. Lewis Revocable Trust u/d/t dated August 20, 2004, Randall W.</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Lewis, individually and as Trustee of the Randall W. Lewis Revocable Trust u/d/t dated September 1, 2006, and Limoneira Company</w:t>
              </w:r>
            </w:hyperlink>
          </w:p>
        </w:tc>
        <w:tc>
          <w:tcPr>
            <w:tcW w:w="100" w:type="dxa"/>
            <w:vAlign w:val="bottom"/>
            <w:tcBorders>
              <w:bottom w:val="single" w:sz="8" w:color="0000FF"/>
            </w:tcBorders>
            <w:gridSpan w:val="5"/>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0" w:type="dxa"/>
            <w:vAlign w:val="bottom"/>
            <w:tcBorders>
              <w:bottom w:val="single" w:sz="8" w:color="0000FF"/>
            </w:tcBorders>
            <w:gridSpan w:val="10"/>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(Incorporated by reference to exhibit 10.3 to the Company’s Current Report on Form 8-K, filed March 2, 2018 (File No. 001-34755))</w:t>
              </w:r>
            </w:hyperlink>
          </w:p>
        </w:tc>
        <w:tc>
          <w:tcPr>
            <w:tcW w:w="1040" w:type="dxa"/>
            <w:vAlign w:val="bottom"/>
            <w:gridSpan w:val="2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10.35†</w:t>
            </w: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Form of Restricted Share Award Agreement under the Limoneira Company 2010 Amended and Restated Omnibus Incentive Plan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(Incorporated by reference to exhibit 10.1 to the Company’s Current Report on Form 8-K, filed April 11, 2018 (File No. 001-34755))</w:t>
              </w:r>
            </w:hyperlink>
          </w:p>
        </w:tc>
        <w:tc>
          <w:tcPr>
            <w:tcW w:w="8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Master Loan Agreement, dated June 1, 2021, between Limoneira Company and Farm Credit West, PCA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of the Company’s Current Report on Form 8-K, filed June 17, 2021 (File No. 001-34755))</w:t>
              </w:r>
            </w:hyperlink>
          </w:p>
        </w:tc>
        <w:tc>
          <w:tcPr>
            <w:tcW w:w="364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Promissory Note and Revolving Credit Facility Supplement to Master Loan Agreement, dated June 1, 2021, between Limoneira Company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Farm Credit West, PCA (Incorporated by reference to exhibit 10.2 of the Company’s Current Report on Form 8-K, filed June 17, 2021 (File</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w w:val="99"/>
              </w:rPr>
            </w:pPr>
            <w:hyperlink r:id="rId166">
              <w:r>
                <w:rPr>
                  <w:rFonts w:ascii="Times New Roman" w:cs="Times New Roman" w:eastAsia="Times New Roman" w:hAnsi="Times New Roman"/>
                  <w:sz w:val="17"/>
                  <w:szCs w:val="17"/>
                  <w:color w:val="0000FF"/>
                  <w:w w:val="99"/>
                </w:rPr>
                <w:t>No. 001-34755))</w:t>
              </w:r>
            </w:hyperlink>
          </w:p>
        </w:tc>
        <w:tc>
          <w:tcPr>
            <w:tcW w:w="9000" w:type="dxa"/>
            <w:vAlign w:val="bottom"/>
            <w:tcBorders>
              <w:top w:val="single" w:sz="8" w:color="0000FF"/>
            </w:tcBorders>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844"/>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gridSpan w:val="7"/>
          </w:tcPr>
          <w:p>
            <w:pPr>
              <w:jc w:val="right"/>
              <w:ind w:right="2134"/>
              <w:spacing w:after="0"/>
              <w:rPr>
                <w:sz w:val="20"/>
                <w:szCs w:val="20"/>
                <w:color w:val="auto"/>
              </w:rPr>
            </w:pPr>
            <w:r>
              <w:rPr>
                <w:rFonts w:ascii="Times New Roman" w:cs="Times New Roman" w:eastAsia="Times New Roman" w:hAnsi="Times New Roman"/>
                <w:sz w:val="17"/>
                <w:szCs w:val="17"/>
                <w:color w:val="auto"/>
              </w:rPr>
              <w:t>92</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0" w:type="dxa"/>
            <w:vAlign w:val="bottom"/>
            <w:gridSpan w:val="23"/>
            <w:vMerge w:val="restart"/>
          </w:tcPr>
          <w:p>
            <w:pPr>
              <w:ind w:left="15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0" w:type="dxa"/>
            <w:vAlign w:val="bottom"/>
            <w:gridSpan w:val="2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40" w:type="dxa"/>
            <w:vAlign w:val="bottom"/>
            <w:tcBorders>
              <w:top w:val="single" w:sz="8" w:color="auto"/>
            </w:tcBorders>
            <w:gridSpan w:val="27"/>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Promissory Note and Non-Revolving Credit Facility Supplement to Master Loan Agreement, dated June 1, 2021, between Limoneira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Company and Farm Credit West, PCA (Incorporated by reference to exhibit 10.3 of the Company’s Current Report on Form 8-K, filed June 17,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2021 (File No. 001-34755))</w:t>
              </w:r>
            </w:hyperlink>
          </w:p>
        </w:tc>
        <w:tc>
          <w:tcPr>
            <w:tcW w:w="79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Agreement to Convert to Fixed Interest Rate, dated June 8, 2021, between Limoneira Company and Farm Credit West, PCA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reference to exhibit 10.4 of the Company’s Current Report on Form 8-K, filed June 17, 2021 (File No. 001-34755))</w:t>
              </w:r>
            </w:hyperlink>
          </w:p>
        </w:tc>
        <w:tc>
          <w:tcPr>
            <w:tcW w:w="20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Separation Agreement, dated January 10, 2022, by and between Limoneira Company and Alex M. Teague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exhibit 10.1 to the Company's Current Report on Form 8-K, filed January 14, 2022 (File No. 001-34755))</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Consulting Agreement, dated January 12, 2022, by and between Limoneira Company and AMT Ag Consulting, LLC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reference to exhibit 10.2 to the Company's Current Report on Form 8-K, filed January 14, 2022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10.42†</w:t>
            </w: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Limoneira Company 2022 Omnibus Incentive Plan, as approved by the Stockholders on March 22, 2022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of the Company’s Current Report on Form 8-K, filed August 1, 2022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10.43†</w:t>
            </w: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Form of Time-Based Restricted Share Award Agreement for Non-Employee Directors, Pursuant to the Limoneira Company 2022 Omnibus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Incentive Plan (Incorporated by reference to exhibit 10.3 of the Company’s Current Report on Form 8-K, filed August 1, 2022 (File No. 001-</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6"/>
              </w:rPr>
            </w:pPr>
            <w:hyperlink r:id="rId174">
              <w:r>
                <w:rPr>
                  <w:rFonts w:ascii="Times New Roman" w:cs="Times New Roman" w:eastAsia="Times New Roman" w:hAnsi="Times New Roman"/>
                  <w:sz w:val="17"/>
                  <w:szCs w:val="17"/>
                  <w:color w:val="0000FF"/>
                  <w:w w:val="96"/>
                </w:rPr>
                <w:t>34755)</w:t>
              </w:r>
              <w:r>
                <w:rPr>
                  <w:rFonts w:ascii="Times New Roman" w:cs="Times New Roman" w:eastAsia="Times New Roman" w:hAnsi="Times New Roman"/>
                  <w:sz w:val="17"/>
                  <w:szCs w:val="17"/>
                  <w:u w:val="single" w:color="auto"/>
                  <w:color w:val="0000FF"/>
                  <w:w w:val="96"/>
                </w:rPr>
                <w:t>)</w:t>
              </w:r>
            </w:hyperlink>
          </w:p>
        </w:tc>
        <w:tc>
          <w:tcPr>
            <w:tcW w:w="3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10.44†</w:t>
            </w: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Form of Performance-Based Restricted Share Award Agreement, Pursuant to the Limoneira Company 2022 Omnibus Incentive Plan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(Incorporated by reference to exhibit 10.4 of the Company’s Current Report on Form 8-K, filed August 1, 2022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10.45†</w:t>
            </w: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Form of Time-Based Restricted Share Award Agreement for Employees, Pursuant to the Limoneira Company 2022 Omnibus Incentive Plan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(Incorporated by reference to exhibit 10.5 of the Company’s Current Report on Form 8-K, filed August 1, 2022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Purchase and Sale Agreement, dated as of September 7, 2022, by and between Limoneira Company and Limoneira Lewis Community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Builders, LLC (Incorporated by reference to exhibit 10.1 of the Company’s Current Report on Form 8-K, filed September 8, 2022 (File No.</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w w:val="98"/>
              </w:rPr>
            </w:pPr>
            <w:hyperlink r:id="rId177">
              <w:r>
                <w:rPr>
                  <w:rFonts w:ascii="Times New Roman" w:cs="Times New Roman" w:eastAsia="Times New Roman" w:hAnsi="Times New Roman"/>
                  <w:sz w:val="17"/>
                  <w:szCs w:val="17"/>
                  <w:color w:val="0000FF"/>
                  <w:w w:val="98"/>
                </w:rPr>
                <w:t>001-34755))</w:t>
              </w:r>
            </w:hyperlink>
          </w:p>
        </w:tc>
        <w:tc>
          <w:tcPr>
            <w:tcW w:w="10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Purchase and Sale Agreement and Joint Escrow Instructions, dated as of September 12, 2022, by and between Limoneira Company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Ventura County Railway Company, LLC (Incorporated by reference to exhibit 10.1 of the Company’s Current Report on Form 8-K, filed</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line="161"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September 15, 2022 (File No. 001-34755))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10.48†</w:t>
            </w: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Retention Bonus Agreement, dated October 26, 2022, between Limoneira Company and Harold Edwards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of the Company’s Current Report on Form 8-K, filed October 27, 2022 (File No. 001-34755))</w:t>
              </w:r>
            </w:hyperlink>
          </w:p>
        </w:tc>
        <w:tc>
          <w:tcPr>
            <w:tcW w:w="322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10.49†</w:t>
            </w: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Retention Bonus Agreement, dated October 26, 2022, between Limoneira Company and Mark Palamountain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2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exhibit 10.2 of the Company’s Current Report on Form 8-K, filed October 27, 2022 (File No. 001-34755))</w:t>
              </w:r>
            </w:hyperlink>
          </w:p>
        </w:tc>
        <w:tc>
          <w:tcPr>
            <w:tcW w:w="2740" w:type="dxa"/>
            <w:vAlign w:val="bottom"/>
            <w:tcBorders>
              <w:top w:val="single" w:sz="8" w:color="0000FF"/>
            </w:tcBorders>
            <w:gridSpan w:val="14"/>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Standard Industrial/Commercial Single Tenant Lease, dated October 26, 2022 (Incorporated by reference to exhibit 10.1 of the Company’s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Current Report on Form 8-K, filed October 31, 2022 (File No. 001-34755))</w:t>
              </w:r>
            </w:hyperlink>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5"/>
            <w:shd w:val="clear" w:color="auto" w:fill="0000FF"/>
          </w:tcPr>
          <w:p>
            <w:pPr>
              <w:spacing w:after="0" w:line="20" w:lineRule="exact"/>
              <w:rPr>
                <w:sz w:val="1"/>
                <w:szCs w:val="1"/>
                <w:color w:val="auto"/>
              </w:rPr>
            </w:pPr>
          </w:p>
        </w:tc>
        <w:tc>
          <w:tcPr>
            <w:tcW w:w="49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First Amendment to the First Amended and Restated Limited Liability Company Agreement of Limoneira Lewis Community Builders, LLC,</w:t>
              </w:r>
            </w:hyperlink>
          </w:p>
        </w:tc>
        <w:tc>
          <w:tcPr>
            <w:tcW w:w="0" w:type="dxa"/>
            <w:vAlign w:val="bottom"/>
          </w:tcPr>
          <w:p>
            <w:pPr>
              <w:spacing w:after="0"/>
              <w:rPr>
                <w:sz w:val="1"/>
                <w:szCs w:val="1"/>
                <w:color w:val="auto"/>
              </w:rPr>
            </w:pPr>
          </w:p>
        </w:tc>
      </w:tr>
    </w:tbl>
    <w:p>
      <w:pPr>
        <w:ind w:left="1360" w:right="20"/>
        <w:spacing w:after="0" w:line="236"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dated October 25, 2022 (Incorporated by reference to exhibit 10.1 of the Company’s Current Report on Form 8-K/A, filed October 31, 2022</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(File No. 001-34755))</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60" w:type="dxa"/>
            <w:vAlign w:val="bottom"/>
            <w:gridSpan w:val="12"/>
            <w:vMerge w:val="restart"/>
          </w:tcPr>
          <w:p>
            <w:pPr>
              <w:ind w:left="20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60" w:type="dxa"/>
            <w:vAlign w:val="bottom"/>
            <w:gridSpan w:val="1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10.52</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60" w:type="dxa"/>
            <w:vAlign w:val="bottom"/>
            <w:tcBorders>
              <w:top w:val="single" w:sz="8" w:color="auto"/>
            </w:tcBorders>
            <w:gridSpan w:val="15"/>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Limited Liability Company Agreement of LLCB II, LLC, dated October 25, 2022 (Incorporated by reference to exhibit 10.2 of the Company’s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Current Report on Form 8-K, filed on October 26, 2022 (File No. 001-34755))</w:t>
              </w:r>
            </w:hyperlink>
          </w:p>
        </w:tc>
        <w:tc>
          <w:tcPr>
            <w:tcW w:w="45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Closing Agreement, dated October 25, 2022, between the Company, Limoneira Lewis Community Builders, LLC and Limoneira Lewis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Community Builders II, LLC (Incorporated by reference to exhibit 10.4 of the Company’s Current Report on Form 8-K/A, filed on October 31,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2022 (File No. 001-34755))</w:t>
              </w:r>
            </w:hyperlink>
          </w:p>
        </w:tc>
        <w:tc>
          <w:tcPr>
            <w:tcW w:w="802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Subsidiaries of Limoneira Company</w:t>
            </w:r>
          </w:p>
        </w:tc>
        <w:tc>
          <w:tcPr>
            <w:tcW w:w="7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 Firm - Deloitte &amp; Touche LLP</w:t>
            </w:r>
          </w:p>
        </w:tc>
        <w:tc>
          <w:tcPr>
            <w:tcW w:w="40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 Firm - Ernst &amp; Young LLP</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pursuant to Exchange Act Rule 13a-14(a) and 15d-14(a)</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1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of the Principal Financial and Accounting Officer pursuant to Exchange Act Rule 13a-14(a) and 15d-14(a)</w:t>
            </w:r>
          </w:p>
        </w:tc>
        <w:tc>
          <w:tcPr>
            <w:tcW w:w="1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1"/>
          </w:tcPr>
          <w:p>
            <w:pPr>
              <w:spacing w:after="0" w:line="148" w:lineRule="exact"/>
              <w:rPr>
                <w:sz w:val="20"/>
                <w:szCs w:val="20"/>
                <w:color w:val="auto"/>
              </w:rPr>
            </w:pPr>
            <w:r>
              <w:rPr>
                <w:rFonts w:ascii="Times New Roman" w:cs="Times New Roman" w:eastAsia="Times New Roman" w:hAnsi="Times New Roman"/>
                <w:sz w:val="17"/>
                <w:szCs w:val="17"/>
                <w:color w:val="0000FF"/>
              </w:rPr>
              <w:t>Act of 2002</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Certification of the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7"/>
                <w:szCs w:val="17"/>
                <w:color w:val="0000FF"/>
              </w:rPr>
              <w:t>Act of 2002</w:t>
            </w: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Limoneira Lewis Community Builders, LLC - Financial Statements as of October 31, 2022 and 2021</w:t>
            </w:r>
          </w:p>
        </w:tc>
        <w:tc>
          <w:tcPr>
            <w:tcW w:w="0" w:type="dxa"/>
            <w:vAlign w:val="bottom"/>
          </w:tcPr>
          <w:p>
            <w:pPr>
              <w:spacing w:after="0"/>
              <w:rPr>
                <w:sz w:val="1"/>
                <w:szCs w:val="1"/>
                <w:color w:val="auto"/>
              </w:rPr>
            </w:pPr>
          </w:p>
        </w:tc>
      </w:tr>
      <w:tr>
        <w:trPr>
          <w:trHeight w:val="457"/>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69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30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1360" w:hanging="1340"/>
        <w:spacing w:after="0"/>
        <w:tabs>
          <w:tab w:leader="none" w:pos="1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139" w:lineRule="exact"/>
        <w:rPr>
          <w:rFonts w:ascii="Times New Roman" w:cs="Times New Roman" w:eastAsia="Times New Roman" w:hAnsi="Times New Roman"/>
          <w:sz w:val="17"/>
          <w:szCs w:val="17"/>
          <w:color w:val="auto"/>
        </w:rPr>
      </w:pPr>
    </w:p>
    <w:p>
      <w:pPr>
        <w:ind w:left="480" w:right="2460" w:hanging="232"/>
        <w:spacing w:after="0" w:line="1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 xml:space="preserve"> 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0" w:lineRule="exact"/>
        <w:rPr>
          <w:sz w:val="20"/>
          <w:szCs w:val="20"/>
          <w:color w:val="auto"/>
        </w:rPr>
      </w:pPr>
    </w:p>
    <w:p>
      <w:pPr>
        <w:ind w:left="240"/>
        <w:spacing w:after="0"/>
        <w:tabs>
          <w:tab w:leader="none" w:pos="460" w:val="left"/>
        </w:tabs>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ab/>
        <w:t>Denotes management contracts and compensatory plans or arrangements.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40"/>
          </w:cols>
          <w:pgMar w:left="320" w:top="87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9"/>
          <w:szCs w:val="19"/>
          <w:b w:val="1"/>
          <w:bCs w:val="1"/>
          <w:color w:val="auto"/>
        </w:rPr>
        <w:t>Exhibit 4.7</w:t>
      </w: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Description of Securities</w:t>
      </w:r>
    </w:p>
    <w:p>
      <w:pPr>
        <w:spacing w:after="0" w:line="200" w:lineRule="exact"/>
        <w:rPr>
          <w:sz w:val="20"/>
          <w:szCs w:val="20"/>
          <w:color w:val="auto"/>
        </w:rPr>
      </w:pPr>
    </w:p>
    <w:p>
      <w:pPr>
        <w:jc w:val="both"/>
        <w:ind w:firstLine="344"/>
        <w:spacing w:after="0" w:line="312" w:lineRule="auto"/>
        <w:rPr>
          <w:sz w:val="20"/>
          <w:szCs w:val="20"/>
          <w:color w:val="auto"/>
        </w:rPr>
      </w:pPr>
      <w:r>
        <w:rPr>
          <w:rFonts w:ascii="Times New Roman" w:cs="Times New Roman" w:eastAsia="Times New Roman" w:hAnsi="Times New Roman"/>
          <w:sz w:val="17"/>
          <w:szCs w:val="17"/>
          <w:i w:val="1"/>
          <w:iCs w:val="1"/>
          <w:color w:val="auto"/>
        </w:rPr>
        <w:t>The following is a summary of the material terms of the registered securities of Limoneira Company. This description is based, in part, on our Amended and Restated Certificate of Incorporation and our Amended and Restated Bylaws, both of which are exhibits to our Annual Reports on Form 10-K and Quarterly Reports on Form 10-Q.</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73" w:lineRule="exact"/>
        <w:rPr>
          <w:sz w:val="20"/>
          <w:szCs w:val="20"/>
          <w:color w:val="auto"/>
        </w:rPr>
      </w:pPr>
    </w:p>
    <w:p>
      <w:pPr>
        <w:jc w:val="both"/>
        <w:ind w:firstLine="344"/>
        <w:spacing w:after="0" w:line="298" w:lineRule="auto"/>
        <w:rPr>
          <w:sz w:val="20"/>
          <w:szCs w:val="20"/>
          <w:color w:val="auto"/>
        </w:rPr>
      </w:pPr>
      <w:r>
        <w:rPr>
          <w:rFonts w:ascii="Times New Roman" w:cs="Times New Roman" w:eastAsia="Times New Roman" w:hAnsi="Times New Roman"/>
          <w:sz w:val="17"/>
          <w:szCs w:val="17"/>
          <w:color w:val="auto"/>
        </w:rPr>
        <w:t>We have 39,000,000 authorized shares of common stock, par value $0.01 per share. Holders of our common stock are entitled to one vote for each share held of record on each matter submitted to a vote of stockholders. 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preferred stock. Holders of our common stock have no preemptive rights and have no rights to convert their common stock into any other securities. Our outstanding common stock is duly authorized and validly issued, fully paid and nonassessable. In the event we were to elect to sell additional shares of common stock, holders of our common stock would have no right to purchase additional shares. As a result, the common stockholders’ percentage equity interest would be diluted.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73" w:lineRule="exact"/>
        <w:rPr>
          <w:sz w:val="20"/>
          <w:szCs w:val="20"/>
          <w:color w:val="auto"/>
        </w:rPr>
      </w:pPr>
    </w:p>
    <w:p>
      <w:pPr>
        <w:jc w:val="both"/>
        <w:ind w:firstLine="344"/>
        <w:spacing w:after="0" w:line="296" w:lineRule="auto"/>
        <w:rPr>
          <w:sz w:val="20"/>
          <w:szCs w:val="20"/>
          <w:color w:val="auto"/>
        </w:rPr>
      </w:pPr>
      <w:r>
        <w:rPr>
          <w:rFonts w:ascii="Times New Roman" w:cs="Times New Roman" w:eastAsia="Times New Roman" w:hAnsi="Times New Roman"/>
          <w:sz w:val="17"/>
          <w:szCs w:val="17"/>
          <w:color w:val="auto"/>
        </w:rPr>
        <w:t>We have 100,000 authorized shares of preferred stock, consisting of (i) 50,000 shares of Class A Preferred Stock, par value $0.01 per share, of which 20,000 shares have been designated as Series A Junior Participating Preferred Stock, and (ii) 50,000 shares of Class B Preferred Stock, par value $100 per share, of which 30,000 shares have been designated as Series B Convertible Preferred Stock (the “Series B Convertible Preferred Stock”) and 10,000 shares have been designated as Series B-2 4% Voting Preferred Stock (the “Series B-2 Preferred Stock”). We may issue preferred stock in one or more series and having the rights, privileges and limitations, including voting rights, conversion rights, liquidation preferences, dividend rights and preferences and redemption rights, as may, from time to time, be determined by our board of directors. Preferred stock may be issued in the future in connection with acquisitions, financing or other matters, as our board of directors deems appropriate. In the event that we determine to issue any shares of preferred stock, a certificate of designation containing the rights, privileges and limitations of the series of preferred stock will be filed with the Delaware Secretary of State. The effect of this preferred stock designation power is that our board of directors alone, subject to federal securities laws, applicable blue sky laws and Delaware law, may be able to authorize the issuance of preferred stock that could have the effect of delaying, deferring or preventing a change in control without further action by our stockholders, and may adversely affect the voting and other rights of the holders of our common stock. The issuance of preferred stock with voting and conversion rights may also adversely affect the voting power of the holders of our common stock, including the loss of voting controls to others.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Junior Participating Preferred Stock</w:t>
      </w:r>
    </w:p>
    <w:p>
      <w:pPr>
        <w:spacing w:after="0" w:line="275" w:lineRule="exact"/>
        <w:rPr>
          <w:sz w:val="20"/>
          <w:szCs w:val="20"/>
          <w:color w:val="auto"/>
        </w:rPr>
      </w:pPr>
    </w:p>
    <w:p>
      <w:pPr>
        <w:jc w:val="both"/>
        <w:ind w:firstLine="344"/>
        <w:spacing w:after="0" w:line="334" w:lineRule="auto"/>
        <w:rPr>
          <w:sz w:val="20"/>
          <w:szCs w:val="20"/>
          <w:color w:val="auto"/>
        </w:rPr>
      </w:pPr>
      <w:r>
        <w:rPr>
          <w:rFonts w:ascii="Times New Roman" w:cs="Times New Roman" w:eastAsia="Times New Roman" w:hAnsi="Times New Roman"/>
          <w:sz w:val="17"/>
          <w:szCs w:val="17"/>
          <w:color w:val="auto"/>
        </w:rPr>
        <w:t>On October 31, 2006, our board of directors designated 20,000 shares of Class A Preferred Stock as Series A Junior Participating Preferred Stock, par value $0.01 per share. Our Series A Junior Preferred Stock has the following rights, preferences, privileges and restrictions:</w:t>
      </w:r>
    </w:p>
    <w:p>
      <w:pPr>
        <w:sectPr>
          <w:pgSz w:w="11900" w:h="16838" w:orient="portrait"/>
          <w:cols w:equalWidth="0" w:num="1">
            <w:col w:w="11240"/>
          </w:cols>
          <w:pgMar w:left="320" w:top="133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Shares of Series A Junior Participating Preferred Stock are not convertible.</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holders of shares of our Series A Junior Participating Preferred Stock are entitled to receive cash dividends equal to the greater of (a) $1.00 or</w:t>
      </w:r>
    </w:p>
    <w:p>
      <w:pPr>
        <w:spacing w:after="0" w:line="32" w:lineRule="exact"/>
        <w:rPr>
          <w:sz w:val="20"/>
          <w:szCs w:val="20"/>
          <w:color w:val="auto"/>
        </w:rPr>
      </w:pPr>
    </w:p>
    <w:p>
      <w:pPr>
        <w:jc w:val="both"/>
        <w:ind w:firstLine="3"/>
        <w:spacing w:after="0" w:line="295" w:lineRule="auto"/>
        <w:tabs>
          <w:tab w:leader="none" w:pos="24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times the aggregate per share amount of all cash dividends and 100 times the aggregate per share amount of all non-cash dividends, other than a dividend payable in, and declared on, our common stock. Such dividends are payable quarterly on or before the fifteenth day of January, April, July and October in each year commencing on the first quarterly dividend payment date after the first issuance of a share or fraction of a share of Series A Junior Participating Preferred Stock.</w:t>
      </w:r>
    </w:p>
    <w:p>
      <w:pPr>
        <w:spacing w:after="0" w:line="200" w:lineRule="exact"/>
        <w:rPr>
          <w:sz w:val="20"/>
          <w:szCs w:val="20"/>
          <w:color w:val="auto"/>
        </w:rPr>
      </w:pPr>
    </w:p>
    <w:p>
      <w:pPr>
        <w:spacing w:after="0" w:line="219" w:lineRule="exact"/>
        <w:rPr>
          <w:sz w:val="20"/>
          <w:szCs w:val="20"/>
          <w:color w:val="auto"/>
        </w:rPr>
      </w:pPr>
    </w:p>
    <w:p>
      <w:pPr>
        <w:jc w:val="both"/>
        <w:ind w:firstLine="344"/>
        <w:spacing w:after="0" w:line="286"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In the event of any voluntary or involuntary liquidation, dissolution or winding up of the Company, the holders of shares of our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Junior Participating Preferred Stock are entitled to be paid out of the assets available for distribution, before any payment is made to the holders of our common stock or any other series or class of our shares ranking junior to the Series A Junior Participating Preferred Stock, an amount equal to $100.00 per share, plus an amount equal to all accrued and unpaid dividends. Following the payment in full of such liquidation preference, no additional distributions may be made to the holders of shares of our Series A Junior Participating Preferred Stock unless the holders of our common stock have received an amount per share equal to a specified quotient, and, upon payment in full to the holders of our common stock of an amount equal to such quotient, holders of shares of our Series A Junior Participating Preferred Stock and our common stock are entitled to receive their ratable and proportionate share of the remaining assets to be distributed in a specified ratio.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share of Series A Junior Participating Preferred Stock is entitled to 1,000 votes on all matters submitted to a vote of our stockholders.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w:t>
      </w:r>
      <w:r>
        <w:rPr>
          <w:rFonts w:ascii="Times New Roman" w:cs="Times New Roman" w:eastAsia="Times New Roman" w:hAnsi="Times New Roman"/>
          <w:sz w:val="17"/>
          <w:szCs w:val="17"/>
          <w:color w:val="auto"/>
        </w:rPr>
        <w:t>. Shares of Series A Junior Participating Preferred Stock are not redeemable.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 Convertible Preferred Stock</w:t>
      </w:r>
    </w:p>
    <w:p>
      <w:pPr>
        <w:spacing w:after="0" w:line="288" w:lineRule="exact"/>
        <w:rPr>
          <w:sz w:val="20"/>
          <w:szCs w:val="20"/>
          <w:color w:val="auto"/>
        </w:rPr>
      </w:pPr>
    </w:p>
    <w:p>
      <w:pPr>
        <w:jc w:val="both"/>
        <w:ind w:firstLine="344"/>
        <w:spacing w:after="0" w:line="302" w:lineRule="auto"/>
        <w:rPr>
          <w:sz w:val="20"/>
          <w:szCs w:val="20"/>
          <w:color w:val="auto"/>
        </w:rPr>
      </w:pPr>
      <w:r>
        <w:rPr>
          <w:rFonts w:ascii="Times New Roman" w:cs="Times New Roman" w:eastAsia="Times New Roman" w:hAnsi="Times New Roman"/>
          <w:sz w:val="17"/>
          <w:szCs w:val="17"/>
          <w:color w:val="auto"/>
        </w:rPr>
        <w:t>On May 21, 1997, our board of directors designated 30,000 shares of Class B Preferred Stock as Series B Convertible Preferred Stock, par value $100.00 per share. Our Series B Convertible Preferred Stock has the following rights, preferences, privileges and restrictions:</w:t>
      </w:r>
    </w:p>
    <w:p>
      <w:pPr>
        <w:spacing w:after="0" w:line="187" w:lineRule="exact"/>
        <w:rPr>
          <w:sz w:val="20"/>
          <w:szCs w:val="20"/>
          <w:color w:val="auto"/>
        </w:rPr>
      </w:pPr>
    </w:p>
    <w:p>
      <w:pPr>
        <w:jc w:val="both"/>
        <w:ind w:firstLine="344"/>
        <w:spacing w:after="0" w:line="290" w:lineRule="auto"/>
        <w:rPr>
          <w:sz w:val="20"/>
          <w:szCs w:val="20"/>
          <w:color w:val="auto"/>
        </w:rPr>
      </w:pP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The holders of shares of our Series B Convertible Preferred Stock have the right, at their option, to convert such shares into shares of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of the Company at any time prior to redemption. The conversion price is $8.00 per share of common stock. Pursuant to the terms of the Certificate of Designation, Preferences and Rights of the Series B Convertible Preferred Stock, the conversion price shall be adjusted to reflect any dividends paid in common stock of the Company, the subdivision of the common stock of the Company into a greater number of shares of common stock of the Company or to prevent unfair dilution or increase of the converted common stock upon the advice of legal counsel.</w:t>
      </w:r>
    </w:p>
    <w:p>
      <w:pPr>
        <w:spacing w:after="0" w:line="198" w:lineRule="exact"/>
        <w:rPr>
          <w:sz w:val="20"/>
          <w:szCs w:val="20"/>
          <w:color w:val="auto"/>
        </w:rPr>
      </w:pPr>
    </w:p>
    <w:p>
      <w:pPr>
        <w:jc w:val="both"/>
        <w:ind w:firstLine="344"/>
        <w:spacing w:after="0" w:line="307"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holders of shares of our Series B Convertible Preferred Stock are entitled to receive cumulative cash dividends at an annual rate of 8.75%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 value. Such dividends are payable quarterly on the first day of January, April, July and October in each year commencing July 1, 1997.</w:t>
      </w:r>
    </w:p>
    <w:p>
      <w:pPr>
        <w:spacing w:after="0" w:line="183" w:lineRule="exact"/>
        <w:rPr>
          <w:sz w:val="20"/>
          <w:szCs w:val="20"/>
          <w:color w:val="auto"/>
        </w:rPr>
      </w:pPr>
    </w:p>
    <w:p>
      <w:pPr>
        <w:jc w:val="both"/>
        <w:ind w:firstLine="344"/>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Liquidation Rights. </w:t>
      </w:r>
      <w:r>
        <w:rPr>
          <w:rFonts w:ascii="Times New Roman" w:cs="Times New Roman" w:eastAsia="Times New Roman" w:hAnsi="Times New Roman"/>
          <w:sz w:val="17"/>
          <w:szCs w:val="17"/>
          <w:color w:val="auto"/>
        </w:rPr>
        <w:t>In the event of any voluntary or involuntary liquidation, dissolution or winding up of the Company, the holders of shares of our Series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Preferred Stock are entitled to be paid out of the assets available for distribution, before any payment is made to the holders of our common stock or any other series or class of our shares ranking junior to the Series B Convertible Preferred Stock, an amount equal to $100.00 per share, plus an amount equal to all accrued and unpaid dividends.</w:t>
      </w:r>
    </w:p>
    <w:p>
      <w:pPr>
        <w:sectPr>
          <w:pgSz w:w="11900" w:h="16838" w:orient="portrait"/>
          <w:cols w:equalWidth="0" w:num="1">
            <w:col w:w="11240"/>
          </w:cols>
          <w:pgMar w:left="320" w:top="1369" w:right="339" w:bottom="1440" w:gutter="0" w:footer="0" w:header="0"/>
        </w:sectPr>
      </w:pPr>
    </w:p>
    <w:bookmarkStart w:id="96" w:name="page97"/>
    <w:bookmarkEnd w:id="96"/>
    <w:p>
      <w:pPr>
        <w:jc w:val="both"/>
        <w:ind w:firstLine="344"/>
        <w:spacing w:after="0" w:line="323"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shares of our Series B Convertible Preferred Stock is entitled to ten votes on all matters submitted to a vote of the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Company.</w:t>
      </w:r>
    </w:p>
    <w:p>
      <w:pPr>
        <w:spacing w:after="0" w:line="157" w:lineRule="exact"/>
        <w:rPr>
          <w:sz w:val="20"/>
          <w:szCs w:val="20"/>
          <w:color w:val="auto"/>
        </w:rPr>
      </w:pPr>
    </w:p>
    <w:p>
      <w:pPr>
        <w:jc w:val="both"/>
        <w:ind w:firstLine="344"/>
        <w:spacing w:after="0" w:line="304" w:lineRule="auto"/>
        <w:rPr>
          <w:sz w:val="20"/>
          <w:szCs w:val="20"/>
          <w:color w:val="auto"/>
        </w:rPr>
      </w:pPr>
      <w:r>
        <w:rPr>
          <w:rFonts w:ascii="Times New Roman" w:cs="Times New Roman" w:eastAsia="Times New Roman" w:hAnsi="Times New Roman"/>
          <w:sz w:val="17"/>
          <w:szCs w:val="17"/>
          <w:i w:val="1"/>
          <w:iCs w:val="1"/>
          <w:color w:val="auto"/>
        </w:rPr>
        <w:t xml:space="preserve">Redemption. </w:t>
      </w:r>
      <w:r>
        <w:rPr>
          <w:rFonts w:ascii="Times New Roman" w:cs="Times New Roman" w:eastAsia="Times New Roman" w:hAnsi="Times New Roman"/>
          <w:sz w:val="17"/>
          <w:szCs w:val="17"/>
          <w:color w:val="auto"/>
        </w:rPr>
        <w:t>The Company, at the option of the board of directors, may redeem the Series B Convertible Preferred Stock, as a whole or in part, at any time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time to time on or after August 1, 2017 and before July 31, 2027, at a redemption price equal to $100.00 per share, plus accrued and unpaid dividends thereon to the date fixed for redemption.</w:t>
      </w:r>
    </w:p>
    <w:p>
      <w:pPr>
        <w:spacing w:after="0" w:line="185" w:lineRule="exact"/>
        <w:rPr>
          <w:sz w:val="20"/>
          <w:szCs w:val="20"/>
          <w:color w:val="auto"/>
        </w:rPr>
      </w:pPr>
    </w:p>
    <w:p>
      <w:pPr>
        <w:jc w:val="both"/>
        <w:ind w:firstLine="344"/>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Put Rights. </w:t>
      </w:r>
      <w:r>
        <w:rPr>
          <w:rFonts w:ascii="Times New Roman" w:cs="Times New Roman" w:eastAsia="Times New Roman" w:hAnsi="Times New Roman"/>
          <w:sz w:val="17"/>
          <w:szCs w:val="17"/>
          <w:color w:val="auto"/>
        </w:rPr>
        <w:t>At any time upon written notice to the Company given on or after July 1, 2017 and before June 30, 2027, any holders of record of our Series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Preferred Stock may cause the Company to repurchase all of the outstanding shares of the Series B Convertible Preferred Stock held by that stockholder at a repurchase price equal to its par value plus accrued and unpaid dividends thereon, to the date fixed for repurchase. The repurchase date, which will be fixed by the Company, will not be more than 90 days following the date of the written notice from the Series B Convertible Stockholder. The Company will provide notice regarding any such repurchase.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B-2 Preferred Stock</w:t>
      </w:r>
    </w:p>
    <w:p>
      <w:pPr>
        <w:spacing w:after="0" w:line="288" w:lineRule="exact"/>
        <w:rPr>
          <w:sz w:val="20"/>
          <w:szCs w:val="20"/>
          <w:color w:val="auto"/>
        </w:rPr>
      </w:pPr>
    </w:p>
    <w:p>
      <w:pPr>
        <w:jc w:val="both"/>
        <w:ind w:firstLine="344"/>
        <w:spacing w:after="0" w:line="302" w:lineRule="auto"/>
        <w:rPr>
          <w:sz w:val="20"/>
          <w:szCs w:val="20"/>
          <w:color w:val="auto"/>
        </w:rPr>
      </w:pPr>
      <w:r>
        <w:rPr>
          <w:rFonts w:ascii="Times New Roman" w:cs="Times New Roman" w:eastAsia="Times New Roman" w:hAnsi="Times New Roman"/>
          <w:sz w:val="17"/>
          <w:szCs w:val="17"/>
          <w:color w:val="auto"/>
        </w:rPr>
        <w:t>On March 19, 2014, our board of directors designated 10,000 shares of Class B Preferred Stock as Series B-2 Preferred Stock. Our Series B-2 Preferred Stock has the following rights, preferences, privileges and restrictions:</w:t>
      </w:r>
    </w:p>
    <w:p>
      <w:pPr>
        <w:spacing w:after="0" w:line="187" w:lineRule="exact"/>
        <w:rPr>
          <w:sz w:val="20"/>
          <w:szCs w:val="20"/>
          <w:color w:val="auto"/>
        </w:rPr>
      </w:pPr>
    </w:p>
    <w:p>
      <w:pPr>
        <w:jc w:val="both"/>
        <w:ind w:firstLine="344"/>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Conversion. </w:t>
      </w:r>
      <w:r>
        <w:rPr>
          <w:rFonts w:ascii="Times New Roman" w:cs="Times New Roman" w:eastAsia="Times New Roman" w:hAnsi="Times New Roman"/>
          <w:sz w:val="17"/>
          <w:szCs w:val="17"/>
          <w:color w:val="auto"/>
        </w:rPr>
        <w:t>Each share of the Series B-2 Preferred Stock is convertible into common stock at a conversion price equal to the greater of (a) the then-market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between Associated Citrus Packers, Inc., an Arizona corporation and our wholly-owned subsidiary, and WPI-ACP Farm AZ, LLC, a Delaware limited liability company, dated March 21, 2014 (the “Option Agreement”) is terminated without all of the shares of Series B-2 Preferred Stock having been redeemed, within 30 calendar days following such termination.</w:t>
      </w:r>
    </w:p>
    <w:p>
      <w:pPr>
        <w:spacing w:after="0" w:line="200" w:lineRule="exact"/>
        <w:rPr>
          <w:sz w:val="20"/>
          <w:szCs w:val="20"/>
          <w:color w:val="auto"/>
        </w:rPr>
      </w:pPr>
    </w:p>
    <w:p>
      <w:pPr>
        <w:jc w:val="both"/>
        <w:ind w:firstLine="344"/>
        <w:spacing w:after="0" w:line="323"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The holder of shares of the Series B-2 Preferred Stock is entitled to receive cumulative cash dividends at an annual rate of 4% of the liquidation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$1,000 per share. Such dividends are payable quarterly on the first day of January, April, July and October in each year commencing July 1, 2014.</w:t>
      </w:r>
    </w:p>
    <w:p>
      <w:pPr>
        <w:spacing w:after="0" w:line="170" w:lineRule="exact"/>
        <w:rPr>
          <w:sz w:val="20"/>
          <w:szCs w:val="20"/>
          <w:color w:val="auto"/>
        </w:rPr>
      </w:pPr>
    </w:p>
    <w:p>
      <w:pPr>
        <w:jc w:val="both"/>
        <w:ind w:firstLine="344"/>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Liquidation Rights. </w:t>
      </w:r>
      <w:r>
        <w:rPr>
          <w:rFonts w:ascii="Times New Roman" w:cs="Times New Roman" w:eastAsia="Times New Roman" w:hAnsi="Times New Roman"/>
          <w:sz w:val="17"/>
          <w:szCs w:val="17"/>
          <w:color w:val="auto"/>
        </w:rPr>
        <w:t>In the event of any voluntary or involuntary liquidation, dissolution or winding up of the Company, the holders of shares of our Series B-2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are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share of Series B-2 Preferred Stock is entitled to one vote on all matters submitted to a vote of the Company’s stockholders.</w:t>
      </w:r>
    </w:p>
    <w:p>
      <w:pPr>
        <w:spacing w:after="0" w:line="256" w:lineRule="exact"/>
        <w:rPr>
          <w:sz w:val="20"/>
          <w:szCs w:val="20"/>
          <w:color w:val="auto"/>
        </w:rPr>
      </w:pPr>
    </w:p>
    <w:p>
      <w:pPr>
        <w:jc w:val="both"/>
        <w:ind w:firstLine="344"/>
        <w:spacing w:after="0" w:line="304" w:lineRule="auto"/>
        <w:rPr>
          <w:sz w:val="20"/>
          <w:szCs w:val="20"/>
          <w:color w:val="auto"/>
        </w:rPr>
      </w:pPr>
      <w:r>
        <w:rPr>
          <w:rFonts w:ascii="Times New Roman" w:cs="Times New Roman" w:eastAsia="Times New Roman" w:hAnsi="Times New Roman"/>
          <w:sz w:val="17"/>
          <w:szCs w:val="17"/>
          <w:i w:val="1"/>
          <w:iCs w:val="1"/>
          <w:color w:val="auto"/>
        </w:rPr>
        <w:t xml:space="preserve">Redemption. </w:t>
      </w:r>
      <w:r>
        <w:rPr>
          <w:rFonts w:ascii="Times New Roman" w:cs="Times New Roman" w:eastAsia="Times New Roman" w:hAnsi="Times New Roman"/>
          <w:sz w:val="17"/>
          <w:szCs w:val="17"/>
          <w:color w:val="auto"/>
        </w:rPr>
        <w:t>The Company may redeem shares of Series B-2 Preferred Stock only (i) from WPI-ACP Holdings, LLC or its designee (“WPI”) and (ii)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to the extent of, WPI’s election to exercise its option pursuant to the Option Agreement, at a redemption price equal to the liquidation value of $1,000 per share, plus accrued and unpaid dividends.</w:t>
      </w:r>
    </w:p>
    <w:p>
      <w:pPr>
        <w:spacing w:after="0" w:line="172" w:lineRule="exact"/>
        <w:rPr>
          <w:sz w:val="20"/>
          <w:szCs w:val="20"/>
          <w:color w:val="auto"/>
        </w:rPr>
      </w:pPr>
    </w:p>
    <w:p>
      <w:pPr>
        <w:jc w:val="both"/>
        <w:ind w:firstLine="344"/>
        <w:spacing w:after="0" w:line="323" w:lineRule="auto"/>
        <w:rPr>
          <w:sz w:val="20"/>
          <w:szCs w:val="20"/>
          <w:color w:val="auto"/>
        </w:rPr>
      </w:pPr>
      <w:r>
        <w:rPr>
          <w:rFonts w:ascii="Times New Roman" w:cs="Times New Roman" w:eastAsia="Times New Roman" w:hAnsi="Times New Roman"/>
          <w:sz w:val="17"/>
          <w:szCs w:val="17"/>
          <w:i w:val="1"/>
          <w:iCs w:val="1"/>
          <w:color w:val="auto"/>
        </w:rPr>
        <w:t xml:space="preserve">Transfer Restriction. </w:t>
      </w:r>
      <w:r>
        <w:rPr>
          <w:rFonts w:ascii="Times New Roman" w:cs="Times New Roman" w:eastAsia="Times New Roman" w:hAnsi="Times New Roman"/>
          <w:sz w:val="17"/>
          <w:szCs w:val="17"/>
          <w:color w:val="auto"/>
        </w:rPr>
        <w:t>The shares of the Series B-2 Preferred Stock may not be transferred without the consent of the Company, which shall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unreasonably withheld.</w:t>
      </w:r>
    </w:p>
    <w:p>
      <w:pPr>
        <w:sectPr>
          <w:pgSz w:w="11900" w:h="16838" w:orient="portrait"/>
          <w:cols w:equalWidth="0" w:num="1">
            <w:col w:w="11240"/>
          </w:cols>
          <w:pgMar w:left="320" w:top="137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Anti-Takeover Effects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Effects of Authorized but Unissued Stock</w:t>
      </w:r>
    </w:p>
    <w:p>
      <w:pPr>
        <w:spacing w:after="0" w:line="273" w:lineRule="exact"/>
        <w:rPr>
          <w:sz w:val="20"/>
          <w:szCs w:val="20"/>
          <w:color w:val="auto"/>
        </w:rPr>
      </w:pPr>
    </w:p>
    <w:p>
      <w:pPr>
        <w:jc w:val="both"/>
        <w:ind w:firstLine="344"/>
        <w:spacing w:after="0" w:line="285" w:lineRule="auto"/>
        <w:rPr>
          <w:sz w:val="20"/>
          <w:szCs w:val="20"/>
          <w:color w:val="auto"/>
        </w:rPr>
      </w:pPr>
      <w:r>
        <w:rPr>
          <w:rFonts w:ascii="Times New Roman" w:cs="Times New Roman" w:eastAsia="Times New Roman" w:hAnsi="Times New Roman"/>
          <w:sz w:val="17"/>
          <w:szCs w:val="17"/>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ectPr>
          <w:pgSz w:w="11900" w:h="16838" w:orient="portrait"/>
          <w:cols w:equalWidth="0" w:num="1">
            <w:col w:w="11240"/>
          </w:cols>
          <w:pgMar w:left="320" w:top="137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List of Subsidiaries of Limoneira Company</w:t>
            </w:r>
          </w:p>
        </w:tc>
        <w:tc>
          <w:tcPr>
            <w:tcW w:w="420" w:type="dxa"/>
            <w:vAlign w:val="bottom"/>
          </w:tcPr>
          <w:p>
            <w:pPr>
              <w:spacing w:after="0"/>
              <w:rPr>
                <w:sz w:val="19"/>
                <w:szCs w:val="19"/>
                <w:color w:val="auto"/>
              </w:rPr>
            </w:pP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State of Incorporation/Organization</w:t>
            </w:r>
          </w:p>
        </w:tc>
      </w:tr>
      <w:tr>
        <w:trPr>
          <w:trHeight w:val="432"/>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Associated Citrus Packers, Inc.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EA1 Land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EA1 Management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EA2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Energy Company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International Division,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Lewis Community Builders,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Lewis Community Builders II,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46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Mercantile,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Windfall Investors,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California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Templeton Santa Barbara,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6037 East Donna Circle Drive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6146 East Cactus Wren Road LLC</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Chile SpA</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Chile</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SA</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Republic of South Africa</w:t>
            </w:r>
          </w:p>
        </w:tc>
      </w:tr>
      <w:tr>
        <w:trPr>
          <w:trHeight w:val="4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Fruticola Pan de Azucar S.A.</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Chile</w:t>
            </w:r>
          </w:p>
        </w:tc>
      </w:tr>
      <w:tr>
        <w:trPr>
          <w:trHeight w:val="46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Agricola San Pablo SpA</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Chile</w:t>
            </w:r>
          </w:p>
        </w:tc>
      </w:tr>
      <w:tr>
        <w:trPr>
          <w:trHeight w:val="46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Argentina S.A.U.</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Argentina</w:t>
            </w:r>
          </w:p>
        </w:tc>
      </w:tr>
      <w:tr>
        <w:trPr>
          <w:trHeight w:val="46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Trapani Fresh Consorcio de Cooperacion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Argentina</w:t>
            </w:r>
          </w:p>
        </w:tc>
      </w:tr>
      <w:tr>
        <w:trPr>
          <w:trHeight w:val="46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Limoneira Holland B.V.</w:t>
            </w: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Holland</w:t>
            </w:r>
          </w:p>
        </w:tc>
      </w:tr>
    </w:tbl>
    <w:p>
      <w:pPr>
        <w:sectPr>
          <w:pgSz w:w="11900" w:h="16838" w:orient="portrait"/>
          <w:cols w:equalWidth="0" w:num="1">
            <w:col w:w="11240"/>
          </w:cols>
          <w:pgMar w:left="320" w:top="85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333-239061 on Form S-3 and Registration Statement Nos. 333-171934 and 333-263794 on Form S-8 of our reports dated December 22, 2022, relating to the financial statements of Limoneira Company and subsidiaries and the effectiveness of Limoneira Company and subsidiaries’ internal control over financial reporting appearing in this Annual Report on Form 10-K for the year ended October 31, 2022.</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22, 2022</w:t>
      </w:r>
    </w:p>
    <w:p>
      <w:pPr>
        <w:sectPr>
          <w:pgSz w:w="11900" w:h="16838" w:orient="portrait"/>
          <w:cols w:equalWidth="0" w:num="1">
            <w:col w:w="11240"/>
          </w:cols>
          <w:pgMar w:left="320" w:top="85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43" w:lineRule="exact"/>
        <w:rPr>
          <w:sz w:val="20"/>
          <w:szCs w:val="20"/>
          <w:color w:val="auto"/>
        </w:rPr>
      </w:pPr>
    </w:p>
    <w:p>
      <w:pPr>
        <w:ind w:left="1120" w:hanging="305"/>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333-171934) pertaining to the Limoneira Company 2010 Omnibus Incentive Plan,</w:t>
      </w:r>
    </w:p>
    <w:p>
      <w:pPr>
        <w:spacing w:after="0" w:line="27" w:lineRule="exact"/>
        <w:rPr>
          <w:rFonts w:ascii="Times New Roman" w:cs="Times New Roman" w:eastAsia="Times New Roman" w:hAnsi="Times New Roman"/>
          <w:sz w:val="17"/>
          <w:szCs w:val="17"/>
          <w:color w:val="auto"/>
        </w:rPr>
      </w:pPr>
    </w:p>
    <w:p>
      <w:pPr>
        <w:ind w:left="1120" w:hanging="305"/>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No. 333-239061) of Limoneira Company, and</w:t>
      </w:r>
    </w:p>
    <w:p>
      <w:pPr>
        <w:spacing w:after="0" w:line="10" w:lineRule="exact"/>
        <w:rPr>
          <w:rFonts w:ascii="Times New Roman" w:cs="Times New Roman" w:eastAsia="Times New Roman" w:hAnsi="Times New Roman"/>
          <w:sz w:val="17"/>
          <w:szCs w:val="17"/>
          <w:color w:val="auto"/>
        </w:rPr>
      </w:pPr>
    </w:p>
    <w:p>
      <w:pPr>
        <w:ind w:left="1120" w:hanging="305"/>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333-263794) pertaining to the Limoneira Company 2022 Omnibus Incentive Plan;</w:t>
      </w:r>
    </w:p>
    <w:p>
      <w:pPr>
        <w:spacing w:after="0" w:line="226"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of our report dated December 16, 2022, with respect to the financial statements of Limoneira Lewis Community Builders, LLC included in this Annual Report (Form 10-K) of Limoneira Company for the year ended October 31, 2022.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Irvine,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22, 2022</w:t>
      </w:r>
    </w:p>
    <w:p>
      <w:pPr>
        <w:sectPr>
          <w:pgSz w:w="11900" w:h="16838" w:orient="portrait"/>
          <w:cols w:equalWidth="0" w:num="1">
            <w:col w:w="11240"/>
          </w:cols>
          <w:pgMar w:left="320" w:top="85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 13a-14(a) and 15d-14(a)</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 Harold S. Edwards, certify that:</w:t>
      </w:r>
    </w:p>
    <w:p>
      <w:pPr>
        <w:spacing w:after="0" w:line="217" w:lineRule="exact"/>
        <w:rPr>
          <w:sz w:val="20"/>
          <w:szCs w:val="20"/>
          <w:color w:val="auto"/>
        </w:rPr>
      </w:pPr>
    </w:p>
    <w:p>
      <w:pPr>
        <w:ind w:left="600" w:hanging="171"/>
        <w:spacing w:after="0"/>
        <w:tabs>
          <w:tab w:leader="none" w:pos="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Limoneira Company (the “Registrant”);</w:t>
      </w:r>
    </w:p>
    <w:p>
      <w:pPr>
        <w:spacing w:after="0" w:line="217" w:lineRule="exact"/>
        <w:rPr>
          <w:rFonts w:ascii="Times New Roman" w:cs="Times New Roman" w:eastAsia="Times New Roman" w:hAnsi="Times New Roman"/>
          <w:sz w:val="17"/>
          <w:szCs w:val="17"/>
          <w:color w:val="auto"/>
        </w:rPr>
      </w:pPr>
    </w:p>
    <w:p>
      <w:pPr>
        <w:ind w:firstLine="429"/>
        <w:spacing w:after="0" w:line="287" w:lineRule="auto"/>
        <w:tabs>
          <w:tab w:leader="none" w:pos="62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firstLine="429"/>
        <w:spacing w:after="0" w:line="287" w:lineRule="auto"/>
        <w:tabs>
          <w:tab w:leader="none" w:pos="62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firstLine="429"/>
        <w:spacing w:after="0" w:line="270" w:lineRule="auto"/>
        <w:tabs>
          <w:tab w:leader="none" w:pos="62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1120" w:hanging="305"/>
        <w:spacing w:after="0" w:line="260" w:lineRule="auto"/>
        <w:tabs>
          <w:tab w:leader="none" w:pos="111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20" w:hanging="305"/>
        <w:spacing w:after="0" w:line="253" w:lineRule="auto"/>
        <w:tabs>
          <w:tab w:leader="none" w:pos="111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120" w:hanging="305"/>
        <w:spacing w:after="0" w:line="253" w:lineRule="auto"/>
        <w:tabs>
          <w:tab w:leader="none" w:pos="111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20" w:hanging="305"/>
        <w:spacing w:after="0" w:line="259" w:lineRule="auto"/>
        <w:tabs>
          <w:tab w:leader="none" w:pos="111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17"/>
          <w:szCs w:val="17"/>
          <w:color w:val="auto"/>
        </w:rPr>
      </w:pPr>
    </w:p>
    <w:p>
      <w:pPr>
        <w:ind w:firstLine="429"/>
        <w:spacing w:after="0" w:line="287" w:lineRule="auto"/>
        <w:tabs>
          <w:tab w:leader="none" w:pos="61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120" w:hanging="305"/>
        <w:spacing w:after="0" w:line="263" w:lineRule="auto"/>
        <w:tabs>
          <w:tab w:leader="none" w:pos="111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20" w:hanging="305"/>
        <w:spacing w:after="0" w:line="266" w:lineRule="auto"/>
        <w:tabs>
          <w:tab w:leader="none" w:pos="111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December 22, 2022.</w:t>
      </w:r>
    </w:p>
    <w:p>
      <w:pPr>
        <w:spacing w:after="0" w:line="346" w:lineRule="exact"/>
        <w:rPr>
          <w:sz w:val="20"/>
          <w:szCs w:val="20"/>
          <w:color w:val="auto"/>
        </w:rPr>
      </w:pPr>
    </w:p>
    <w:p>
      <w:pPr>
        <w:ind w:left="5000"/>
        <w:spacing w:after="0"/>
        <w:tabs>
          <w:tab w:leader="none" w:pos="7620" w:val="left"/>
          <w:tab w:leader="none" w:pos="79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17145</wp:posOffset>
            </wp:positionV>
            <wp:extent cx="35039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6">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7"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7"/>
          <w:szCs w:val="17"/>
          <w:b w:val="1"/>
          <w:bCs w:val="1"/>
          <w:color w:val="auto"/>
        </w:rPr>
        <w:t>Harold S. Edwards</w:t>
      </w:r>
    </w:p>
    <w:p>
      <w:pPr>
        <w:jc w:val="center"/>
        <w:ind w:left="5660"/>
        <w:spacing w:after="0" w:line="205" w:lineRule="auto"/>
        <w:rPr>
          <w:sz w:val="20"/>
          <w:szCs w:val="20"/>
          <w:color w:val="auto"/>
        </w:rPr>
      </w:pPr>
      <w:r>
        <w:rPr>
          <w:rFonts w:ascii="Times New Roman" w:cs="Times New Roman" w:eastAsia="Times New Roman" w:hAnsi="Times New Roman"/>
          <w:sz w:val="17"/>
          <w:szCs w:val="17"/>
          <w:b w:val="1"/>
          <w:bCs w:val="1"/>
          <w:color w:val="auto"/>
        </w:rPr>
        <w:t>Director, President and Chief Executive Officer</w:t>
      </w:r>
    </w:p>
    <w:p>
      <w:pPr>
        <w:spacing w:after="0" w:line="1"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5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 13a-14(a) and 15d-14(a)</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 Mark Palamountain, certify that:</w:t>
      </w:r>
    </w:p>
    <w:p>
      <w:pPr>
        <w:spacing w:after="0" w:line="217" w:lineRule="exact"/>
        <w:rPr>
          <w:sz w:val="20"/>
          <w:szCs w:val="20"/>
          <w:color w:val="auto"/>
        </w:rPr>
      </w:pPr>
    </w:p>
    <w:p>
      <w:pPr>
        <w:ind w:left="600" w:hanging="171"/>
        <w:spacing w:after="0"/>
        <w:tabs>
          <w:tab w:leader="none" w:pos="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Limoneira Company (the “Registrant”);</w:t>
      </w:r>
    </w:p>
    <w:p>
      <w:pPr>
        <w:spacing w:after="0" w:line="217" w:lineRule="exact"/>
        <w:rPr>
          <w:rFonts w:ascii="Times New Roman" w:cs="Times New Roman" w:eastAsia="Times New Roman" w:hAnsi="Times New Roman"/>
          <w:sz w:val="17"/>
          <w:szCs w:val="17"/>
          <w:color w:val="auto"/>
        </w:rPr>
      </w:pPr>
    </w:p>
    <w:p>
      <w:pPr>
        <w:ind w:firstLine="429"/>
        <w:spacing w:after="0" w:line="287" w:lineRule="auto"/>
        <w:tabs>
          <w:tab w:leader="none" w:pos="62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firstLine="429"/>
        <w:spacing w:after="0" w:line="287" w:lineRule="auto"/>
        <w:tabs>
          <w:tab w:leader="none" w:pos="62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firstLine="429"/>
        <w:spacing w:after="0" w:line="270" w:lineRule="auto"/>
        <w:tabs>
          <w:tab w:leader="none" w:pos="62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1120" w:hanging="305"/>
        <w:spacing w:after="0" w:line="260" w:lineRule="auto"/>
        <w:tabs>
          <w:tab w:leader="none" w:pos="111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20" w:hanging="305"/>
        <w:spacing w:after="0" w:line="253" w:lineRule="auto"/>
        <w:tabs>
          <w:tab w:leader="none" w:pos="111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120" w:hanging="305"/>
        <w:spacing w:after="0" w:line="253" w:lineRule="auto"/>
        <w:tabs>
          <w:tab w:leader="none" w:pos="111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20" w:hanging="305"/>
        <w:spacing w:after="0" w:line="259" w:lineRule="auto"/>
        <w:tabs>
          <w:tab w:leader="none" w:pos="111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17"/>
          <w:szCs w:val="17"/>
          <w:color w:val="auto"/>
        </w:rPr>
      </w:pPr>
    </w:p>
    <w:p>
      <w:pPr>
        <w:ind w:firstLine="429"/>
        <w:spacing w:after="0" w:line="287" w:lineRule="auto"/>
        <w:tabs>
          <w:tab w:leader="none" w:pos="61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120" w:hanging="305"/>
        <w:spacing w:after="0" w:line="263" w:lineRule="auto"/>
        <w:tabs>
          <w:tab w:leader="none" w:pos="111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20" w:hanging="305"/>
        <w:spacing w:after="0" w:line="266" w:lineRule="auto"/>
        <w:tabs>
          <w:tab w:leader="none" w:pos="111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December 22, 2022.</w:t>
      </w:r>
    </w:p>
    <w:p>
      <w:pPr>
        <w:spacing w:after="0" w:line="346" w:lineRule="exact"/>
        <w:rPr>
          <w:sz w:val="20"/>
          <w:szCs w:val="20"/>
          <w:color w:val="auto"/>
        </w:rPr>
      </w:pPr>
    </w:p>
    <w:p>
      <w:pPr>
        <w:ind w:left="5000"/>
        <w:spacing w:after="0"/>
        <w:tabs>
          <w:tab w:leader="none" w:pos="7600" w:val="left"/>
          <w:tab w:leader="none" w:pos="79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17145</wp:posOffset>
            </wp:positionV>
            <wp:extent cx="35039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7">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7"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7"/>
          <w:szCs w:val="17"/>
          <w:b w:val="1"/>
          <w:bCs w:val="1"/>
          <w:color w:val="auto"/>
        </w:rPr>
        <w:t>Mark Palamountain</w:t>
      </w:r>
    </w:p>
    <w:p>
      <w:pPr>
        <w:jc w:val="center"/>
        <w:ind w:left="5660"/>
        <w:spacing w:after="0" w:line="205" w:lineRule="auto"/>
        <w:rPr>
          <w:sz w:val="20"/>
          <w:szCs w:val="20"/>
          <w:color w:val="auto"/>
        </w:rPr>
      </w:pPr>
      <w:r>
        <w:rPr>
          <w:rFonts w:ascii="Times New Roman" w:cs="Times New Roman" w:eastAsia="Times New Roman" w:hAnsi="Times New Roman"/>
          <w:sz w:val="17"/>
          <w:szCs w:val="17"/>
          <w:b w:val="1"/>
          <w:bCs w:val="1"/>
          <w:color w:val="auto"/>
        </w:rPr>
        <w:t>Chief Financial Officer and Treasurer</w:t>
      </w:r>
    </w:p>
    <w:p>
      <w:pPr>
        <w:spacing w:after="0" w:line="1"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7"/>
          <w:szCs w:val="17"/>
          <w:b w:val="1"/>
          <w:bCs w:val="1"/>
          <w:color w:val="auto"/>
        </w:rPr>
        <w:t>(Principal Financial Officer and Accounting Officer)</w:t>
      </w:r>
    </w:p>
    <w:p>
      <w:pPr>
        <w:sectPr>
          <w:pgSz w:w="11900" w:h="16838" w:orient="portrait"/>
          <w:cols w:equalWidth="0" w:num="1">
            <w:col w:w="11240"/>
          </w:cols>
          <w:pgMar w:left="320" w:top="85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 (18 U.S.C. 1350)</w:t>
      </w:r>
    </w:p>
    <w:p>
      <w:pPr>
        <w:spacing w:after="0" w:line="200" w:lineRule="exact"/>
        <w:rPr>
          <w:sz w:val="20"/>
          <w:szCs w:val="20"/>
          <w:color w:val="auto"/>
        </w:rPr>
      </w:pPr>
    </w:p>
    <w:p>
      <w:pPr>
        <w:jc w:val="both"/>
        <w:ind w:firstLine="425"/>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for the year ended October 31, 2022 (the “Report”) of Limoneira Company (the “Registrant”), as filed with the Securities and Exchange Commission on the date hereof, I, Harold S. Edwards, Director, President and Chief Executive Officer of the Registrant, hereby certify that:</w:t>
      </w:r>
    </w:p>
    <w:p>
      <w:pPr>
        <w:spacing w:after="0" w:line="165" w:lineRule="exact"/>
        <w:rPr>
          <w:sz w:val="20"/>
          <w:szCs w:val="20"/>
          <w:color w:val="auto"/>
        </w:rPr>
      </w:pPr>
    </w:p>
    <w:p>
      <w:pPr>
        <w:ind w:left="1120" w:hanging="305"/>
        <w:spacing w:after="0"/>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7"/>
          <w:szCs w:val="17"/>
          <w:color w:val="auto"/>
        </w:rPr>
      </w:pPr>
    </w:p>
    <w:p>
      <w:pPr>
        <w:ind w:left="1120" w:hanging="305"/>
        <w:spacing w:after="0"/>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December 22, 2022.</w:t>
      </w:r>
    </w:p>
    <w:p>
      <w:pPr>
        <w:spacing w:after="0" w:line="282" w:lineRule="exact"/>
        <w:rPr>
          <w:sz w:val="20"/>
          <w:szCs w:val="20"/>
          <w:color w:val="auto"/>
        </w:rPr>
      </w:pPr>
    </w:p>
    <w:p>
      <w:pPr>
        <w:ind w:left="5000"/>
        <w:spacing w:after="0"/>
        <w:tabs>
          <w:tab w:leader="none" w:pos="7620" w:val="left"/>
          <w:tab w:leader="none" w:pos="79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17145</wp:posOffset>
            </wp:positionV>
            <wp:extent cx="35039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8">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7"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7"/>
          <w:szCs w:val="17"/>
          <w:b w:val="1"/>
          <w:bCs w:val="1"/>
          <w:color w:val="auto"/>
        </w:rPr>
        <w:t>Harold S. Edwards</w:t>
      </w:r>
    </w:p>
    <w:p>
      <w:pPr>
        <w:jc w:val="center"/>
        <w:ind w:left="5660"/>
        <w:spacing w:after="0" w:line="221" w:lineRule="auto"/>
        <w:rPr>
          <w:sz w:val="20"/>
          <w:szCs w:val="20"/>
          <w:color w:val="auto"/>
        </w:rPr>
      </w:pPr>
      <w:r>
        <w:rPr>
          <w:rFonts w:ascii="Times New Roman" w:cs="Times New Roman" w:eastAsia="Times New Roman" w:hAnsi="Times New Roman"/>
          <w:sz w:val="17"/>
          <w:szCs w:val="17"/>
          <w:b w:val="1"/>
          <w:bCs w:val="1"/>
          <w:color w:val="auto"/>
        </w:rPr>
        <w:t>Director, President and Chief Executive Officer</w:t>
      </w:r>
    </w:p>
    <w:p>
      <w:pPr>
        <w:ind w:left="74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5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 (18 U.S.C. 1350)</w:t>
      </w:r>
    </w:p>
    <w:p>
      <w:pPr>
        <w:spacing w:after="0" w:line="200" w:lineRule="exact"/>
        <w:rPr>
          <w:sz w:val="20"/>
          <w:szCs w:val="20"/>
          <w:color w:val="auto"/>
        </w:rPr>
      </w:pPr>
    </w:p>
    <w:p>
      <w:pPr>
        <w:jc w:val="both"/>
        <w:ind w:firstLine="425"/>
        <w:spacing w:after="0" w:line="280" w:lineRule="auto"/>
        <w:rPr>
          <w:sz w:val="20"/>
          <w:szCs w:val="20"/>
          <w:color w:val="auto"/>
        </w:rPr>
      </w:pPr>
      <w:r>
        <w:rPr>
          <w:rFonts w:ascii="Times New Roman" w:cs="Times New Roman" w:eastAsia="Times New Roman" w:hAnsi="Times New Roman"/>
          <w:sz w:val="17"/>
          <w:szCs w:val="17"/>
          <w:color w:val="auto"/>
        </w:rPr>
        <w:t>In connection with the Annual Report on Form 10-K for the year ended October 31, 2022 (the “Report”) of Limoneira Company (the “Registrant”), as filed with the Securities and Exchange Commission on the date hereof, I, Mark Palamountain, Chief Financial Officer and Treasurer of the Registrant, hereby certify that:</w:t>
      </w:r>
    </w:p>
    <w:p>
      <w:pPr>
        <w:spacing w:after="0" w:line="369" w:lineRule="exact"/>
        <w:rPr>
          <w:sz w:val="20"/>
          <w:szCs w:val="20"/>
          <w:color w:val="auto"/>
        </w:rPr>
      </w:pPr>
    </w:p>
    <w:p>
      <w:pPr>
        <w:ind w:left="1120" w:hanging="305"/>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7"/>
          <w:szCs w:val="17"/>
          <w:color w:val="auto"/>
        </w:rPr>
      </w:pPr>
    </w:p>
    <w:p>
      <w:pPr>
        <w:ind w:left="1120" w:hanging="305"/>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December 22, 2022.</w:t>
      </w:r>
    </w:p>
    <w:p>
      <w:pPr>
        <w:spacing w:after="0" w:line="282" w:lineRule="exact"/>
        <w:rPr>
          <w:sz w:val="20"/>
          <w:szCs w:val="20"/>
          <w:color w:val="auto"/>
        </w:rPr>
      </w:pPr>
    </w:p>
    <w:p>
      <w:pPr>
        <w:ind w:left="5000"/>
        <w:spacing w:after="0"/>
        <w:tabs>
          <w:tab w:leader="none" w:pos="7600" w:val="left"/>
          <w:tab w:leader="none" w:pos="79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17145</wp:posOffset>
            </wp:positionV>
            <wp:extent cx="35039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9">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7"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7"/>
          <w:szCs w:val="17"/>
          <w:b w:val="1"/>
          <w:bCs w:val="1"/>
          <w:color w:val="auto"/>
        </w:rPr>
        <w:t>Mark Palamountain</w:t>
      </w:r>
    </w:p>
    <w:p>
      <w:pPr>
        <w:jc w:val="center"/>
        <w:ind w:left="5660"/>
        <w:spacing w:after="0" w:line="221" w:lineRule="auto"/>
        <w:rPr>
          <w:sz w:val="20"/>
          <w:szCs w:val="20"/>
          <w:color w:val="auto"/>
        </w:rPr>
      </w:pPr>
      <w:r>
        <w:rPr>
          <w:rFonts w:ascii="Times New Roman" w:cs="Times New Roman" w:eastAsia="Times New Roman" w:hAnsi="Times New Roman"/>
          <w:sz w:val="17"/>
          <w:szCs w:val="17"/>
          <w:b w:val="1"/>
          <w:bCs w:val="1"/>
          <w:color w:val="auto"/>
        </w:rPr>
        <w:t>Chief Financial Officer and Treasurer</w:t>
      </w:r>
    </w:p>
    <w:p>
      <w:pPr>
        <w:ind w:left="6520"/>
        <w:spacing w:after="0"/>
        <w:rPr>
          <w:sz w:val="20"/>
          <w:szCs w:val="20"/>
          <w:color w:val="auto"/>
        </w:rPr>
      </w:pPr>
      <w:r>
        <w:rPr>
          <w:rFonts w:ascii="Times New Roman" w:cs="Times New Roman" w:eastAsia="Times New Roman" w:hAnsi="Times New Roman"/>
          <w:sz w:val="17"/>
          <w:szCs w:val="17"/>
          <w:b w:val="1"/>
          <w:bCs w:val="1"/>
          <w:color w:val="auto"/>
        </w:rPr>
        <w:t>(Principal Financial Officer and Accounting Officer)</w:t>
      </w:r>
    </w:p>
    <w:p>
      <w:pPr>
        <w:sectPr>
          <w:pgSz w:w="11900" w:h="16838" w:orient="portrait"/>
          <w:cols w:equalWidth="0" w:num="1">
            <w:col w:w="11240"/>
          </w:cols>
          <w:pgMar w:left="320" w:top="85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i w:val="1"/>
          <w:iCs w:val="1"/>
          <w:color w:val="auto"/>
        </w:rPr>
        <w:t>(a Delaware Limited Liability Company)</w:t>
      </w:r>
    </w:p>
    <w:p>
      <w:pPr>
        <w:spacing w:after="0" w:line="2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Financial Statements</w:t>
      </w:r>
    </w:p>
    <w:p>
      <w:pPr>
        <w:spacing w:after="0" w:line="24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color w:val="auto"/>
        </w:rPr>
        <w:t>October 31, 2022</w:t>
      </w:r>
    </w:p>
    <w:p>
      <w:pPr>
        <w:sectPr>
          <w:pgSz w:w="11900" w:h="16838" w:orient="portrait"/>
          <w:cols w:equalWidth="0" w:num="1">
            <w:col w:w="10120"/>
          </w:cols>
          <w:pgMar w:left="1440" w:top="815" w:right="339" w:bottom="1440" w:gutter="0" w:footer="0" w:header="0"/>
        </w:sectPr>
      </w:pPr>
    </w:p>
    <w:bookmarkStart w:id="106" w:name="page107"/>
    <w:bookmarkEnd w:id="106"/>
    <w:p>
      <w:pPr>
        <w:jc w:val="center"/>
        <w:ind w:right="-679"/>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24"/>
          <w:szCs w:val="24"/>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4460" w:type="dxa"/>
            <w:vAlign w:val="bottom"/>
          </w:tcPr>
          <w:p>
            <w:pPr>
              <w:spacing w:after="0"/>
              <w:rPr>
                <w:sz w:val="24"/>
                <w:szCs w:val="24"/>
                <w:color w:val="auto"/>
              </w:rPr>
            </w:pPr>
          </w:p>
        </w:tc>
        <w:tc>
          <w:tcPr>
            <w:tcW w:w="5940" w:type="dxa"/>
            <w:vAlign w:val="bottom"/>
          </w:tcPr>
          <w:p>
            <w:pPr>
              <w:jc w:val="right"/>
              <w:ind w:right="4022"/>
              <w:spacing w:after="0"/>
              <w:rPr>
                <w:sz w:val="20"/>
                <w:szCs w:val="20"/>
                <w:color w:val="auto"/>
              </w:rPr>
            </w:pPr>
            <w:r>
              <w:rPr>
                <w:rFonts w:ascii="Times New Roman" w:cs="Times New Roman" w:eastAsia="Times New Roman" w:hAnsi="Times New Roman"/>
                <w:sz w:val="24"/>
                <w:szCs w:val="24"/>
                <w:b w:val="1"/>
                <w:bCs w:val="1"/>
                <w:color w:val="auto"/>
                <w:w w:val="98"/>
              </w:rPr>
              <w:t>Table of Contents</w:t>
            </w:r>
          </w:p>
        </w:tc>
      </w:tr>
      <w:tr>
        <w:trPr>
          <w:trHeight w:val="551"/>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w w:val="99"/>
              </w:rPr>
              <w:t>Report of Independent Registered Public Accounting Firm</w:t>
            </w:r>
          </w:p>
        </w:tc>
        <w:tc>
          <w:tcPr>
            <w:tcW w:w="5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541"/>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Financial Statements</w:t>
            </w:r>
          </w:p>
        </w:tc>
        <w:tc>
          <w:tcPr>
            <w:tcW w:w="5940" w:type="dxa"/>
            <w:vAlign w:val="bottom"/>
          </w:tcPr>
          <w:p>
            <w:pPr>
              <w:spacing w:after="0"/>
              <w:rPr>
                <w:sz w:val="24"/>
                <w:szCs w:val="24"/>
                <w:color w:val="auto"/>
              </w:rPr>
            </w:pPr>
          </w:p>
        </w:tc>
      </w:tr>
      <w:tr>
        <w:trPr>
          <w:trHeight w:val="541"/>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Balance Sheets</w:t>
            </w:r>
          </w:p>
        </w:tc>
        <w:tc>
          <w:tcPr>
            <w:tcW w:w="5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r>
      <w:tr>
        <w:trPr>
          <w:trHeight w:val="284"/>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Statements of Operations</w:t>
            </w:r>
          </w:p>
        </w:tc>
        <w:tc>
          <w:tcPr>
            <w:tcW w:w="5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284"/>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Statements of Members’ Capital</w:t>
            </w:r>
          </w:p>
        </w:tc>
        <w:tc>
          <w:tcPr>
            <w:tcW w:w="5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84"/>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Statements of Cash Flows</w:t>
            </w:r>
          </w:p>
        </w:tc>
        <w:tc>
          <w:tcPr>
            <w:tcW w:w="5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r>
      <w:tr>
        <w:trPr>
          <w:trHeight w:val="284"/>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Notes to Financial Statements</w:t>
            </w:r>
          </w:p>
        </w:tc>
        <w:tc>
          <w:tcPr>
            <w:tcW w:w="5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bl>
    <w:p>
      <w:pPr>
        <w:sectPr>
          <w:pgSz w:w="11900" w:h="16838" w:orient="portrait"/>
          <w:cols w:equalWidth="0" w:num="1">
            <w:col w:w="10400"/>
          </w:cols>
          <w:pgMar w:left="560" w:top="112" w:right="939" w:bottom="1440" w:gutter="0" w:footer="0" w:header="0"/>
        </w:sectPr>
      </w:pPr>
    </w:p>
    <w:bookmarkStart w:id="107" w:name="page108"/>
    <w:bookmarkEnd w:id="107"/>
    <w:p>
      <w:pPr>
        <w:ind w:left="2820"/>
        <w:spacing w:after="0"/>
        <w:rPr>
          <w:sz w:val="20"/>
          <w:szCs w:val="20"/>
          <w:color w:val="auto"/>
        </w:rPr>
      </w:pPr>
      <w:r>
        <w:rPr>
          <w:rFonts w:ascii="Times New Roman" w:cs="Times New Roman" w:eastAsia="Times New Roman" w:hAnsi="Times New Roman"/>
          <w:sz w:val="22"/>
          <w:szCs w:val="22"/>
          <w:b w:val="1"/>
          <w:bCs w:val="1"/>
          <w:color w:val="333333"/>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Members of Limoneira Lewis Community Builders,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We have audited the accompanying balance sheets of Limoneira Lewis Community Builders, LLC (the Company) as of October 31, 2022 and 2021, the related statements of operations, members’ capital and cash flows for each of the three years in the period ended October 31, 2022, and the related notes (collectively referred to as the “financial statements”). In our opinion, the financial statements present fairly, in all material respects, the financial position of the Company at October 31, 2022 and 2021, and the results of its operations and its cash flows for each of the three years in the period ended October 31, 2022, in conformity with U.S. generally accepted accounting principles.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firstLine="3"/>
        <w:spacing w:after="0" w:line="237" w:lineRule="auto"/>
        <w:tabs>
          <w:tab w:leader="none" w:pos="27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ectPr>
          <w:pgSz w:w="11900" w:h="16838" w:orient="portrait"/>
          <w:cols w:equalWidth="0" w:num="1">
            <w:col w:w="11240"/>
          </w:cols>
          <w:pgMar w:left="320" w:top="1341" w:right="339" w:bottom="1440" w:gutter="0" w:footer="0" w:header="0"/>
        </w:sectPr>
      </w:pPr>
    </w:p>
    <w:bookmarkStart w:id="108" w:name="page109"/>
    <w:bookmarkEnd w:id="108"/>
    <w:p>
      <w:pPr>
        <w:ind w:left="2040"/>
        <w:spacing w:after="0"/>
        <w:rPr>
          <w:sz w:val="20"/>
          <w:szCs w:val="20"/>
          <w:color w:val="auto"/>
        </w:rPr>
      </w:pPr>
      <w:r>
        <w:rPr>
          <w:rFonts w:ascii="Times New Roman" w:cs="Times New Roman" w:eastAsia="Times New Roman" w:hAnsi="Times New Roman"/>
          <w:sz w:val="20"/>
          <w:szCs w:val="20"/>
          <w:b w:val="1"/>
          <w:bCs w:val="1"/>
          <w:i w:val="1"/>
          <w:iCs w:val="1"/>
          <w:color w:val="auto"/>
        </w:rPr>
        <w:t>Evaluation of Impairment Indicators for Land Held for Development and Sale</w:t>
      </w:r>
    </w:p>
    <w:p>
      <w:pPr>
        <w:sectPr>
          <w:pgSz w:w="11900" w:h="16838" w:orient="portrait"/>
          <w:cols w:equalWidth="0" w:num="1">
            <w:col w:w="11220"/>
          </w:cols>
          <w:pgMar w:left="320" w:top="1397" w:right="359" w:bottom="1440" w:gutter="0" w:footer="0" w:header="0"/>
        </w:sectPr>
      </w:pPr>
    </w:p>
    <w:p>
      <w:pPr>
        <w:spacing w:after="0" w:line="318" w:lineRule="exact"/>
        <w:rPr>
          <w:sz w:val="20"/>
          <w:szCs w:val="20"/>
          <w:color w:val="auto"/>
        </w:rPr>
      </w:pPr>
    </w:p>
    <w:p>
      <w:pPr>
        <w:ind w:left="20"/>
        <w:spacing w:after="0" w:line="249" w:lineRule="auto"/>
        <w:rPr>
          <w:sz w:val="20"/>
          <w:szCs w:val="20"/>
          <w:color w:val="auto"/>
        </w:rPr>
      </w:pPr>
      <w:r>
        <w:rPr>
          <w:rFonts w:ascii="Times New Roman" w:cs="Times New Roman" w:eastAsia="Times New Roman" w:hAnsi="Times New Roman"/>
          <w:sz w:val="19"/>
          <w:szCs w:val="19"/>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The Company's land held for development and sale balance totaled $112.2 million as of October 31, 2022. As discussed in Note 2 to the financial statements, the Company tests its land held for development and sale for impairment in</w:t>
      </w:r>
    </w:p>
    <w:p>
      <w:pPr>
        <w:spacing w:after="0" w:line="1" w:lineRule="exact"/>
        <w:rPr>
          <w:sz w:val="20"/>
          <w:szCs w:val="20"/>
          <w:color w:val="auto"/>
        </w:rPr>
      </w:pPr>
    </w:p>
    <w:p>
      <w:pPr>
        <w:sectPr>
          <w:pgSz w:w="11900" w:h="16838" w:orient="portrait"/>
          <w:cols w:equalWidth="0" w:num="2">
            <w:col w:w="1380" w:space="660"/>
            <w:col w:w="9180"/>
          </w:cols>
          <w:pgMar w:left="320" w:top="1397" w:right="359" w:bottom="1440" w:gutter="0" w:footer="0" w:header="0"/>
          <w:type w:val="continuous"/>
        </w:sectPr>
      </w:pPr>
    </w:p>
    <w:p>
      <w:pPr>
        <w:ind w:left="2040"/>
        <w:spacing w:after="0" w:line="230" w:lineRule="auto"/>
        <w:rPr>
          <w:sz w:val="20"/>
          <w:szCs w:val="20"/>
          <w:color w:val="auto"/>
        </w:rPr>
      </w:pPr>
      <w:r>
        <w:rPr>
          <w:rFonts w:ascii="Times New Roman" w:cs="Times New Roman" w:eastAsia="Times New Roman" w:hAnsi="Times New Roman"/>
          <w:sz w:val="19"/>
          <w:szCs w:val="19"/>
          <w:color w:val="auto"/>
        </w:rPr>
        <w:t>accordance with Accounting Standards Codification Topic 360, Property, Plant and Equipment (ASC 360), whenever events or changes in circumstances indicate that the carrying value of its project may not be recoverable. Such events or</w:t>
      </w:r>
    </w:p>
    <w:p>
      <w:pPr>
        <w:spacing w:after="0" w:line="1" w:lineRule="exact"/>
        <w:rPr>
          <w:sz w:val="20"/>
          <w:szCs w:val="20"/>
          <w:color w:val="auto"/>
        </w:rPr>
      </w:pPr>
    </w:p>
    <w:p>
      <w:pPr>
        <w:ind w:left="2040"/>
        <w:spacing w:after="0" w:line="233" w:lineRule="auto"/>
        <w:rPr>
          <w:sz w:val="20"/>
          <w:szCs w:val="20"/>
          <w:color w:val="auto"/>
        </w:rPr>
      </w:pPr>
      <w:r>
        <w:rPr>
          <w:rFonts w:ascii="Times New Roman" w:cs="Times New Roman" w:eastAsia="Times New Roman" w:hAnsi="Times New Roman"/>
          <w:sz w:val="19"/>
          <w:szCs w:val="19"/>
          <w:color w:val="auto"/>
        </w:rPr>
        <w:t>changes in circumstances may include, among others, a significant adverse change in the business climate that could affect the value of the project, an accumulation of costs significantly in excess of the amount originally expected, or</w:t>
      </w:r>
    </w:p>
    <w:p>
      <w:pPr>
        <w:spacing w:after="0" w:line="1" w:lineRule="exact"/>
        <w:rPr>
          <w:sz w:val="20"/>
          <w:szCs w:val="20"/>
          <w:color w:val="auto"/>
        </w:rPr>
      </w:pPr>
    </w:p>
    <w:p>
      <w:pPr>
        <w:jc w:val="both"/>
        <w:ind w:left="2040"/>
        <w:spacing w:after="0" w:line="244" w:lineRule="auto"/>
        <w:rPr>
          <w:sz w:val="20"/>
          <w:szCs w:val="20"/>
          <w:color w:val="auto"/>
        </w:rPr>
      </w:pPr>
      <w:r>
        <w:rPr>
          <w:rFonts w:ascii="Times New Roman" w:cs="Times New Roman" w:eastAsia="Times New Roman" w:hAnsi="Times New Roman"/>
          <w:sz w:val="18"/>
          <w:szCs w:val="18"/>
          <w:color w:val="auto"/>
        </w:rPr>
        <w:t>current period operating or cash flow loss combined with a history of operating or cash flow losses or a forecast that demonstrates continuing losses. When such indicators of impairment are identified, the project is tested for recoverability by comparing the carrying amount of the asset to the undiscounted future net cash flows expected to be generated from</w:t>
      </w:r>
    </w:p>
    <w:p>
      <w:pPr>
        <w:ind w:left="2040"/>
        <w:spacing w:after="0" w:line="236" w:lineRule="auto"/>
        <w:rPr>
          <w:sz w:val="20"/>
          <w:szCs w:val="20"/>
          <w:color w:val="auto"/>
        </w:rPr>
      </w:pPr>
      <w:r>
        <w:rPr>
          <w:rFonts w:ascii="Times New Roman" w:cs="Times New Roman" w:eastAsia="Times New Roman" w:hAnsi="Times New Roman"/>
          <w:sz w:val="19"/>
          <w:szCs w:val="19"/>
          <w:color w:val="auto"/>
        </w:rPr>
        <w:t>the project. If the carrying value of the project is determined to not be recoverable, an impairment charge is recognized equal to the amount by which the carrying value exceeds its estimated fair value.</w:t>
      </w:r>
    </w:p>
    <w:p>
      <w:pPr>
        <w:spacing w:after="0" w:line="285" w:lineRule="exact"/>
        <w:rPr>
          <w:sz w:val="20"/>
          <w:szCs w:val="20"/>
          <w:color w:val="auto"/>
        </w:rPr>
      </w:pPr>
    </w:p>
    <w:p>
      <w:pPr>
        <w:ind w:left="2040"/>
        <w:spacing w:after="0" w:line="244" w:lineRule="auto"/>
        <w:rPr>
          <w:sz w:val="20"/>
          <w:szCs w:val="20"/>
          <w:color w:val="auto"/>
        </w:rPr>
      </w:pPr>
      <w:r>
        <w:rPr>
          <w:rFonts w:ascii="Times New Roman" w:cs="Times New Roman" w:eastAsia="Times New Roman" w:hAnsi="Times New Roman"/>
          <w:sz w:val="19"/>
          <w:szCs w:val="19"/>
          <w:color w:val="auto"/>
        </w:rPr>
        <w:t>Auditing the Company's impairment assessment is challenging because of the subjective auditor judgment necessary in evaluating management's identification and evaluation of events and changes in circumstances that could represent</w:t>
      </w:r>
    </w:p>
    <w:p>
      <w:pPr>
        <w:spacing w:after="0" w:line="1" w:lineRule="exact"/>
        <w:rPr>
          <w:sz w:val="20"/>
          <w:szCs w:val="20"/>
          <w:color w:val="auto"/>
        </w:rPr>
      </w:pPr>
    </w:p>
    <w:p>
      <w:pPr>
        <w:ind w:left="2040"/>
        <w:spacing w:after="0" w:line="246" w:lineRule="auto"/>
        <w:rPr>
          <w:sz w:val="20"/>
          <w:szCs w:val="20"/>
          <w:color w:val="auto"/>
        </w:rPr>
      </w:pPr>
      <w:r>
        <w:rPr>
          <w:rFonts w:ascii="Times New Roman" w:cs="Times New Roman" w:eastAsia="Times New Roman" w:hAnsi="Times New Roman"/>
          <w:sz w:val="18"/>
          <w:szCs w:val="18"/>
          <w:color w:val="auto"/>
        </w:rPr>
        <w:t>potential indicators of impairment, such as the impact of changes in demand and estimated land sales prices or other factors that could indicate that the carrying value of its project may not be recoverable. There is also significant judgment</w:t>
      </w:r>
    </w:p>
    <w:p>
      <w:pPr>
        <w:spacing w:after="0" w:line="1" w:lineRule="exact"/>
        <w:rPr>
          <w:sz w:val="20"/>
          <w:szCs w:val="20"/>
          <w:color w:val="auto"/>
        </w:rPr>
      </w:pPr>
    </w:p>
    <w:p>
      <w:pPr>
        <w:ind w:left="2040"/>
        <w:spacing w:after="0" w:line="236" w:lineRule="auto"/>
        <w:rPr>
          <w:sz w:val="20"/>
          <w:szCs w:val="20"/>
          <w:color w:val="auto"/>
        </w:rPr>
      </w:pPr>
      <w:r>
        <w:rPr>
          <w:rFonts w:ascii="Times New Roman" w:cs="Times New Roman" w:eastAsia="Times New Roman" w:hAnsi="Times New Roman"/>
          <w:sz w:val="19"/>
          <w:szCs w:val="19"/>
          <w:color w:val="auto"/>
        </w:rPr>
        <w:t>in the related assessment of the severity of such indicators, either individually or in combination, in determining whether a triggering event has occurred that requires the Company to evaluate its project for recoverability.</w:t>
      </w:r>
    </w:p>
    <w:p>
      <w:pPr>
        <w:sectPr>
          <w:pgSz w:w="11900" w:h="16838" w:orient="portrait"/>
          <w:cols w:equalWidth="0" w:num="1">
            <w:col w:w="11220"/>
          </w:cols>
          <w:pgMar w:left="320" w:top="1397" w:right="359" w:bottom="1440" w:gutter="0" w:footer="0" w:header="0"/>
          <w:type w:val="continuous"/>
        </w:sectPr>
      </w:pPr>
    </w:p>
    <w:p>
      <w:pPr>
        <w:spacing w:after="0" w:line="281" w:lineRule="exact"/>
        <w:rPr>
          <w:sz w:val="20"/>
          <w:szCs w:val="20"/>
          <w:color w:val="auto"/>
        </w:rPr>
      </w:pPr>
    </w:p>
    <w:p>
      <w:pPr>
        <w:ind w:left="20"/>
        <w:spacing w:after="0" w:line="263" w:lineRule="auto"/>
        <w:rPr>
          <w:sz w:val="20"/>
          <w:szCs w:val="20"/>
          <w:color w:val="auto"/>
        </w:rPr>
      </w:pPr>
      <w:r>
        <w:rPr>
          <w:rFonts w:ascii="Times New Roman" w:cs="Times New Roman" w:eastAsia="Times New Roman" w:hAnsi="Times New Roman"/>
          <w:sz w:val="18"/>
          <w:szCs w:val="18"/>
          <w:i w:val="1"/>
          <w:iCs w:val="1"/>
          <w:color w:val="auto"/>
        </w:rPr>
        <w:t>How We Addressed the Matter in Our</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To test the Company’s evaluation of indicators of impairment, our audit procedures included, among others, evaluating significant judgments applied in determining whether indicators of impairment were present by obtaining evidence to</w:t>
      </w:r>
    </w:p>
    <w:p>
      <w:pPr>
        <w:spacing w:after="0" w:line="1" w:lineRule="exact"/>
        <w:rPr>
          <w:sz w:val="20"/>
          <w:szCs w:val="20"/>
          <w:color w:val="auto"/>
        </w:rPr>
      </w:pPr>
    </w:p>
    <w:p>
      <w:pPr>
        <w:sectPr>
          <w:pgSz w:w="11900" w:h="16838" w:orient="portrait"/>
          <w:cols w:equalWidth="0" w:num="2">
            <w:col w:w="1480" w:space="560"/>
            <w:col w:w="9180"/>
          </w:cols>
          <w:pgMar w:left="320" w:top="1397"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Times New Roman" w:cs="Times New Roman" w:eastAsia="Times New Roman" w:hAnsi="Times New Roman"/>
          <w:sz w:val="18"/>
          <w:szCs w:val="18"/>
          <w:color w:val="auto"/>
        </w:rPr>
        <w:t>corroborate such judgments and searching for evidence contrary to such judgments. For example, we evaluated management’s assessment of potential indicators of impairment considering historical operating results of the project and</w:t>
      </w:r>
    </w:p>
    <w:p>
      <w:pPr>
        <w:spacing w:after="0" w:line="1" w:lineRule="exact"/>
        <w:rPr>
          <w:sz w:val="20"/>
          <w:szCs w:val="20"/>
          <w:color w:val="auto"/>
        </w:rPr>
      </w:pPr>
    </w:p>
    <w:p>
      <w:pPr>
        <w:sectPr>
          <w:pgSz w:w="11900" w:h="16838" w:orient="portrait"/>
          <w:cols w:equalWidth="0" w:num="2">
            <w:col w:w="1320" w:space="720"/>
            <w:col w:w="9180"/>
          </w:cols>
          <w:pgMar w:left="320" w:top="1397" w:right="359" w:bottom="1440" w:gutter="0" w:footer="0" w:header="0"/>
          <w:type w:val="continuous"/>
        </w:sectPr>
      </w:pPr>
    </w:p>
    <w:p>
      <w:pPr>
        <w:ind w:left="2040"/>
        <w:spacing w:after="0" w:line="243" w:lineRule="auto"/>
        <w:rPr>
          <w:sz w:val="20"/>
          <w:szCs w:val="20"/>
          <w:color w:val="auto"/>
        </w:rPr>
      </w:pPr>
      <w:r>
        <w:rPr>
          <w:rFonts w:ascii="Times New Roman" w:cs="Times New Roman" w:eastAsia="Times New Roman" w:hAnsi="Times New Roman"/>
          <w:sz w:val="18"/>
          <w:szCs w:val="18"/>
          <w:color w:val="auto"/>
        </w:rPr>
        <w:t>external market data regarding the impact of current market conditions on home prices and the related demand for land, as well as a sensitivity analysis over projected future land sales revenue and project delivery timeline, to identify whether</w:t>
      </w:r>
    </w:p>
    <w:p>
      <w:pPr>
        <w:spacing w:after="0" w:line="1" w:lineRule="exact"/>
        <w:rPr>
          <w:sz w:val="20"/>
          <w:szCs w:val="20"/>
          <w:color w:val="auto"/>
        </w:rPr>
      </w:pPr>
    </w:p>
    <w:p>
      <w:pPr>
        <w:jc w:val="both"/>
        <w:ind w:left="2040"/>
        <w:spacing w:after="0" w:line="231" w:lineRule="auto"/>
        <w:rPr>
          <w:sz w:val="20"/>
          <w:szCs w:val="20"/>
          <w:color w:val="auto"/>
        </w:rPr>
      </w:pPr>
      <w:r>
        <w:rPr>
          <w:rFonts w:ascii="Times New Roman" w:cs="Times New Roman" w:eastAsia="Times New Roman" w:hAnsi="Times New Roman"/>
          <w:sz w:val="19"/>
          <w:szCs w:val="19"/>
          <w:color w:val="auto"/>
        </w:rPr>
        <w:t>there were changes in circumstances based on current market conditions that could indicate the carrying amount of the project may not be recoverable. We also evaluated significant changes in the Company’s project development plans or costs, performed inquiries of operational personnel responsible for the project, inspected minutes of the meetings of the</w:t>
      </w:r>
    </w:p>
    <w:p>
      <w:pPr>
        <w:spacing w:after="0" w:line="1" w:lineRule="exact"/>
        <w:rPr>
          <w:sz w:val="20"/>
          <w:szCs w:val="20"/>
          <w:color w:val="auto"/>
        </w:rPr>
      </w:pPr>
    </w:p>
    <w:p>
      <w:pPr>
        <w:ind w:left="2040"/>
        <w:spacing w:after="0" w:line="236" w:lineRule="auto"/>
        <w:rPr>
          <w:sz w:val="20"/>
          <w:szCs w:val="20"/>
          <w:color w:val="auto"/>
        </w:rPr>
      </w:pPr>
      <w:r>
        <w:rPr>
          <w:rFonts w:ascii="Times New Roman" w:cs="Times New Roman" w:eastAsia="Times New Roman" w:hAnsi="Times New Roman"/>
          <w:sz w:val="19"/>
          <w:szCs w:val="19"/>
          <w:color w:val="auto"/>
        </w:rPr>
        <w:t>Company’s executive committee, and searched for evidence contrary to management’s assertions to identify whether indicators of impairment were present for the project.</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Ernst &amp; Young LLP</w:t>
      </w:r>
    </w:p>
    <w:p>
      <w:pPr>
        <w:sectPr>
          <w:pgSz w:w="11900" w:h="16838" w:orient="portrait"/>
          <w:cols w:equalWidth="0" w:num="1">
            <w:col w:w="11220"/>
          </w:cols>
          <w:pgMar w:left="320" w:top="1397" w:right="359" w:bottom="1440" w:gutter="0" w:footer="0" w:header="0"/>
          <w:type w:val="continuous"/>
        </w:sect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2022</w:t>
      </w:r>
    </w:p>
    <w:p>
      <w:pPr>
        <w:sectPr>
          <w:pgSz w:w="11900" w:h="16838" w:orient="portrait"/>
          <w:cols w:equalWidth="0" w:num="1">
            <w:col w:w="11220"/>
          </w:cols>
          <w:pgMar w:left="320" w:top="1397" w:right="35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Balance Sheets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thousands)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8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3"/>
          </w:tcPr>
          <w:p>
            <w:pPr>
              <w:ind w:left="780"/>
              <w:spacing w:after="0"/>
              <w:rPr>
                <w:sz w:val="20"/>
                <w:szCs w:val="20"/>
                <w:color w:val="auto"/>
              </w:rPr>
            </w:pPr>
            <w:r>
              <w:rPr>
                <w:rFonts w:ascii="Times New Roman" w:cs="Times New Roman" w:eastAsia="Times New Roman" w:hAnsi="Times New Roman"/>
                <w:sz w:val="19"/>
                <w:szCs w:val="19"/>
                <w:b w:val="1"/>
                <w:bCs w:val="1"/>
                <w:color w:val="auto"/>
              </w:rPr>
              <w:t>October 31,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9"/>
                <w:szCs w:val="19"/>
                <w:b w:val="1"/>
                <w:bCs w:val="1"/>
                <w:color w:val="auto"/>
              </w:rPr>
              <w:t>2022</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9"/>
                <w:szCs w:val="19"/>
                <w:b w:val="1"/>
                <w:bCs w:val="1"/>
                <w:color w:val="auto"/>
              </w:rPr>
              <w:t>2021</w:t>
            </w:r>
          </w:p>
        </w:tc>
        <w:tc>
          <w:tcPr>
            <w:tcW w:w="0" w:type="dxa"/>
            <w:vAlign w:val="bottom"/>
          </w:tcPr>
          <w:p>
            <w:pPr>
              <w:spacing w:after="0"/>
              <w:rPr>
                <w:sz w:val="1"/>
                <w:szCs w:val="1"/>
                <w:color w:val="auto"/>
              </w:rPr>
            </w:pPr>
          </w:p>
        </w:tc>
      </w:tr>
      <w:tr>
        <w:trPr>
          <w:trHeight w:val="34"/>
        </w:trPr>
        <w:tc>
          <w:tcPr>
            <w:tcW w:w="80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Land held for development and sale</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112,221</w:t>
            </w:r>
          </w:p>
        </w:tc>
        <w:tc>
          <w:tcPr>
            <w:tcW w:w="24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98,951</w:t>
            </w:r>
          </w:p>
        </w:tc>
        <w:tc>
          <w:tcPr>
            <w:tcW w:w="0" w:type="dxa"/>
            <w:vAlign w:val="bottom"/>
          </w:tcPr>
          <w:p>
            <w:pPr>
              <w:spacing w:after="0"/>
              <w:rPr>
                <w:sz w:val="1"/>
                <w:szCs w:val="1"/>
                <w:color w:val="auto"/>
              </w:rPr>
            </w:pPr>
          </w:p>
        </w:tc>
      </w:tr>
      <w:tr>
        <w:trPr>
          <w:trHeight w:val="275"/>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Cash and cash equivalents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2,736</w:t>
            </w:r>
          </w:p>
        </w:tc>
        <w:tc>
          <w:tcPr>
            <w:tcW w:w="0" w:type="dxa"/>
            <w:vAlign w:val="bottom"/>
          </w:tcPr>
          <w:p>
            <w:pPr>
              <w:spacing w:after="0"/>
              <w:rPr>
                <w:sz w:val="1"/>
                <w:szCs w:val="1"/>
                <w:color w:val="auto"/>
              </w:rPr>
            </w:pPr>
          </w:p>
        </w:tc>
      </w:tr>
      <w:tr>
        <w:trPr>
          <w:trHeight w:val="284"/>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Due from affiliates (Note 7)</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5,771</w:t>
            </w:r>
          </w:p>
        </w:tc>
        <w:tc>
          <w:tcPr>
            <w:tcW w:w="0" w:type="dxa"/>
            <w:vAlign w:val="bottom"/>
          </w:tcPr>
          <w:p>
            <w:pPr>
              <w:spacing w:after="0"/>
              <w:rPr>
                <w:sz w:val="1"/>
                <w:szCs w:val="1"/>
                <w:color w:val="auto"/>
              </w:rPr>
            </w:pPr>
          </w:p>
        </w:tc>
      </w:tr>
      <w:tr>
        <w:trPr>
          <w:trHeight w:val="284"/>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Refundable deposits and other assets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0" w:type="dxa"/>
            <w:vAlign w:val="bottom"/>
          </w:tcPr>
          <w:p>
            <w:pPr>
              <w:spacing w:after="0"/>
              <w:rPr>
                <w:sz w:val="1"/>
                <w:szCs w:val="1"/>
                <w:color w:val="auto"/>
              </w:rPr>
            </w:pPr>
          </w:p>
        </w:tc>
      </w:tr>
      <w:tr>
        <w:trPr>
          <w:trHeight w:val="284"/>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Contract assets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0" w:type="dxa"/>
            <w:vAlign w:val="bottom"/>
          </w:tcPr>
          <w:p>
            <w:pPr>
              <w:spacing w:after="0"/>
              <w:rPr>
                <w:sz w:val="1"/>
                <w:szCs w:val="1"/>
                <w:color w:val="auto"/>
              </w:rPr>
            </w:pPr>
          </w:p>
        </w:tc>
      </w:tr>
      <w:tr>
        <w:trPr>
          <w:trHeight w:val="34"/>
        </w:trPr>
        <w:tc>
          <w:tcPr>
            <w:tcW w:w="80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Total assets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060" w:type="dxa"/>
            <w:vAlign w:val="bottom"/>
            <w:vMerge w:val="continue"/>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116,596</w:t>
            </w:r>
          </w:p>
        </w:tc>
        <w:tc>
          <w:tcPr>
            <w:tcW w:w="24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108,964</w:t>
            </w:r>
          </w:p>
        </w:tc>
        <w:tc>
          <w:tcPr>
            <w:tcW w:w="0" w:type="dxa"/>
            <w:vAlign w:val="bottom"/>
          </w:tcPr>
          <w:p>
            <w:pPr>
              <w:spacing w:after="0"/>
              <w:rPr>
                <w:sz w:val="1"/>
                <w:szCs w:val="1"/>
                <w:color w:val="auto"/>
              </w:rPr>
            </w:pPr>
          </w:p>
        </w:tc>
      </w:tr>
      <w:tr>
        <w:trPr>
          <w:trHeight w:val="21"/>
        </w:trPr>
        <w:tc>
          <w:tcPr>
            <w:tcW w:w="80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members’ capital</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Unsecured line of credit, net of unamortized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loan costs (Note 5)</w:t>
            </w:r>
          </w:p>
        </w:tc>
        <w:tc>
          <w:tcPr>
            <w:tcW w:w="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4,500</w:t>
            </w:r>
          </w:p>
        </w:tc>
        <w:tc>
          <w:tcPr>
            <w:tcW w:w="24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4"/>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Accounts payable and accrued expenses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5,884</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4,657</w:t>
            </w:r>
          </w:p>
        </w:tc>
        <w:tc>
          <w:tcPr>
            <w:tcW w:w="0" w:type="dxa"/>
            <w:vAlign w:val="bottom"/>
          </w:tcPr>
          <w:p>
            <w:pPr>
              <w:spacing w:after="0"/>
              <w:rPr>
                <w:sz w:val="1"/>
                <w:szCs w:val="1"/>
                <w:color w:val="auto"/>
              </w:rPr>
            </w:pPr>
          </w:p>
        </w:tc>
      </w:tr>
      <w:tr>
        <w:trPr>
          <w:trHeight w:val="284"/>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Due to affiliates (Note 7)</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0" w:type="dxa"/>
            <w:vAlign w:val="bottom"/>
          </w:tcPr>
          <w:p>
            <w:pPr>
              <w:spacing w:after="0"/>
              <w:rPr>
                <w:sz w:val="1"/>
                <w:szCs w:val="1"/>
                <w:color w:val="auto"/>
              </w:rPr>
            </w:pPr>
          </w:p>
        </w:tc>
      </w:tr>
      <w:tr>
        <w:trPr>
          <w:trHeight w:val="3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10,531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4,708</w:t>
            </w:r>
          </w:p>
        </w:tc>
        <w:tc>
          <w:tcPr>
            <w:tcW w:w="0" w:type="dxa"/>
            <w:vAlign w:val="bottom"/>
          </w:tcPr>
          <w:p>
            <w:pPr>
              <w:spacing w:after="0"/>
              <w:rPr>
                <w:sz w:val="1"/>
                <w:szCs w:val="1"/>
                <w:color w:val="auto"/>
              </w:rPr>
            </w:pPr>
          </w:p>
        </w:tc>
      </w:tr>
      <w:tr>
        <w:trPr>
          <w:trHeight w:val="541"/>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Commitments and contingencies (Note 8)</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Members’ capital:</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Limoneira EA1 Land, LLC</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52,431</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51,416</w:t>
            </w:r>
          </w:p>
        </w:tc>
        <w:tc>
          <w:tcPr>
            <w:tcW w:w="0" w:type="dxa"/>
            <w:vAlign w:val="bottom"/>
          </w:tcPr>
          <w:p>
            <w:pPr>
              <w:spacing w:after="0"/>
              <w:rPr>
                <w:sz w:val="1"/>
                <w:szCs w:val="1"/>
                <w:color w:val="auto"/>
              </w:rPr>
            </w:pPr>
          </w:p>
        </w:tc>
      </w:tr>
      <w:tr>
        <w:trPr>
          <w:trHeight w:val="284"/>
        </w:trPr>
        <w:tc>
          <w:tcPr>
            <w:tcW w:w="80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Lewis Santa Paula Member, LLC</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53,634</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52,840</w:t>
            </w:r>
          </w:p>
        </w:tc>
        <w:tc>
          <w:tcPr>
            <w:tcW w:w="0" w:type="dxa"/>
            <w:vAlign w:val="bottom"/>
          </w:tcPr>
          <w:p>
            <w:pPr>
              <w:spacing w:after="0"/>
              <w:rPr>
                <w:sz w:val="1"/>
                <w:szCs w:val="1"/>
                <w:color w:val="auto"/>
              </w:rPr>
            </w:pPr>
          </w:p>
        </w:tc>
      </w:tr>
      <w:tr>
        <w:trPr>
          <w:trHeight w:val="3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106,065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104,256</w:t>
            </w:r>
          </w:p>
        </w:tc>
        <w:tc>
          <w:tcPr>
            <w:tcW w:w="0" w:type="dxa"/>
            <w:vAlign w:val="bottom"/>
          </w:tcPr>
          <w:p>
            <w:pPr>
              <w:spacing w:after="0"/>
              <w:rPr>
                <w:sz w:val="1"/>
                <w:szCs w:val="1"/>
                <w:color w:val="auto"/>
              </w:rPr>
            </w:pPr>
          </w:p>
        </w:tc>
      </w:tr>
      <w:tr>
        <w:trPr>
          <w:trHeight w:val="3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060" w:type="dxa"/>
            <w:vAlign w:val="bottom"/>
          </w:tcPr>
          <w:p>
            <w:pPr>
              <w:spacing w:after="0"/>
              <w:rPr>
                <w:sz w:val="20"/>
                <w:szCs w:val="20"/>
                <w:color w:val="auto"/>
              </w:rPr>
            </w:pPr>
            <w:r>
              <w:rPr>
                <w:rFonts w:ascii="Times New Roman" w:cs="Times New Roman" w:eastAsia="Times New Roman" w:hAnsi="Times New Roman"/>
                <w:sz w:val="19"/>
                <w:szCs w:val="19"/>
                <w:color w:val="auto"/>
              </w:rPr>
              <w:t>Total liabilities and members’ capital</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116,596</w:t>
            </w:r>
          </w:p>
        </w:tc>
        <w:tc>
          <w:tcPr>
            <w:tcW w:w="240" w:type="dxa"/>
            <w:vAlign w:val="bottom"/>
          </w:tcPr>
          <w:p>
            <w:pPr>
              <w:spacing w:after="0"/>
              <w:rPr>
                <w:sz w:val="23"/>
                <w:szCs w:val="23"/>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108,964</w:t>
            </w:r>
          </w:p>
        </w:tc>
        <w:tc>
          <w:tcPr>
            <w:tcW w:w="0" w:type="dxa"/>
            <w:vAlign w:val="bottom"/>
          </w:tcPr>
          <w:p>
            <w:pPr>
              <w:spacing w:after="0"/>
              <w:rPr>
                <w:sz w:val="1"/>
                <w:szCs w:val="1"/>
                <w:color w:val="auto"/>
              </w:rPr>
            </w:pPr>
          </w:p>
        </w:tc>
      </w:tr>
      <w:tr>
        <w:trPr>
          <w:trHeight w:val="23"/>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See accompanying notes.</w:t>
      </w:r>
    </w:p>
    <w:p>
      <w:pPr>
        <w:sectPr>
          <w:pgSz w:w="11900" w:h="16838" w:orient="portrait"/>
          <w:cols w:equalWidth="0" w:num="1">
            <w:col w:w="11240"/>
          </w:cols>
          <w:pgMar w:left="320" w:top="3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344"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Statements of Operations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thousands)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6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60" w:type="dxa"/>
            <w:vAlign w:val="bottom"/>
            <w:gridSpan w:val="4"/>
          </w:tcPr>
          <w:p>
            <w:pPr>
              <w:ind w:left="20"/>
              <w:spacing w:after="0"/>
              <w:rPr>
                <w:sz w:val="20"/>
                <w:szCs w:val="20"/>
                <w:color w:val="auto"/>
              </w:rPr>
            </w:pPr>
            <w:r>
              <w:rPr>
                <w:rFonts w:ascii="Times New Roman" w:cs="Times New Roman" w:eastAsia="Times New Roman" w:hAnsi="Times New Roman"/>
                <w:sz w:val="19"/>
                <w:szCs w:val="19"/>
                <w:b w:val="1"/>
                <w:bCs w:val="1"/>
                <w:color w:val="auto"/>
                <w:w w:val="97"/>
              </w:rPr>
              <w:t>Year Ended October 31,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2022</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46"/>
              <w:spacing w:after="0"/>
              <w:rPr>
                <w:sz w:val="20"/>
                <w:szCs w:val="20"/>
                <w:color w:val="auto"/>
              </w:rPr>
            </w:pPr>
            <w:r>
              <w:rPr>
                <w:rFonts w:ascii="Times New Roman" w:cs="Times New Roman" w:eastAsia="Times New Roman" w:hAnsi="Times New Roman"/>
                <w:sz w:val="19"/>
                <w:szCs w:val="19"/>
                <w:b w:val="1"/>
                <w:bCs w:val="1"/>
                <w:color w:val="auto"/>
              </w:rPr>
              <w:t>2021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46"/>
              <w:spacing w:after="0"/>
              <w:rPr>
                <w:sz w:val="20"/>
                <w:szCs w:val="20"/>
                <w:color w:val="auto"/>
              </w:rPr>
            </w:pPr>
            <w:r>
              <w:rPr>
                <w:rFonts w:ascii="Times New Roman" w:cs="Times New Roman" w:eastAsia="Times New Roman" w:hAnsi="Times New Roman"/>
                <w:sz w:val="19"/>
                <w:szCs w:val="19"/>
                <w:b w:val="1"/>
                <w:bCs w:val="1"/>
                <w:color w:val="auto"/>
              </w:rPr>
              <w:t>2020</w:t>
            </w:r>
          </w:p>
        </w:tc>
        <w:tc>
          <w:tcPr>
            <w:tcW w:w="0" w:type="dxa"/>
            <w:vAlign w:val="bottom"/>
          </w:tcPr>
          <w:p>
            <w:pPr>
              <w:spacing w:after="0"/>
              <w:rPr>
                <w:sz w:val="1"/>
                <w:szCs w:val="1"/>
                <w:color w:val="auto"/>
              </w:rPr>
            </w:pPr>
          </w:p>
        </w:tc>
      </w:tr>
      <w:tr>
        <w:trPr>
          <w:trHeight w:val="34"/>
        </w:trPr>
        <w:tc>
          <w:tcPr>
            <w:tcW w:w="63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Revenues: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9"/>
        </w:trPr>
        <w:tc>
          <w:tcPr>
            <w:tcW w:w="6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Land sales</w:t>
            </w:r>
          </w:p>
        </w:tc>
        <w:tc>
          <w:tcPr>
            <w:tcW w:w="940" w:type="dxa"/>
            <w:vAlign w:val="bottom"/>
          </w:tcPr>
          <w:p>
            <w:pPr>
              <w:jc w:val="right"/>
              <w:ind w:right="726"/>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2,500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42,853</w:t>
            </w:r>
          </w:p>
        </w:tc>
        <w:tc>
          <w:tcPr>
            <w:tcW w:w="240" w:type="dxa"/>
            <w:vAlign w:val="bottom"/>
          </w:tcPr>
          <w:p>
            <w:pPr>
              <w:spacing w:after="0"/>
              <w:rPr>
                <w:sz w:val="24"/>
                <w:szCs w:val="24"/>
                <w:color w:val="auto"/>
              </w:rPr>
            </w:pPr>
          </w:p>
        </w:tc>
        <w:tc>
          <w:tcPr>
            <w:tcW w:w="3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25,906</w:t>
            </w:r>
          </w:p>
        </w:tc>
        <w:tc>
          <w:tcPr>
            <w:tcW w:w="0" w:type="dxa"/>
            <w:vAlign w:val="bottom"/>
          </w:tcPr>
          <w:p>
            <w:pPr>
              <w:spacing w:after="0"/>
              <w:rPr>
                <w:sz w:val="1"/>
                <w:szCs w:val="1"/>
                <w:color w:val="auto"/>
              </w:rPr>
            </w:pPr>
          </w:p>
        </w:tc>
      </w:tr>
      <w:tr>
        <w:trPr>
          <w:trHeight w:val="503"/>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Cost of sales: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Cost of land sales</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(32,735)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(21,791)</w:t>
            </w:r>
          </w:p>
        </w:tc>
        <w:tc>
          <w:tcPr>
            <w:tcW w:w="0" w:type="dxa"/>
            <w:vAlign w:val="bottom"/>
          </w:tcPr>
          <w:p>
            <w:pPr>
              <w:spacing w:after="0"/>
              <w:rPr>
                <w:sz w:val="1"/>
                <w:szCs w:val="1"/>
                <w:color w:val="auto"/>
              </w:rPr>
            </w:pPr>
          </w:p>
        </w:tc>
      </w:tr>
      <w:tr>
        <w:trPr>
          <w:trHeight w:val="34"/>
        </w:trPr>
        <w:tc>
          <w:tcPr>
            <w:tcW w:w="63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Gross profit</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34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2,500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10,118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4,115</w:t>
            </w:r>
          </w:p>
        </w:tc>
        <w:tc>
          <w:tcPr>
            <w:tcW w:w="0" w:type="dxa"/>
            <w:vAlign w:val="bottom"/>
          </w:tcPr>
          <w:p>
            <w:pPr>
              <w:spacing w:after="0"/>
              <w:rPr>
                <w:sz w:val="1"/>
                <w:szCs w:val="1"/>
                <w:color w:val="auto"/>
              </w:rPr>
            </w:pPr>
          </w:p>
        </w:tc>
      </w:tr>
      <w:tr>
        <w:trPr>
          <w:trHeight w:val="34"/>
        </w:trPr>
        <w:tc>
          <w:tcPr>
            <w:tcW w:w="6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Sales and marketing expenses</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1,071</w:t>
            </w:r>
          </w:p>
        </w:tc>
        <w:tc>
          <w:tcPr>
            <w:tcW w:w="0" w:type="dxa"/>
            <w:vAlign w:val="bottom"/>
          </w:tcPr>
          <w:p>
            <w:pPr>
              <w:spacing w:after="0"/>
              <w:rPr>
                <w:sz w:val="1"/>
                <w:szCs w:val="1"/>
                <w:color w:val="auto"/>
              </w:rPr>
            </w:pPr>
          </w:p>
        </w:tc>
      </w:tr>
      <w:tr>
        <w:trPr>
          <w:trHeight w:val="284"/>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General and administrative expenses</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w:t>
            </w:r>
          </w:p>
        </w:tc>
        <w:tc>
          <w:tcPr>
            <w:tcW w:w="0" w:type="dxa"/>
            <w:vAlign w:val="bottom"/>
          </w:tcPr>
          <w:p>
            <w:pPr>
              <w:spacing w:after="0"/>
              <w:rPr>
                <w:sz w:val="1"/>
                <w:szCs w:val="1"/>
                <w:color w:val="auto"/>
              </w:rPr>
            </w:pPr>
          </w:p>
        </w:tc>
      </w:tr>
      <w:tr>
        <w:trPr>
          <w:trHeight w:val="284"/>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Abandoned development costs</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w:t>
            </w:r>
          </w:p>
        </w:tc>
        <w:tc>
          <w:tcPr>
            <w:tcW w:w="0" w:type="dxa"/>
            <w:vAlign w:val="bottom"/>
          </w:tcPr>
          <w:p>
            <w:pPr>
              <w:spacing w:after="0"/>
              <w:rPr>
                <w:sz w:val="1"/>
                <w:szCs w:val="1"/>
                <w:color w:val="auto"/>
              </w:rPr>
            </w:pPr>
          </w:p>
        </w:tc>
      </w:tr>
      <w:tr>
        <w:trPr>
          <w:trHeight w:val="284"/>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expense</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34"/>
        </w:trPr>
        <w:tc>
          <w:tcPr>
            <w:tcW w:w="6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940" w:type="dxa"/>
            <w:vAlign w:val="bottom"/>
          </w:tcPr>
          <w:p>
            <w:pPr>
              <w:jc w:val="right"/>
              <w:ind w:right="726"/>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1,809</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9,087</w:t>
            </w:r>
          </w:p>
        </w:tc>
        <w:tc>
          <w:tcPr>
            <w:tcW w:w="240" w:type="dxa"/>
            <w:vAlign w:val="bottom"/>
          </w:tcPr>
          <w:p>
            <w:pPr>
              <w:spacing w:after="0"/>
              <w:rPr>
                <w:sz w:val="24"/>
                <w:szCs w:val="24"/>
                <w:color w:val="auto"/>
              </w:rPr>
            </w:pPr>
          </w:p>
        </w:tc>
        <w:tc>
          <w:tcPr>
            <w:tcW w:w="3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2,615</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34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ectPr>
          <w:pgSz w:w="11900" w:h="16838" w:orient="portrait"/>
          <w:cols w:equalWidth="0" w:num="1">
            <w:col w:w="11240"/>
          </w:cols>
          <w:pgMar w:left="320" w:top="3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92"/>
        </w:trPr>
        <w:tc>
          <w:tcPr>
            <w:tcW w:w="3100" w:type="dxa"/>
            <w:vAlign w:val="bottom"/>
          </w:tcPr>
          <w:p>
            <w:pPr>
              <w:spacing w:after="0"/>
              <w:rPr>
                <w:sz w:val="24"/>
                <w:szCs w:val="24"/>
                <w:color w:val="auto"/>
              </w:rPr>
            </w:pPr>
          </w:p>
        </w:tc>
        <w:tc>
          <w:tcPr>
            <w:tcW w:w="4740" w:type="dxa"/>
            <w:vAlign w:val="bottom"/>
            <w:gridSpan w:val="3"/>
          </w:tcPr>
          <w:p>
            <w:pPr>
              <w:jc w:val="right"/>
              <w:ind w:right="586"/>
              <w:spacing w:after="0"/>
              <w:rPr>
                <w:sz w:val="20"/>
                <w:szCs w:val="20"/>
                <w:color w:val="auto"/>
              </w:rPr>
            </w:pPr>
            <w:r>
              <w:rPr>
                <w:rFonts w:ascii="Times New Roman" w:cs="Times New Roman" w:eastAsia="Times New Roman" w:hAnsi="Times New Roman"/>
                <w:sz w:val="24"/>
                <w:szCs w:val="24"/>
                <w:color w:val="auto"/>
              </w:rPr>
              <w:t>Statements of Members’ Capital</w:t>
            </w: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3"/>
                <w:szCs w:val="23"/>
                <w:color w:val="auto"/>
              </w:rPr>
            </w:pPr>
          </w:p>
        </w:tc>
        <w:tc>
          <w:tcPr>
            <w:tcW w:w="3420" w:type="dxa"/>
            <w:vAlign w:val="bottom"/>
            <w:gridSpan w:val="2"/>
          </w:tcPr>
          <w:p>
            <w:pPr>
              <w:jc w:val="right"/>
              <w:ind w:right="320"/>
              <w:spacing w:after="0"/>
              <w:rPr>
                <w:sz w:val="20"/>
                <w:szCs w:val="20"/>
                <w:color w:val="auto"/>
              </w:rPr>
            </w:pPr>
            <w:r>
              <w:rPr>
                <w:rFonts w:ascii="Times New Roman" w:cs="Times New Roman" w:eastAsia="Times New Roman" w:hAnsi="Times New Roman"/>
                <w:sz w:val="21"/>
                <w:szCs w:val="21"/>
                <w:color w:val="auto"/>
              </w:rPr>
              <w:t>(in thousands)</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6"/>
        </w:trPr>
        <w:tc>
          <w:tcPr>
            <w:tcW w:w="3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w w:val="97"/>
              </w:rPr>
              <w:t>Limoneira EA1</w:t>
            </w: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Land, LLC</w:t>
            </w:r>
          </w:p>
        </w:tc>
        <w:tc>
          <w:tcPr>
            <w:tcW w:w="0" w:type="dxa"/>
            <w:vAlign w:val="bottom"/>
          </w:tcPr>
          <w:p>
            <w:pPr>
              <w:spacing w:after="0"/>
              <w:rPr>
                <w:sz w:val="1"/>
                <w:szCs w:val="1"/>
                <w:color w:val="auto"/>
              </w:rPr>
            </w:pPr>
          </w:p>
        </w:tc>
      </w:tr>
      <w:tr>
        <w:trPr>
          <w:trHeight w:val="150"/>
        </w:trPr>
        <w:tc>
          <w:tcPr>
            <w:tcW w:w="3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26"/>
        </w:trPr>
        <w:tc>
          <w:tcPr>
            <w:tcW w:w="3100" w:type="dxa"/>
            <w:vAlign w:val="bottom"/>
          </w:tcPr>
          <w:p>
            <w:pPr>
              <w:spacing w:after="0"/>
              <w:rPr>
                <w:sz w:val="20"/>
                <w:szCs w:val="20"/>
                <w:color w:val="auto"/>
              </w:rPr>
            </w:pPr>
            <w:r>
              <w:rPr>
                <w:rFonts w:ascii="Times New Roman" w:cs="Times New Roman" w:eastAsia="Times New Roman" w:hAnsi="Times New Roman"/>
                <w:sz w:val="19"/>
                <w:szCs w:val="19"/>
                <w:color w:val="auto"/>
              </w:rPr>
              <w:t>Balance at October 31, 2019</w:t>
            </w:r>
          </w:p>
        </w:tc>
        <w:tc>
          <w:tcPr>
            <w:tcW w:w="34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42,722</w:t>
            </w:r>
          </w:p>
        </w:tc>
        <w:tc>
          <w:tcPr>
            <w:tcW w:w="0" w:type="dxa"/>
            <w:vAlign w:val="bottom"/>
          </w:tcPr>
          <w:p>
            <w:pPr>
              <w:spacing w:after="0"/>
              <w:rPr>
                <w:sz w:val="1"/>
                <w:szCs w:val="1"/>
                <w:color w:val="auto"/>
              </w:rPr>
            </w:pPr>
          </w:p>
        </w:tc>
      </w:tr>
      <w:tr>
        <w:trPr>
          <w:trHeight w:val="284"/>
        </w:trPr>
        <w:tc>
          <w:tcPr>
            <w:tcW w:w="31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Contributions</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2,800</w:t>
            </w:r>
          </w:p>
        </w:tc>
        <w:tc>
          <w:tcPr>
            <w:tcW w:w="0" w:type="dxa"/>
            <w:vAlign w:val="bottom"/>
          </w:tcPr>
          <w:p>
            <w:pPr>
              <w:spacing w:after="0"/>
              <w:rPr>
                <w:sz w:val="1"/>
                <w:szCs w:val="1"/>
                <w:color w:val="auto"/>
              </w:rPr>
            </w:pPr>
          </w:p>
        </w:tc>
      </w:tr>
      <w:tr>
        <w:trPr>
          <w:trHeight w:val="284"/>
        </w:trPr>
        <w:tc>
          <w:tcPr>
            <w:tcW w:w="31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Net income</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1,386</w:t>
            </w:r>
          </w:p>
        </w:tc>
        <w:tc>
          <w:tcPr>
            <w:tcW w:w="0" w:type="dxa"/>
            <w:vAlign w:val="bottom"/>
          </w:tcPr>
          <w:p>
            <w:pPr>
              <w:spacing w:after="0"/>
              <w:rPr>
                <w:sz w:val="1"/>
                <w:szCs w:val="1"/>
                <w:color w:val="auto"/>
              </w:rPr>
            </w:pPr>
          </w:p>
        </w:tc>
      </w:tr>
      <w:tr>
        <w:trPr>
          <w:trHeight w:val="34"/>
        </w:trPr>
        <w:tc>
          <w:tcPr>
            <w:tcW w:w="31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 at October 31, 2020</w:t>
            </w:r>
          </w:p>
        </w:tc>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46,908</w:t>
            </w:r>
          </w:p>
        </w:tc>
        <w:tc>
          <w:tcPr>
            <w:tcW w:w="0" w:type="dxa"/>
            <w:vAlign w:val="bottom"/>
          </w:tcPr>
          <w:p>
            <w:pPr>
              <w:spacing w:after="0"/>
              <w:rPr>
                <w:sz w:val="1"/>
                <w:szCs w:val="1"/>
                <w:color w:val="auto"/>
              </w:rPr>
            </w:pPr>
          </w:p>
        </w:tc>
      </w:tr>
      <w:tr>
        <w:trPr>
          <w:trHeight w:val="284"/>
        </w:trPr>
        <w:tc>
          <w:tcPr>
            <w:tcW w:w="31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Contributions</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4"/>
        </w:trPr>
        <w:tc>
          <w:tcPr>
            <w:tcW w:w="31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Net income</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4,508</w:t>
            </w:r>
          </w:p>
        </w:tc>
        <w:tc>
          <w:tcPr>
            <w:tcW w:w="0" w:type="dxa"/>
            <w:vAlign w:val="bottom"/>
          </w:tcPr>
          <w:p>
            <w:pPr>
              <w:spacing w:after="0"/>
              <w:rPr>
                <w:sz w:val="1"/>
                <w:szCs w:val="1"/>
                <w:color w:val="auto"/>
              </w:rPr>
            </w:pPr>
          </w:p>
        </w:tc>
      </w:tr>
      <w:tr>
        <w:trPr>
          <w:trHeight w:val="34"/>
        </w:trPr>
        <w:tc>
          <w:tcPr>
            <w:tcW w:w="31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 at October 31, 2021</w:t>
            </w:r>
          </w:p>
        </w:tc>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51,416</w:t>
            </w:r>
          </w:p>
        </w:tc>
        <w:tc>
          <w:tcPr>
            <w:tcW w:w="0" w:type="dxa"/>
            <w:vAlign w:val="bottom"/>
          </w:tcPr>
          <w:p>
            <w:pPr>
              <w:spacing w:after="0"/>
              <w:rPr>
                <w:sz w:val="1"/>
                <w:szCs w:val="1"/>
                <w:color w:val="auto"/>
              </w:rPr>
            </w:pPr>
          </w:p>
        </w:tc>
      </w:tr>
      <w:tr>
        <w:trPr>
          <w:trHeight w:val="284"/>
        </w:trPr>
        <w:tc>
          <w:tcPr>
            <w:tcW w:w="31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Contributions</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4"/>
        </w:trPr>
        <w:tc>
          <w:tcPr>
            <w:tcW w:w="31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Net income</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1,015</w:t>
            </w:r>
          </w:p>
        </w:tc>
        <w:tc>
          <w:tcPr>
            <w:tcW w:w="0" w:type="dxa"/>
            <w:vAlign w:val="bottom"/>
          </w:tcPr>
          <w:p>
            <w:pPr>
              <w:spacing w:after="0"/>
              <w:rPr>
                <w:sz w:val="1"/>
                <w:szCs w:val="1"/>
                <w:color w:val="auto"/>
              </w:rPr>
            </w:pPr>
          </w:p>
        </w:tc>
      </w:tr>
      <w:tr>
        <w:trPr>
          <w:trHeight w:val="34"/>
        </w:trPr>
        <w:tc>
          <w:tcPr>
            <w:tcW w:w="31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 at October 31, 2022</w:t>
            </w:r>
          </w:p>
        </w:tc>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34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52,431</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9"/>
          <w:szCs w:val="19"/>
          <w:color w:val="auto"/>
        </w:rPr>
        <w:t>Lewis</w:t>
      </w:r>
    </w:p>
    <w:p>
      <w:pPr>
        <w:spacing w:after="0" w:line="21"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9"/>
          <w:szCs w:val="19"/>
          <w:color w:val="auto"/>
        </w:rPr>
        <w:t>Santa Paula</w:t>
      </w:r>
    </w:p>
    <w:p>
      <w:pPr>
        <w:spacing w:after="0" w:line="6"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9"/>
          <w:szCs w:val="19"/>
          <w:color w:val="auto"/>
        </w:rPr>
        <w:t>Member,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30480</wp:posOffset>
            </wp:positionV>
            <wp:extent cx="9251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29" w:lineRule="exact"/>
        <w:rPr>
          <w:sz w:val="20"/>
          <w:szCs w:val="20"/>
          <w:color w:val="auto"/>
        </w:rPr>
      </w:pPr>
    </w:p>
    <w:p>
      <w:pPr>
        <w:ind w:left="860" w:hanging="857"/>
        <w:spacing w:after="0"/>
        <w:tabs>
          <w:tab w:leader="none" w:pos="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44,232</w:t>
      </w:r>
    </w:p>
    <w:p>
      <w:pPr>
        <w:spacing w:after="0" w:line="76"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2,800</w:t>
      </w:r>
    </w:p>
    <w:p>
      <w:pPr>
        <w:spacing w:after="0" w:line="65"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1,229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9251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48,261</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9251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52,840</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9251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58" w:lineRule="exact"/>
        <w:rPr>
          <w:sz w:val="20"/>
          <w:szCs w:val="20"/>
          <w:color w:val="auto"/>
        </w:rPr>
      </w:pPr>
    </w:p>
    <w:p>
      <w:pPr>
        <w:ind w:left="860" w:hanging="857"/>
        <w:spacing w:after="0"/>
        <w:tabs>
          <w:tab w:leader="none" w:pos="8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45720</wp:posOffset>
            </wp:positionV>
            <wp:extent cx="9251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4">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69850</wp:posOffset>
            </wp:positionV>
            <wp:extent cx="925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Total</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Members'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9251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60" w:hanging="855"/>
        <w:spacing w:after="0"/>
        <w:tabs>
          <w:tab w:leader="none" w:pos="8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86,954</w:t>
      </w:r>
    </w:p>
    <w:p>
      <w:pPr>
        <w:spacing w:after="0" w:line="76"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5,600</w:t>
      </w:r>
    </w:p>
    <w:p>
      <w:pPr>
        <w:spacing w:after="0" w:line="65"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2,615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9251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5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95,169</w:t>
      </w:r>
    </w:p>
    <w:p>
      <w:pPr>
        <w:spacing w:after="0" w:line="6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w:t>
      </w:r>
    </w:p>
    <w:p>
      <w:pPr>
        <w:spacing w:after="0" w:line="6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9,087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925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5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104,256</w:t>
      </w:r>
    </w:p>
    <w:p>
      <w:pPr>
        <w:spacing w:after="0" w:line="6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w:t>
      </w:r>
    </w:p>
    <w:p>
      <w:pPr>
        <w:spacing w:after="0" w:line="6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1,809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925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58" w:lineRule="exact"/>
        <w:rPr>
          <w:sz w:val="20"/>
          <w:szCs w:val="20"/>
          <w:color w:val="auto"/>
        </w:rPr>
      </w:pPr>
    </w:p>
    <w:p>
      <w:pPr>
        <w:ind w:left="760" w:hanging="755"/>
        <w:spacing w:after="0"/>
        <w:tabs>
          <w:tab w:leader="none" w:pos="7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106,065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9251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0">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62865</wp:posOffset>
            </wp:positionV>
            <wp:extent cx="9251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3">
            <w:col w:w="7860" w:space="240"/>
            <w:col w:w="1380" w:space="320"/>
            <w:col w:w="1440"/>
          </w:cols>
          <w:pgMar w:left="320" w:top="344" w:right="339"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344" w:right="33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Statements of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6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Year ended October 31,</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25"/>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9,087</w:t>
            </w:r>
          </w:p>
        </w:tc>
        <w:tc>
          <w:tcPr>
            <w:tcW w:w="26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(used in)</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provided by operating activities: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Land held for development and sale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(13,270)</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23,255</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13,267</w:t>
            </w:r>
          </w:p>
        </w:tc>
        <w:tc>
          <w:tcPr>
            <w:tcW w:w="0" w:type="dxa"/>
            <w:vAlign w:val="bottom"/>
          </w:tcPr>
          <w:p>
            <w:pPr>
              <w:spacing w:after="0"/>
              <w:rPr>
                <w:sz w:val="1"/>
                <w:szCs w:val="1"/>
                <w:color w:val="auto"/>
              </w:rPr>
            </w:pPr>
          </w:p>
        </w:tc>
      </w:tr>
      <w:tr>
        <w:trPr>
          <w:trHeight w:val="258"/>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Refundable deposits and other assets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58"/>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Note receivable – land sale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6,084</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(6,084)</w:t>
            </w:r>
          </w:p>
        </w:tc>
        <w:tc>
          <w:tcPr>
            <w:tcW w:w="0" w:type="dxa"/>
            <w:vAlign w:val="bottom"/>
          </w:tcPr>
          <w:p>
            <w:pPr>
              <w:spacing w:after="0"/>
              <w:rPr>
                <w:sz w:val="1"/>
                <w:szCs w:val="1"/>
                <w:color w:val="auto"/>
              </w:rPr>
            </w:pPr>
          </w:p>
        </w:tc>
      </w:tr>
      <w:tr>
        <w:trPr>
          <w:trHeight w:val="258"/>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Due from affiliates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(5,771)</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58"/>
        </w:trPr>
        <w:tc>
          <w:tcPr>
            <w:tcW w:w="6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0" w:type="dxa"/>
            <w:vAlign w:val="bottom"/>
          </w:tcPr>
          <w:p>
            <w:pPr>
              <w:spacing w:after="0"/>
              <w:rPr>
                <w:sz w:val="1"/>
                <w:szCs w:val="1"/>
                <w:color w:val="auto"/>
              </w:rPr>
            </w:pPr>
          </w:p>
        </w:tc>
      </w:tr>
      <w:tr>
        <w:trPr>
          <w:trHeight w:val="258"/>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Unearned revenue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58"/>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Due to affiliates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5"/>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3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6,388</w:t>
            </w:r>
          </w:p>
        </w:tc>
        <w:tc>
          <w:tcPr>
            <w:tcW w:w="0" w:type="dxa"/>
            <w:vAlign w:val="bottom"/>
          </w:tcPr>
          <w:p>
            <w:pPr>
              <w:spacing w:after="0"/>
              <w:rPr>
                <w:sz w:val="1"/>
                <w:szCs w:val="1"/>
                <w:color w:val="auto"/>
              </w:rPr>
            </w:pPr>
          </w:p>
        </w:tc>
      </w:tr>
      <w:tr>
        <w:trPr>
          <w:trHeight w:val="25"/>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6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Borrowings from line of credit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11,400</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5,812</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13,193</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Principal repayments on line of credit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(6,900)</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(36,180)</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(25,992)</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deferred loan costs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Loan from members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Principal repayments on loan from members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Contributions from members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w:t>
            </w:r>
          </w:p>
        </w:tc>
        <w:tc>
          <w:tcPr>
            <w:tcW w:w="0" w:type="dxa"/>
            <w:vAlign w:val="bottom"/>
          </w:tcPr>
          <w:p>
            <w:pPr>
              <w:spacing w:after="0"/>
              <w:rPr>
                <w:sz w:val="1"/>
                <w:szCs w:val="1"/>
                <w:color w:val="auto"/>
              </w:rPr>
            </w:pPr>
          </w:p>
        </w:tc>
      </w:tr>
      <w:tr>
        <w:trPr>
          <w:trHeight w:val="25"/>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3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(30,593)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(7,289)</w:t>
            </w: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2,736</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0" w:type="dxa"/>
            <w:vAlign w:val="bottom"/>
          </w:tcPr>
          <w:p>
            <w:pPr>
              <w:spacing w:after="0"/>
              <w:rPr>
                <w:sz w:val="1"/>
                <w:szCs w:val="1"/>
                <w:color w:val="auto"/>
              </w:rPr>
            </w:pPr>
          </w:p>
        </w:tc>
      </w:tr>
      <w:tr>
        <w:trPr>
          <w:trHeight w:val="25"/>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380" w:type="dxa"/>
            <w:vAlign w:val="bottom"/>
            <w:vMerge w:val="continue"/>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2,736</w:t>
            </w:r>
          </w:p>
        </w:tc>
        <w:tc>
          <w:tcPr>
            <w:tcW w:w="2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5"/>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0"/>
        </w:trPr>
        <w:tc>
          <w:tcPr>
            <w:tcW w:w="6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 (including amounts capitalized to the</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Project)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6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2"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9080" w:firstLine="3"/>
        <w:spacing w:after="0" w:line="497" w:lineRule="auto"/>
        <w:tabs>
          <w:tab w:leader="none" w:pos="309"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Organization Organization and Business</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Limoneira Lewis Community Builders, LLC (“Limoneira Lewis” or the “Company”), a Delaware Limited Liability Company, is a joint venture between Lewis Santa Paula Member, LLC (“Lewis”) and Limoneira EA1 Land, LLC (“Limoneira”) (together, the “Members”) for the primary purpose of developing a 501 acre area of land in Santa Paula, California into residential properties (the “Project”). Limoneira Lewis was formed on November 3, 2015 and began operations on November 10, 2015 in conjunction with the contribution of land and related entitlements for an agreed-upon value of $40,000,000 by Limoneira (the “Property”) to the Company and a concurrent assignment of a 50% interest in the Company to Lewis for $20,000,000 cash consideration, which were reflected as initial capital contributions from the Members. Initial capital contributions of the Members also included the value of certain pre-formation development costs and expenses (“Pre-Assignment Expenses”) incurred by Limoneira of $1,374,279 and Lewis of $217,774.</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terms of the Company are governed pursuant to the Limited Liability Company Agreement, as amended (the “LLC Agreement”). Each Member’s liability is limited pursuant to the Delaware Limited Liability Company Act. The term of the Company shall continue until the Company is dissolved pursuant to the provisions of the LLC Agreement.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Lewis is the designated manager of the Company (“Manager”) and manages the business activities of the Company pursuant to the terms of the LLC Agreement through an affiliated entity, Lewis Management Corp., a California Corporation (the “Manager Affiliate”). All major decisions, as defined by the LLC Agreement, are decided by an executive committee consisting of two representatives each from Lewis and Limoneira.</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Capital contributions are made by the Members for funding of Project Costs pursuant to terms of the LLC Agreement. Through October 31, 2021, the Members’ capital contributions include the Members’ initial capital contributions representing the value of the contributed property and Pre-Assignment Expenses and additional contributions totaling $82,799,000 in the aggregate.</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On March 3, 2008, Limoneira entered into a Development Agreement with the City of Santa Paula (the “City”) to develop the property which was transferred to the Company on November 10, 2015. The Development Agreement was amended and restated on February 26, 2015. The Amended Development Agreement currently provides for up to 1,500 total residential units, an estimated 240,000 square feet of office, retail, light industrial and assisted living facilities, approximately 19 acres for educational and other civic facilities and approximately 223 acres of undeveloped land, including open space and agricultural preserves, parks and greenways.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2"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900" w:firstLine="3"/>
        <w:spacing w:after="0" w:line="489" w:lineRule="auto"/>
        <w:tabs>
          <w:tab w:leader="none" w:pos="299" w:val="left"/>
        </w:tabs>
        <w:numPr>
          <w:ilvl w:val="0"/>
          <w:numId w:val="77"/>
        </w:numPr>
        <w:rPr>
          <w:rFonts w:ascii="Arial" w:cs="Arial" w:eastAsia="Arial" w:hAnsi="Arial"/>
          <w:sz w:val="19"/>
          <w:szCs w:val="19"/>
          <w:b w:val="1"/>
          <w:bCs w:val="1"/>
          <w:color w:val="auto"/>
        </w:rPr>
      </w:pPr>
      <w:r>
        <w:rPr>
          <w:rFonts w:ascii="Times New Roman" w:cs="Times New Roman" w:eastAsia="Times New Roman" w:hAnsi="Times New Roman"/>
          <w:sz w:val="19"/>
          <w:szCs w:val="19"/>
          <w:b w:val="1"/>
          <w:bCs w:val="1"/>
          <w:color w:val="auto"/>
        </w:rPr>
        <w:t>Organization (continued) Distributions</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Pursuant to the LLC Agreement, distributions of Net Cash Flow, as defined, shall be distributed to the Members in the following order of priority (using terms as defined in the LLC Agreement):</w:t>
      </w:r>
    </w:p>
    <w:p>
      <w:pPr>
        <w:spacing w:after="0" w:line="206" w:lineRule="exact"/>
        <w:rPr>
          <w:sz w:val="20"/>
          <w:szCs w:val="20"/>
          <w:color w:val="auto"/>
        </w:rPr>
      </w:pPr>
    </w:p>
    <w:p>
      <w:pPr>
        <w:ind w:left="620" w:hanging="307"/>
        <w:spacing w:after="0" w:line="243"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First, to the Members in proportion to their respective Additional Capital Contribution IRR Deficiencies, until each Member’s Additional Contribution IRR Deficiency is reduced to zero, representing a 12% return, compounded annually;</w:t>
      </w:r>
    </w:p>
    <w:p>
      <w:pPr>
        <w:spacing w:after="0" w:line="204" w:lineRule="exact"/>
        <w:rPr>
          <w:rFonts w:ascii="Times New Roman" w:cs="Times New Roman" w:eastAsia="Times New Roman" w:hAnsi="Times New Roman"/>
          <w:sz w:val="21"/>
          <w:szCs w:val="21"/>
          <w:color w:val="auto"/>
        </w:rPr>
      </w:pPr>
    </w:p>
    <w:p>
      <w:pPr>
        <w:ind w:left="620" w:hanging="307"/>
        <w:spacing w:after="0" w:line="243" w:lineRule="auto"/>
        <w:tabs>
          <w:tab w:leader="none" w:pos="61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Second, 48% to Limoneira and 52% to Lewis until Lewis’ Initial Contribution IRR Deficiency is reduced to zero, representing a 12% return, compounded annually;</w:t>
      </w:r>
    </w:p>
    <w:p>
      <w:pPr>
        <w:spacing w:after="0" w:line="20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Third, 25% to Limoneira and 75% to Lewis until aggregate distributions on this tier equal $10,000,000;</w:t>
      </w:r>
    </w:p>
    <w:p>
      <w:pPr>
        <w:spacing w:after="0" w:line="22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Fourth, 60% to Limoneira and 40% to Lewis until aggregate distributions on this tier equal $20,000,000;</w:t>
      </w:r>
    </w:p>
    <w:p>
      <w:pPr>
        <w:spacing w:after="0" w:line="22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Fifth, 50% to Limoneira and 50% to Lewis until aggregate distributions on this tier equal $20,000,000;</w:t>
      </w:r>
    </w:p>
    <w:p>
      <w:pPr>
        <w:spacing w:after="0" w:line="22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Sixth, 78% to Limoneira and 22% to Lewis until aggregate distributions on this tier equal $25,000,000;</w:t>
      </w:r>
    </w:p>
    <w:p>
      <w:pPr>
        <w:spacing w:after="0" w:line="22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Seventh, 95% to Limoneira and 5% to Lewis until aggregate distributions on this tier equal $20,000,000;</w:t>
      </w:r>
    </w:p>
    <w:p>
      <w:pPr>
        <w:spacing w:after="0" w:line="22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Thereafter, 70% to Limoneira and 30% to Lewis.</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Pursuant to the LLC Agreement, distributions of Net Cash Flow may also be affected by certain Net Cash Flow Override provisions based on the status of an affiliated joint venture project between the Members formed in September 2022, LLCB II (Note 7). Pursuant to these provisions, if either (i) LLCB II is dissolved prior to the date (if any) that LLCB II obtains the Site Specific Entitlements, as defined, or (ii) there is a Material Adverse Impact, as defined, after LLCB II obtains the Site Specific Entitlements, then the first $4,000,000 of Net Cash Flow of the Company available for distribution to the Members shall be distributed to Lewis prior to any other distributions being made to the Members under the distribution priorities above. The LLC Agreement also states that Lewis shall have the right to elect to dissolve LLCB II in accordance with the terms of the operating agreement of LLCB II thereby triggering the application of these Net Cash Flow Override provisions without regard to any fiduciary or other duties owed to Limoneira other than the covenant of good faith and fair dealing.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2"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560" w:firstLine="3"/>
        <w:spacing w:after="0" w:line="518" w:lineRule="auto"/>
        <w:tabs>
          <w:tab w:leader="none" w:pos="309"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 Allocations of Income and Losses</w:t>
      </w:r>
    </w:p>
    <w:p>
      <w:pPr>
        <w:jc w:val="both"/>
        <w:spacing w:after="0"/>
        <w:rPr>
          <w:sz w:val="20"/>
          <w:szCs w:val="20"/>
          <w:color w:val="auto"/>
        </w:rPr>
      </w:pPr>
      <w:r>
        <w:rPr>
          <w:rFonts w:ascii="Times New Roman" w:cs="Times New Roman" w:eastAsia="Times New Roman" w:hAnsi="Times New Roman"/>
          <w:sz w:val="19"/>
          <w:szCs w:val="19"/>
          <w:color w:val="auto"/>
        </w:rPr>
        <w:t>Net income and losses each period are allocated to the Members in respect of how such income or loss would affect related cash distributions that would be made to the Members if the Company were to be liquidated as of the reporting date and proceeds equal to the book value of members’ capital were to be distributed pursuant to the cash distribution priorities of the LLC Agreement. The allocations of income and losses reflected herein assume that no Net Cash Flow Override provisions have been triggered as of the reporting date.</w:t>
      </w:r>
    </w:p>
    <w:p>
      <w:pPr>
        <w:spacing w:after="0" w:line="205" w:lineRule="exact"/>
        <w:rPr>
          <w:sz w:val="20"/>
          <w:szCs w:val="20"/>
          <w:color w:val="auto"/>
        </w:rPr>
      </w:pPr>
    </w:p>
    <w:p>
      <w:pPr>
        <w:ind w:right="7380" w:firstLine="3"/>
        <w:spacing w:after="0" w:line="483" w:lineRule="auto"/>
        <w:tabs>
          <w:tab w:leader="none" w:pos="309"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Significant Accounting Policies Basis of Presentation</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accompanying financial statements have been prepared in conformity with accounting principles generally accepted in the United States (“GAAP”). All references to authoritative accounting literature in the Company’s financial statements were referenced in accordance with the Financial Accounting Standards Board (“FASB”) Accounting Standards Codification (“ASC”), which is the single source of authoritative nongovernmental GAAP in the United States.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Acreage, square footage, number of units or lots, and other similar non-financial measures included in these notes to the financial statements are presented on an unaudited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and Cash Equivalents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All highly liquid investments with a remaining maturity of three months or less when purchased are considered to be cash equivalents. No cash balances held by the Company during the periods presented were legally restricted as to use.</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concentrations of credit risk consist of demand deposits with a financial institution. The Company’s cash balances from time to time exceed federally insurable limits. However, the Company believes there is minimal credit risk relative to its cash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Land Held for Development and Sale and Cost of Land Sales</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Land held for development and sale consists of unimproved land and costs related to improvements including infrastructure and other capitalizable project costs. Capitalized costs include direct and indirect land costs, development and construction costs, direct labor, real estate taxes, and interest related to development and construction. Capitalized costs also include prepaid insurance policies and other similar costs which do not extend beyond the projected development period of the related project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12"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 (continued)</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Cost of land sales is determined based on an allocation of costs to individual land parcels sold based on specific identification, if practicable, or an allocation based on a method which approximates relative fair value in accordance with ASC 970, </w:t>
      </w:r>
      <w:r>
        <w:rPr>
          <w:rFonts w:ascii="Times New Roman" w:cs="Times New Roman" w:eastAsia="Times New Roman" w:hAnsi="Times New Roman"/>
          <w:sz w:val="20"/>
          <w:szCs w:val="20"/>
          <w:i w:val="1"/>
          <w:iCs w:val="1"/>
          <w:color w:val="auto"/>
        </w:rPr>
        <w:t>Real Estate - General</w:t>
      </w:r>
      <w:r>
        <w:rPr>
          <w:rFonts w:ascii="Times New Roman" w:cs="Times New Roman" w:eastAsia="Times New Roman" w:hAnsi="Times New Roman"/>
          <w:sz w:val="19"/>
          <w:szCs w:val="19"/>
          <w:color w:val="auto"/>
        </w:rPr>
        <w:t>. Costs allocated to land parcels sold include actual development costs incurred and estimates of future development costs, including common costs and amenities within the Project. For purposes of allocating development costs, estimates of future sales prices and development costs reflected in the project budget are reevaluated throughout the year, with adjustments being allocated prospectively to the remaining parcels available for sale.</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Land held for development and sale is carried at cost. The Company tests its land held for development and sale for impairment in accordance with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19"/>
          <w:szCs w:val="19"/>
          <w:color w:val="auto"/>
        </w:rPr>
        <w:t>, whenever events or changes in circumstances indicate that the carrying value of its project may not be recoverable. Such events or changes in circumstances may include, among others, a significant adverse change in the business climate that could affect the value of the project, an accumulation of costs significantly in excess of the amount originally expected, or current period operating or cash flow loss combined with a history of operating or cash flow losses or a forecast that demonstrates continuing losses.</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If such indicators of impairment are identified, the project is tested for recoverability by comparing the carrying amount of the asset to the undiscounted future net cash flows expected to be generated from the project. If the carrying value of the project is determined to not be recoverable, an impairment charge is recognized equal to the amount by which the carrying value exceeds its estimated fair value. Fair value is determined based on estimated future cash flows discounted for inherent risks associated with the project, or other valuation techniques.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Recognition</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Land sale transactions are made pursuant to contracts under which the Company typically has a performance obligation to deliver specified land parcels to the buyer when closing conditions are met. The Company evaluates each land sale contract to determine its performance obligations under the contract, including whether there is a distinct promise to perform post-closing land development work that is material within the context of the contract, and uses objective criteria to determine the completion of the applicable performance obligations, whether at a point in time or over</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time. Revenues from land sales are recognized when the Company has satisfied the performance obligations within the sales contract. Under its land sale contracts, the Company typically receives an initial cash deposit from the buyer at the time the contract is executed and receives the remaining fixed price consideration, through a third-party escrow agent, at closing when title and control of the land transfers to the buyer.</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In instances where the Company has one or more performance obligations to perform land development work after the closing date, a portion of the transaction price under the land sale contract is allocated to such performance obligations and is recognized as revenue over time based upon the estimated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12"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 (continued)</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toward the satisfaction of the related performance obligation, which is generally measured based on costs incurred relative to the total costs expected to satisfy the performance obligation.</w:t>
      </w:r>
    </w:p>
    <w:p>
      <w:pPr>
        <w:spacing w:after="0" w:line="1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Company’s land sales contracts to homebuilders also generally provide for additional variable consideration in the form of a marketing fee based on a percentage of the sales prices of homes built and sold on the land as well as the ability to receive future profit participation payments on profitability above specified thresholds achieved on sales of the homes by the homebuilder. The Company’s performance obligations related to these fees are generally satisfied as of or in advance of when payments for such fees are received, which may result in the recognition of a contract asset for the estimated future variable consideration expected to be received. In determining the amount of revenue to recognize related to these fees, the Company estimates the total variable consideration it expects to receive utilizing the expected value approach and constrains the amount to be recognized to the extent such variable consideration is subject to a risk of significant revenue reversal. The Company considers various factors in determining whether a constraint is necessary, including its experience to date and degree to which the variable consideration is susceptible to factors outside its influence.</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amount and timing of revenue and cash flows related to marketing fee and profit participation payments are impacted by the ultimate timing and sales prices of homes sold by homebuilders.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Company also evaluates the terms of anti-speculation or similar clauses contained in its land sales contracts which may provide the Company the contingent right to repurchase such land if the buyer fails to comply with provisions of the sales contract to determine whether the customer under its contracts has obtained control of the land in determining satisfaction of the related performance obligation.</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Deposits received under customer contracts prior to closing of land sales, or other payments received under a contract for which related performance obligation is not yet complete, represent contract liabilities and are recorded as unearned revenue. Contract assets are recognized to the extent revenues are recorded but the related amounts are not yet receivable under the terms of the contract. Trade receivables are recorded to the extent amounts are receivable from the customer and the Company’s right to the consideration is no longer conditional. Contract assets and trade receivables are evaluated for impairment or collectability in accordance with respective guidance. All of the Company’s contracts with its customers and the related performance obligations have an original expected duration of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12"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520" w:firstLine="3"/>
        <w:spacing w:after="0" w:line="490" w:lineRule="auto"/>
        <w:tabs>
          <w:tab w:leader="none" w:pos="193"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Significant Accounting Policies (continued) Line of Credit</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The Company’s line of credit is recorded at amortized cost. Loan costs associated with securing the line of credit are deferred and are recognized as a component of interest cost over the term of the line of credit and are presented as a reduction of the line of credit balance on the accompanying balance sheets. In periods where there are no balances outstanding on the line of credit, unamortized loan costs are reclassified to other assets. Interest costs are capitalized to the Project during periods in which development activities are ongoing.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2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As a limited liability company, the Company is subject to certain minimal taxes and fees; however, no provision for income taxes has been made in the accompanying financial statements as the Members are individual responsible for reporting their respective share of the Company’s income or loss.</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 xml:space="preserve">Based on its evaluation under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19"/>
          <w:szCs w:val="19"/>
          <w:color w:val="auto"/>
        </w:rPr>
        <w:t xml:space="preserve"> the Company has concluded that there are no significant tax positions requiring recognition in its financial statements, nor has the Company been assessed interest or penalties by any tax jurisdictions.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Income and Expenses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Other income and expenses are recorded in the period earned or incurred. Selling costs and costs related to marketing of the community are generally recorded to sales and marketing expenses as incurred.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Comprehensive Income and Loss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all periods presented, comprehensive income is the same as net income reported for the respective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Use of Estimates</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preparation of these financial statements in accordance with generally accepted accounting principles requires management to make estimates and assumptions that affect the reported amounts of assets and liabilities and the revenues and expenses for the periods presented. Actual amounts and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12"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520" w:firstLine="3"/>
        <w:spacing w:after="0" w:line="486" w:lineRule="auto"/>
        <w:tabs>
          <w:tab w:leader="none" w:pos="193"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Significant Accounting Policies (continued) Recent Accounting Pronouncements</w:t>
      </w: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In May 2014, the Financial Accounting Standards Board (“FASB”) issued Accounting Standards Update (“ASU”) No. 2014-09,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i w:val="1"/>
          <w:iCs w:val="1"/>
          <w:color w:val="auto"/>
        </w:rPr>
        <w:t xml:space="preserve">Contracts with Customers (Topic 606) </w:t>
      </w:r>
      <w:r>
        <w:rPr>
          <w:rFonts w:ascii="Times New Roman" w:cs="Times New Roman" w:eastAsia="Times New Roman" w:hAnsi="Times New Roman"/>
          <w:sz w:val="18"/>
          <w:szCs w:val="18"/>
          <w:color w:val="auto"/>
        </w:rPr>
        <w:t>(“ASU 2014-09”). ASU 2014-09 supersedes the revenue guidance in Accounting Standards Codification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 xml:space="preserve">(“ASC”) Topic 605,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18"/>
          <w:szCs w:val="18"/>
          <w:color w:val="auto"/>
        </w:rPr>
        <w:t>, and most industry-specific revenue and cost guidance in the accounting standards codification, including some cost guidance related to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the contract(s) which include (i) identifying the contract(s) with the customer, (ii) identifying the separate performance obligations in the contract, (iii) determining the transaction price, (iv) allocating the transaction price to the separate performance obligations,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 recognizing revenue when each performance obligation is satisfied.</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On November 1, 2018, the Company adopted ASU 2014-09 and its related amendments (collectively, “ASC 606”), using the modified retrospective method applied to contracts that were not completed as of the adoption date. Results for reporting periods beginning November 1, 2018 are presented under ASC 606. The initial adoption of ASC 606 did not impact the Company’s financial statements as there were no land sales which had closed prior to the adoption date and no other balances which were required to be expensed or reclassified upon adoption pursuant to the provisions of ASC 606.</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In February 2016, the FASB issued ASU No. 2016-02, </w:t>
      </w:r>
      <w:r>
        <w:rPr>
          <w:rFonts w:ascii="Times New Roman" w:cs="Times New Roman" w:eastAsia="Times New Roman" w:hAnsi="Times New Roman"/>
          <w:sz w:val="20"/>
          <w:szCs w:val="20"/>
          <w:i w:val="1"/>
          <w:iCs w:val="1"/>
          <w:color w:val="auto"/>
        </w:rPr>
        <w:t>Leases (Topic 842)</w:t>
      </w:r>
      <w:r>
        <w:rPr>
          <w:rFonts w:ascii="Times New Roman" w:cs="Times New Roman" w:eastAsia="Times New Roman" w:hAnsi="Times New Roman"/>
          <w:sz w:val="19"/>
          <w:szCs w:val="19"/>
          <w:color w:val="auto"/>
        </w:rPr>
        <w:t xml:space="preserve"> (including related amendments, “ASC 842”). ASC 842 requires organizations that lease assets to recognize on the balance sheet the assets and liabilities for the rights and obligations created by those leases. Under ASC 842, a lessee is required to recognize assets and liabilities for leases with lease terms of more than 12 months. Lessor accounting remains substantially similar to current GAAP. In addition, ASC 842 provides for expanded disclosures of leasing activities including qualitative along with specific quantitative information. ASC 842 was adopted by the Company effective November 1, 2019, and the Company elected the package of practical expedients offered under the standard. The adoption of ASC 842 did not have a material impact on the Company’s financial statements or disclosures.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In June 2016, the FASB issued ASU No. 2016-13, </w:t>
      </w:r>
      <w:r>
        <w:rPr>
          <w:rFonts w:ascii="Times New Roman" w:cs="Times New Roman" w:eastAsia="Times New Roman" w:hAnsi="Times New Roman"/>
          <w:sz w:val="20"/>
          <w:szCs w:val="20"/>
          <w:i w:val="1"/>
          <w:iCs w:val="1"/>
          <w:color w:val="auto"/>
        </w:rPr>
        <w:t>Financial Instruments - Credit Losses (Topic 326): Measurement of Credit Losses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i w:val="1"/>
          <w:iCs w:val="1"/>
          <w:color w:val="auto"/>
        </w:rPr>
        <w:t xml:space="preserve">Financial Instruments </w:t>
      </w:r>
      <w:r>
        <w:rPr>
          <w:rFonts w:ascii="Times New Roman" w:cs="Times New Roman" w:eastAsia="Times New Roman" w:hAnsi="Times New Roman"/>
          <w:sz w:val="18"/>
          <w:szCs w:val="18"/>
          <w:color w:val="auto"/>
        </w:rPr>
        <w:t>(“ASC 326”). This amendment requires the measurement of all expected credit losses for financial assets held 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reporting date based on historical experience, current conditions, and forward-looking estimates. ASC 326 was adopted by the Company effective November 1, 2020. The adoption of ASC 326 did not have a material impact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12"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Land Held for Development and Sale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Activity related to the Company’s land held for development and sale for the years ended October 31, 2022 and 2021 is as follows: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6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766"/>
              <w:spacing w:after="0"/>
              <w:rPr>
                <w:sz w:val="20"/>
                <w:szCs w:val="20"/>
                <w:color w:val="auto"/>
              </w:rPr>
            </w:pPr>
            <w:r>
              <w:rPr>
                <w:rFonts w:ascii="Times New Roman" w:cs="Times New Roman" w:eastAsia="Times New Roman" w:hAnsi="Times New Roman"/>
                <w:sz w:val="19"/>
                <w:szCs w:val="19"/>
                <w:b w:val="1"/>
                <w:bCs w:val="1"/>
                <w:color w:val="auto"/>
              </w:rPr>
              <w:t>2022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766"/>
              <w:spacing w:after="0"/>
              <w:rPr>
                <w:sz w:val="20"/>
                <w:szCs w:val="20"/>
                <w:color w:val="auto"/>
              </w:rPr>
            </w:pPr>
            <w:r>
              <w:rPr>
                <w:rFonts w:ascii="Times New Roman" w:cs="Times New Roman" w:eastAsia="Times New Roman" w:hAnsi="Times New Roman"/>
                <w:sz w:val="19"/>
                <w:szCs w:val="19"/>
                <w:b w:val="1"/>
                <w:bCs w:val="1"/>
                <w:color w:val="auto"/>
              </w:rPr>
              <w:t>2021</w:t>
            </w:r>
          </w:p>
        </w:tc>
        <w:tc>
          <w:tcPr>
            <w:tcW w:w="0" w:type="dxa"/>
            <w:vAlign w:val="bottom"/>
          </w:tcPr>
          <w:p>
            <w:pPr>
              <w:spacing w:after="0"/>
              <w:rPr>
                <w:sz w:val="1"/>
                <w:szCs w:val="1"/>
                <w:color w:val="auto"/>
              </w:rPr>
            </w:pPr>
          </w:p>
        </w:tc>
      </w:tr>
      <w:tr>
        <w:trPr>
          <w:trHeight w:val="34"/>
        </w:trPr>
        <w:tc>
          <w:tcPr>
            <w:tcW w:w="68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Beginning balance</w:t>
            </w: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800" w:type="dxa"/>
            <w:vAlign w:val="bottom"/>
            <w:vMerge w:val="continue"/>
          </w:tcPr>
          <w:p>
            <w:pPr>
              <w:spacing w:after="0"/>
              <w:rPr>
                <w:sz w:val="21"/>
                <w:szCs w:val="21"/>
                <w:color w:val="auto"/>
              </w:rPr>
            </w:pPr>
          </w:p>
        </w:tc>
        <w:tc>
          <w:tcPr>
            <w:tcW w:w="480" w:type="dxa"/>
            <w:vAlign w:val="bottom"/>
          </w:tcPr>
          <w:p>
            <w:pPr>
              <w:jc w:val="right"/>
              <w:ind w:right="286"/>
              <w:spacing w:after="0"/>
              <w:rPr>
                <w:sz w:val="20"/>
                <w:szCs w:val="20"/>
                <w:color w:val="auto"/>
              </w:rPr>
            </w:pPr>
            <w:r>
              <w:rPr>
                <w:rFonts w:ascii="Times New Roman" w:cs="Times New Roman" w:eastAsia="Times New Roman" w:hAnsi="Times New Roman"/>
                <w:sz w:val="19"/>
                <w:szCs w:val="19"/>
                <w:color w:val="auto"/>
                <w:w w:val="8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98,951,000</w:t>
            </w:r>
          </w:p>
        </w:tc>
        <w:tc>
          <w:tcPr>
            <w:tcW w:w="260" w:type="dxa"/>
            <w:vAlign w:val="bottom"/>
          </w:tcPr>
          <w:p>
            <w:pPr>
              <w:spacing w:after="0"/>
              <w:rPr>
                <w:sz w:val="21"/>
                <w:szCs w:val="21"/>
                <w:color w:val="auto"/>
              </w:rPr>
            </w:pPr>
          </w:p>
        </w:tc>
        <w:tc>
          <w:tcPr>
            <w:tcW w:w="480" w:type="dxa"/>
            <w:vAlign w:val="bottom"/>
          </w:tcPr>
          <w:p>
            <w:pPr>
              <w:jc w:val="right"/>
              <w:ind w:right="286"/>
              <w:spacing w:after="0"/>
              <w:rPr>
                <w:sz w:val="20"/>
                <w:szCs w:val="20"/>
                <w:color w:val="auto"/>
              </w:rPr>
            </w:pPr>
            <w:r>
              <w:rPr>
                <w:rFonts w:ascii="Times New Roman" w:cs="Times New Roman" w:eastAsia="Times New Roman" w:hAnsi="Times New Roman"/>
                <w:sz w:val="19"/>
                <w:szCs w:val="19"/>
                <w:color w:val="auto"/>
                <w:w w:val="8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122,206,000</w:t>
            </w:r>
          </w:p>
        </w:tc>
        <w:tc>
          <w:tcPr>
            <w:tcW w:w="0" w:type="dxa"/>
            <w:vAlign w:val="bottom"/>
          </w:tcPr>
          <w:p>
            <w:pPr>
              <w:spacing w:after="0"/>
              <w:rPr>
                <w:sz w:val="1"/>
                <w:szCs w:val="1"/>
                <w:color w:val="auto"/>
              </w:rPr>
            </w:pPr>
          </w:p>
        </w:tc>
      </w:tr>
      <w:tr>
        <w:trPr>
          <w:trHeight w:val="284"/>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Additional costs incurred</w:t>
            </w: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27,378,000</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12,679,000</w:t>
            </w:r>
          </w:p>
        </w:tc>
        <w:tc>
          <w:tcPr>
            <w:tcW w:w="0" w:type="dxa"/>
            <w:vAlign w:val="bottom"/>
          </w:tcPr>
          <w:p>
            <w:pPr>
              <w:spacing w:after="0"/>
              <w:rPr>
                <w:sz w:val="1"/>
                <w:szCs w:val="1"/>
                <w:color w:val="auto"/>
              </w:rPr>
            </w:pPr>
          </w:p>
        </w:tc>
      </w:tr>
      <w:tr>
        <w:trPr>
          <w:trHeight w:val="284"/>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CFD reimbursements (Note 8)</w:t>
            </w: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(14,108,000)</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(3,199,000)</w:t>
            </w:r>
          </w:p>
        </w:tc>
        <w:tc>
          <w:tcPr>
            <w:tcW w:w="0" w:type="dxa"/>
            <w:vAlign w:val="bottom"/>
          </w:tcPr>
          <w:p>
            <w:pPr>
              <w:spacing w:after="0"/>
              <w:rPr>
                <w:sz w:val="1"/>
                <w:szCs w:val="1"/>
                <w:color w:val="auto"/>
              </w:rPr>
            </w:pPr>
          </w:p>
        </w:tc>
      </w:tr>
      <w:tr>
        <w:trPr>
          <w:trHeight w:val="284"/>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Cost of land sales</w:t>
            </w:r>
          </w:p>
        </w:tc>
        <w:tc>
          <w:tcPr>
            <w:tcW w:w="48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(32,735,000)</w:t>
            </w:r>
          </w:p>
        </w:tc>
        <w:tc>
          <w:tcPr>
            <w:tcW w:w="0" w:type="dxa"/>
            <w:vAlign w:val="bottom"/>
          </w:tcPr>
          <w:p>
            <w:pPr>
              <w:spacing w:after="0"/>
              <w:rPr>
                <w:sz w:val="1"/>
                <w:szCs w:val="1"/>
                <w:color w:val="auto"/>
              </w:rPr>
            </w:pPr>
          </w:p>
        </w:tc>
      </w:tr>
      <w:tr>
        <w:trPr>
          <w:trHeight w:val="34"/>
        </w:trPr>
        <w:tc>
          <w:tcPr>
            <w:tcW w:w="6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Ending balance</w:t>
            </w:r>
          </w:p>
        </w:tc>
        <w:tc>
          <w:tcPr>
            <w:tcW w:w="480" w:type="dxa"/>
            <w:vAlign w:val="bottom"/>
          </w:tcPr>
          <w:p>
            <w:pPr>
              <w:jc w:val="right"/>
              <w:ind w:right="286"/>
              <w:spacing w:after="0"/>
              <w:rPr>
                <w:sz w:val="20"/>
                <w:szCs w:val="20"/>
                <w:color w:val="auto"/>
              </w:rPr>
            </w:pPr>
            <w:r>
              <w:rPr>
                <w:rFonts w:ascii="Times New Roman" w:cs="Times New Roman" w:eastAsia="Times New Roman" w:hAnsi="Times New Roman"/>
                <w:sz w:val="19"/>
                <w:szCs w:val="19"/>
                <w:color w:val="auto"/>
                <w:w w:val="8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112,221,000</w:t>
            </w:r>
          </w:p>
        </w:tc>
        <w:tc>
          <w:tcPr>
            <w:tcW w:w="260" w:type="dxa"/>
            <w:vAlign w:val="bottom"/>
          </w:tcPr>
          <w:p>
            <w:pPr>
              <w:spacing w:after="0"/>
              <w:rPr>
                <w:sz w:val="24"/>
                <w:szCs w:val="24"/>
                <w:color w:val="auto"/>
              </w:rPr>
            </w:pPr>
          </w:p>
        </w:tc>
        <w:tc>
          <w:tcPr>
            <w:tcW w:w="480" w:type="dxa"/>
            <w:vAlign w:val="bottom"/>
          </w:tcPr>
          <w:p>
            <w:pPr>
              <w:jc w:val="right"/>
              <w:ind w:right="286"/>
              <w:spacing w:after="0"/>
              <w:rPr>
                <w:sz w:val="20"/>
                <w:szCs w:val="20"/>
                <w:color w:val="auto"/>
              </w:rPr>
            </w:pPr>
            <w:r>
              <w:rPr>
                <w:rFonts w:ascii="Times New Roman" w:cs="Times New Roman" w:eastAsia="Times New Roman" w:hAnsi="Times New Roman"/>
                <w:sz w:val="19"/>
                <w:szCs w:val="19"/>
                <w:color w:val="auto"/>
                <w:w w:val="8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98,951,000</w:t>
            </w:r>
          </w:p>
        </w:tc>
        <w:tc>
          <w:tcPr>
            <w:tcW w:w="0" w:type="dxa"/>
            <w:vAlign w:val="bottom"/>
          </w:tcPr>
          <w:p>
            <w:pPr>
              <w:spacing w:after="0"/>
              <w:rPr>
                <w:sz w:val="1"/>
                <w:szCs w:val="1"/>
                <w:color w:val="auto"/>
              </w:rPr>
            </w:pPr>
          </w:p>
        </w:tc>
      </w:tr>
      <w:tr>
        <w:trPr>
          <w:trHeight w:val="34"/>
        </w:trPr>
        <w:tc>
          <w:tcPr>
            <w:tcW w:w="6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Management concluded that no impairment charges were warranted related to land held for development and sale through October 31, 2022. During the year ended October 31, 2020, the Company closed on the sale of 144 lots in land sale transactions with three homebuilders and recognized total land sale revenues of $25,906,000. During the year ended October 31, 2021, the Company closed on the sale of 232 lots in land sale transactions with three homebuilders and recognized total land sale revenues of $42,853,000. Land sale revenues for these periods include related deposit amounts received and reflected as unearned revenue in previous periods. During the year ended October 31, 2022, there were no new land sale transactions. Land sales revenues recognized during the year ended October 31, 2022 primarily relate to profit participation amounts recognized on land sale transactions which had closed in previous periods.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connection with one of the land sales closed in June 2020, the Company provided seller financing in the form of a promissory note to the buyer</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for $6,000,000. The note accrued interest at a fixed rate of 5.0% per annum and was due and payable, along with accrued interest, on the earlier of January 12, 2021 or sale of the first residence from the community, as defined. During the year ended October 31, 2020, the Company recognized $84,000 of accrued interest on the note. The note was subsequently repaid, along with accrued interest, in November 2020.</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Included in land sales revenues for the years ended October 31, 2022, 2021 and 2020 were marketing fee revenues of $27,000, $1,176,000 and $745,000. As of October 31, 2022 and 2021, $77,000 and $561,000 of contract assets were recorded representing estimated future variable consideration to be received related to marketing fee revenues. Additionally, land sales revenues for the year ended October 31, 2022 and 2021 included revenues from profit participation arrangements totaling $2,473,000 and $413,000, of which $106,000 and $208,000 was receivable at October 31, 2022 and 2021, respectively, and included in other assets on the accompanying balance sheets. No amounts from profit participation arrangements were recognized as revenues in the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12"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Land Held for Development and Sale (continued)</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As of October 31, 2022, there were $200,000 in refund liabilities which were classified in accounts payable and accrued liabilities on the accompanying balance sheet related to profit participation amounts received by the Company during the year ended October 31, 2022 for which a revenue constraint was applied as a result of uncertainty as to whether such amounts would need to be returned.</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As of October 31, 2021, the Company had substantially completed all performance obligations related to the land sale transactions that closed during the respective years then ended.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October 31, 2022 and 2021, the Company had no deposits related to future lot sale transactions.</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During the year ended October 31, 2020, the Company expensed $316,000 related to abandoned project costs which were incurred related to a potential apartment development within the Project which was no longer being pursued. There were no similar charges for the years ended October 31, 2022 or 2021.</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Accounts Payable and Accrued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Accounts payable and accrued liabilities includes the following as of October 31, 2022 and 2021:</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7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626"/>
              <w:spacing w:after="0"/>
              <w:rPr>
                <w:sz w:val="20"/>
                <w:szCs w:val="20"/>
                <w:color w:val="auto"/>
              </w:rPr>
            </w:pPr>
            <w:r>
              <w:rPr>
                <w:rFonts w:ascii="Times New Roman" w:cs="Times New Roman" w:eastAsia="Times New Roman" w:hAnsi="Times New Roman"/>
                <w:sz w:val="19"/>
                <w:szCs w:val="19"/>
                <w:b w:val="1"/>
                <w:bCs w:val="1"/>
                <w:color w:val="auto"/>
              </w:rPr>
              <w:t>2022</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26"/>
              <w:spacing w:after="0"/>
              <w:rPr>
                <w:sz w:val="20"/>
                <w:szCs w:val="20"/>
                <w:color w:val="auto"/>
              </w:rPr>
            </w:pPr>
            <w:r>
              <w:rPr>
                <w:rFonts w:ascii="Times New Roman" w:cs="Times New Roman" w:eastAsia="Times New Roman" w:hAnsi="Times New Roman"/>
                <w:sz w:val="19"/>
                <w:szCs w:val="19"/>
                <w:b w:val="1"/>
                <w:bCs w:val="1"/>
                <w:color w:val="auto"/>
              </w:rPr>
              <w:t>2021</w:t>
            </w:r>
          </w:p>
        </w:tc>
        <w:tc>
          <w:tcPr>
            <w:tcW w:w="0" w:type="dxa"/>
            <w:vAlign w:val="bottom"/>
          </w:tcPr>
          <w:p>
            <w:pPr>
              <w:spacing w:after="0"/>
              <w:rPr>
                <w:sz w:val="1"/>
                <w:szCs w:val="1"/>
                <w:color w:val="auto"/>
              </w:rPr>
            </w:pPr>
          </w:p>
        </w:tc>
      </w:tr>
      <w:tr>
        <w:trPr>
          <w:trHeight w:val="34"/>
        </w:trPr>
        <w:tc>
          <w:tcPr>
            <w:tcW w:w="73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Trade accounts payable</w:t>
            </w: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340" w:type="dxa"/>
            <w:vAlign w:val="bottom"/>
            <w:vMerge w:val="continue"/>
          </w:tcPr>
          <w:p>
            <w:pPr>
              <w:spacing w:after="0"/>
              <w:rPr>
                <w:sz w:val="21"/>
                <w:szCs w:val="21"/>
                <w:color w:val="auto"/>
              </w:rPr>
            </w:pPr>
          </w:p>
        </w:tc>
        <w:tc>
          <w:tcPr>
            <w:tcW w:w="40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w w:val="8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319,000</w:t>
            </w:r>
          </w:p>
        </w:tc>
        <w:tc>
          <w:tcPr>
            <w:tcW w:w="260" w:type="dxa"/>
            <w:vAlign w:val="bottom"/>
          </w:tcPr>
          <w:p>
            <w:pPr>
              <w:spacing w:after="0"/>
              <w:rPr>
                <w:sz w:val="21"/>
                <w:szCs w:val="21"/>
                <w:color w:val="auto"/>
              </w:rPr>
            </w:pPr>
          </w:p>
        </w:tc>
        <w:tc>
          <w:tcPr>
            <w:tcW w:w="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113,000</w:t>
            </w:r>
          </w:p>
        </w:tc>
        <w:tc>
          <w:tcPr>
            <w:tcW w:w="0" w:type="dxa"/>
            <w:vAlign w:val="bottom"/>
          </w:tcPr>
          <w:p>
            <w:pPr>
              <w:spacing w:after="0"/>
              <w:rPr>
                <w:sz w:val="1"/>
                <w:szCs w:val="1"/>
                <w:color w:val="auto"/>
              </w:rPr>
            </w:pPr>
          </w:p>
        </w:tc>
      </w:tr>
      <w:tr>
        <w:trPr>
          <w:trHeight w:val="284"/>
        </w:trPr>
        <w:tc>
          <w:tcPr>
            <w:tcW w:w="7340" w:type="dxa"/>
            <w:vAlign w:val="bottom"/>
          </w:tcPr>
          <w:p>
            <w:pPr>
              <w:spacing w:after="0"/>
              <w:rPr>
                <w:sz w:val="20"/>
                <w:szCs w:val="20"/>
                <w:color w:val="auto"/>
              </w:rPr>
            </w:pPr>
            <w:r>
              <w:rPr>
                <w:rFonts w:ascii="Times New Roman" w:cs="Times New Roman" w:eastAsia="Times New Roman" w:hAnsi="Times New Roman"/>
                <w:sz w:val="19"/>
                <w:szCs w:val="19"/>
                <w:color w:val="auto"/>
              </w:rPr>
              <w:t>Retentions payable</w:t>
            </w: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1,900,000</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2,096,000</w:t>
            </w:r>
          </w:p>
        </w:tc>
        <w:tc>
          <w:tcPr>
            <w:tcW w:w="0" w:type="dxa"/>
            <w:vAlign w:val="bottom"/>
          </w:tcPr>
          <w:p>
            <w:pPr>
              <w:spacing w:after="0"/>
              <w:rPr>
                <w:sz w:val="1"/>
                <w:szCs w:val="1"/>
                <w:color w:val="auto"/>
              </w:rPr>
            </w:pPr>
          </w:p>
        </w:tc>
      </w:tr>
      <w:tr>
        <w:trPr>
          <w:trHeight w:val="284"/>
        </w:trPr>
        <w:tc>
          <w:tcPr>
            <w:tcW w:w="7340" w:type="dxa"/>
            <w:vAlign w:val="bottom"/>
          </w:tcPr>
          <w:p>
            <w:pPr>
              <w:spacing w:after="0"/>
              <w:rPr>
                <w:sz w:val="20"/>
                <w:szCs w:val="20"/>
                <w:color w:val="auto"/>
              </w:rPr>
            </w:pPr>
            <w:r>
              <w:rPr>
                <w:rFonts w:ascii="Times New Roman" w:cs="Times New Roman" w:eastAsia="Times New Roman" w:hAnsi="Times New Roman"/>
                <w:sz w:val="19"/>
                <w:szCs w:val="19"/>
                <w:color w:val="auto"/>
              </w:rPr>
              <w:t>Accrued liabilities</w:t>
            </w: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3,665,000</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2,448,000</w:t>
            </w:r>
          </w:p>
        </w:tc>
        <w:tc>
          <w:tcPr>
            <w:tcW w:w="0" w:type="dxa"/>
            <w:vAlign w:val="bottom"/>
          </w:tcPr>
          <w:p>
            <w:pPr>
              <w:spacing w:after="0"/>
              <w:rPr>
                <w:sz w:val="1"/>
                <w:szCs w:val="1"/>
                <w:color w:val="auto"/>
              </w:rPr>
            </w:pPr>
          </w:p>
        </w:tc>
      </w:tr>
      <w:tr>
        <w:trPr>
          <w:trHeight w:val="34"/>
        </w:trPr>
        <w:tc>
          <w:tcPr>
            <w:tcW w:w="7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7340" w:type="dxa"/>
            <w:vAlign w:val="bottom"/>
          </w:tcPr>
          <w:p>
            <w:pPr>
              <w:spacing w:after="0"/>
              <w:rPr>
                <w:sz w:val="24"/>
                <w:szCs w:val="24"/>
                <w:color w:val="auto"/>
              </w:rPr>
            </w:pPr>
          </w:p>
        </w:tc>
        <w:tc>
          <w:tcPr>
            <w:tcW w:w="40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w w:val="8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5,884,000</w:t>
            </w:r>
          </w:p>
        </w:tc>
        <w:tc>
          <w:tcPr>
            <w:tcW w:w="260" w:type="dxa"/>
            <w:vAlign w:val="bottom"/>
          </w:tcPr>
          <w:p>
            <w:pPr>
              <w:spacing w:after="0"/>
              <w:rPr>
                <w:sz w:val="24"/>
                <w:szCs w:val="24"/>
                <w:color w:val="auto"/>
              </w:rPr>
            </w:pPr>
          </w:p>
        </w:tc>
        <w:tc>
          <w:tcPr>
            <w:tcW w:w="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4,657,000</w:t>
            </w:r>
          </w:p>
        </w:tc>
        <w:tc>
          <w:tcPr>
            <w:tcW w:w="0" w:type="dxa"/>
            <w:vAlign w:val="bottom"/>
          </w:tcPr>
          <w:p>
            <w:pPr>
              <w:spacing w:after="0"/>
              <w:rPr>
                <w:sz w:val="1"/>
                <w:szCs w:val="1"/>
                <w:color w:val="auto"/>
              </w:rPr>
            </w:pPr>
          </w:p>
        </w:tc>
      </w:tr>
      <w:tr>
        <w:trPr>
          <w:trHeight w:val="34"/>
        </w:trPr>
        <w:tc>
          <w:tcPr>
            <w:tcW w:w="7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12"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Line of Credit</w:t>
      </w:r>
    </w:p>
    <w:p>
      <w:pPr>
        <w:spacing w:after="0" w:line="2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February 2018, the Company entered into an unsecured revolving line of credit facility with a third-party lender to provide development financing for the Project. The line of credit, as modified and extended, has a maximum borrowing amount of $45,000,000 and matures February 22, 2023. The line of credit bears interest, payable monthly, at an annual rate of one-month LIBOR plus 2.85% (6.61% at October 31, 2022) plus an unused commitment fee of 0.20% per year, payable quarterly. The line of credit has a one-year extension option through February 22, 2024 subject to terms and conditions as defined in the agreement, with the maximum borrowing amount reduced to $35,000,000 during the extension period. The Company intends to exercise its extension option on the line of credit.</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As of October 31, 2022 and 2021, the Company had outstanding borrowings of $4,500,000 and $0 under the line of credit, respectively. Unamortized loan costs totaling $66,000 as of October 31, 2021 were classified as other assets as the line of credit had no outstanding borrowings as of that date. Loan costs amortized as interest costs during the years ended October 31, 2022 and 2021 totaled $66,000 and $159,000, respectively, all of which were capitalized to the Project. During the years ended October 31, 2022, 2021 and 2020, the Company recorded interest and unused commitment fees on the line of credit of $164,000, $398,000 and $1,736,000, respectively, all of which were capitalized to the Project.</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line of credit is guaranteed by Limoneira and certain owners of Lewis. The loan also requires compliance with certain financial covenants, including liquid asset and tangible net worth requirements of the guarantors, all of which were in compliance as of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12"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Fair Value Disclosures</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9"/>
          <w:szCs w:val="19"/>
          <w:color w:val="auto"/>
        </w:rPr>
        <w:t xml:space="preserve">ASC Topic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19"/>
          <w:szCs w:val="19"/>
          <w:color w:val="auto"/>
        </w:rPr>
        <w:t xml:space="preserve"> provides a framework for measuring fair value and has established a fair value hierarchy which prioritizes the inputs used in measuring fair value. The hierarchy is summarized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Level 1 – Fair value determined based on quoted prices in active markets for identical assets.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Level 2 – Fair value determined using significant observable inputs, such as those principally derived from or corroborated by observable market data, by correlation or other means.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Level 3 – Fair value determined using significant unobservable inputs, such as pricing models, discounted cash flows, or similar techniques.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GAAP requires the measurement of certain financial instruments at fair value on a recurring basis, and certain other financial and non-financial assets at fair value on a nonrecurring basis. Additionally, GAAP requires fair value disclosures for certain assets and liabilities.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There were no recurring or nonrecurring fair value measurements made in the periods presented in the accompanying financial statements through October 31, 2022. The following table presents the carrying amounts and estimated fair values of the Company’s financial liabilities as of October 31, 2022 and 2021:</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20" w:type="dxa"/>
            <w:vAlign w:val="bottom"/>
            <w:gridSpan w:val="5"/>
          </w:tcPr>
          <w:p>
            <w:pPr>
              <w:ind w:left="860"/>
              <w:spacing w:after="0"/>
              <w:rPr>
                <w:sz w:val="20"/>
                <w:szCs w:val="20"/>
                <w:color w:val="auto"/>
              </w:rPr>
            </w:pPr>
            <w:r>
              <w:rPr>
                <w:rFonts w:ascii="Times New Roman" w:cs="Times New Roman" w:eastAsia="Times New Roman" w:hAnsi="Times New Roman"/>
                <w:sz w:val="17"/>
                <w:szCs w:val="17"/>
                <w:b w:val="1"/>
                <w:bCs w:val="1"/>
                <w:color w:val="auto"/>
              </w:rPr>
              <w:t>October 31, 2022</w:t>
            </w:r>
          </w:p>
        </w:tc>
        <w:tc>
          <w:tcPr>
            <w:tcW w:w="300" w:type="dxa"/>
            <w:vAlign w:val="bottom"/>
          </w:tcPr>
          <w:p>
            <w:pPr>
              <w:spacing w:after="0"/>
              <w:rPr>
                <w:sz w:val="19"/>
                <w:szCs w:val="19"/>
                <w:color w:val="auto"/>
              </w:rPr>
            </w:pPr>
          </w:p>
        </w:tc>
        <w:tc>
          <w:tcPr>
            <w:tcW w:w="3280" w:type="dxa"/>
            <w:vAlign w:val="bottom"/>
            <w:gridSpan w:val="4"/>
          </w:tcPr>
          <w:p>
            <w:pPr>
              <w:ind w:left="880"/>
              <w:spacing w:after="0"/>
              <w:rPr>
                <w:sz w:val="20"/>
                <w:szCs w:val="20"/>
                <w:color w:val="auto"/>
              </w:rPr>
            </w:pPr>
            <w:r>
              <w:rPr>
                <w:rFonts w:ascii="Times New Roman" w:cs="Times New Roman" w:eastAsia="Times New Roman" w:hAnsi="Times New Roman"/>
                <w:sz w:val="17"/>
                <w:szCs w:val="17"/>
                <w:b w:val="1"/>
                <w:bCs w:val="1"/>
                <w:color w:val="auto"/>
              </w:rPr>
              <w:t>October 31, 2021</w:t>
            </w: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60" w:type="dxa"/>
            <w:vAlign w:val="bottom"/>
          </w:tcPr>
          <w:p>
            <w:pPr>
              <w:spacing w:after="0"/>
              <w:rPr>
                <w:sz w:val="21"/>
                <w:szCs w:val="21"/>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00" w:type="dxa"/>
            <w:vAlign w:val="bottom"/>
          </w:tcPr>
          <w:p>
            <w:pPr>
              <w:spacing w:after="0"/>
              <w:rPr>
                <w:sz w:val="21"/>
                <w:szCs w:val="21"/>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80" w:type="dxa"/>
            <w:vAlign w:val="bottom"/>
          </w:tcPr>
          <w:p>
            <w:pPr>
              <w:spacing w:after="0"/>
              <w:rPr>
                <w:sz w:val="21"/>
                <w:szCs w:val="21"/>
                <w:color w:val="auto"/>
              </w:rPr>
            </w:pP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5"/>
        </w:trPr>
        <w:tc>
          <w:tcPr>
            <w:tcW w:w="3820" w:type="dxa"/>
            <w:vAlign w:val="bottom"/>
            <w:vMerge w:val="restart"/>
          </w:tcPr>
          <w:p>
            <w:pPr>
              <w:jc w:val="center"/>
              <w:ind w:right="2374"/>
              <w:spacing w:after="0"/>
              <w:rPr>
                <w:sz w:val="20"/>
                <w:szCs w:val="20"/>
                <w:color w:val="auto"/>
              </w:rPr>
            </w:pPr>
            <w:r>
              <w:rPr>
                <w:rFonts w:ascii="Times New Roman" w:cs="Times New Roman" w:eastAsia="Times New Roman" w:hAnsi="Times New Roman"/>
                <w:sz w:val="17"/>
                <w:szCs w:val="17"/>
                <w:color w:val="auto"/>
              </w:rPr>
              <w:t>Financial liabilities:</w:t>
            </w: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820" w:type="dxa"/>
            <w:vAlign w:val="bottom"/>
          </w:tcPr>
          <w:p>
            <w:pPr>
              <w:jc w:val="center"/>
              <w:ind w:right="2354"/>
              <w:spacing w:after="0"/>
              <w:rPr>
                <w:sz w:val="20"/>
                <w:szCs w:val="20"/>
                <w:color w:val="auto"/>
              </w:rPr>
            </w:pPr>
            <w:r>
              <w:rPr>
                <w:rFonts w:ascii="Times New Roman" w:cs="Times New Roman" w:eastAsia="Times New Roman" w:hAnsi="Times New Roman"/>
                <w:sz w:val="17"/>
                <w:szCs w:val="17"/>
                <w:color w:val="auto"/>
              </w:rPr>
              <w:t>Line of credit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4,500,000</w:t>
            </w:r>
          </w:p>
        </w:tc>
        <w:tc>
          <w:tcPr>
            <w:tcW w:w="26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4,500,000</w:t>
            </w:r>
          </w:p>
        </w:tc>
        <w:tc>
          <w:tcPr>
            <w:tcW w:w="260" w:type="dxa"/>
            <w:vAlign w:val="bottom"/>
          </w:tcPr>
          <w:p>
            <w:pPr>
              <w:spacing w:after="0"/>
              <w:rPr>
                <w:sz w:val="22"/>
                <w:szCs w:val="22"/>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fair value of the Company’s line of credit was estimated using a discounted cash flow analysis based on management’s estimates of current market interest rates for instruments with similar characteristics including remaining loan term and other credit enhancements. The Company classifies these inputs as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12"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40" w:firstLine="3"/>
        <w:spacing w:after="0" w:line="525" w:lineRule="auto"/>
        <w:tabs>
          <w:tab w:leader="none" w:pos="30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Cost Reimbursements to Members</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Company reimburses for approved costs and expenses incurred by the Manager and Limoneira, or their affiliates, on behalf of the Company, including for employees providing services in conjunction with development activities for the Project. For the years ended October 31, 2022, 2021 and 2020, $1,925,000, $1,597,000 and $1,533,000, respectively, of such costs were incurred by the Members on behalf of the Company, all of which were capitalized to the Project. During the years ended October 31, 2022, 2021 and 2020, certain additional reimbursable employee costs of $89,000, $119,000, and $71,000, respectively, were incurred by the Company for employees of the Manager providing services for the Project which were recorded as sales and marketing expenses. As of October 31, 2022 and 2021, $147,000 and $51,000, respectively, of such cost reimbursements remained payable by the Company to the Members, which are included in due to affiliates on the accompanying balance sheets.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During the years ended October 31, 2022, 2021 and 2020, the Company received $14,108,000, $3,199,000 and $15,042,000, respectively, in total CFD reimbursement proceeds (Note 8). Of the amount received during the year ended October 31, 2020, $320,000 was remitted to Limoneira related to proceeds pertaining to adjacent land owned by Limoneira, which was accounted for as a reduction in CFD reimbursements due to and received by the Company.</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Additionally, during the year ended October 31, 2020, the Company reimbursed an affiliate of the Manager $1,272,000 for pre-development costs incurred by such affiliate on behalf of the Company. There were no similar affiliated reimbursements during the year ended October 31, 2022 or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Retained Land and Infrastructure Cost Reimbursements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conjunction with Limoneira’s initial contribution of land to the Company, certain additional land (referred to as the “Retained Land”) was legally conveyed to the Company for which Limoneira retained beneficial ownership. The land was transferred back to Limoneira in August 2018 for no consideration upon recording of a revised tract map that subdivided the Retained Property as a legal parcel.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12"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Related Party Transactions (continued)</w:t>
      </w:r>
    </w:p>
    <w:p>
      <w:pPr>
        <w:spacing w:after="0" w:line="2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Limoneira has agreed to reimburse the Company for certain allocated infrastructure costs incurred by the Company which benefit the Retained Property and certain adjacent real property owned by Limoneira commonly referred to as East Area 2, as defined in the Retained Property Development Agreement between the Company and Limoneira. As of October 31, 2022, estimated such reimbursements from Limoneira totaled $3,378,000 which is classified as due from affiliates on the accompanying balance sheet and is net of related future CFD proceeds attributable to Limoneira.</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On September 28, 2022, affiliates of Lewis and Limoneira formed a new joint venture (“LLCB II”) to acquire the Retained Property from Limoneira for the intended purpose of pursuing entitlements and developing multifamily residential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Leasing Transactions with Related Parties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has agreed to lease two offices from Limoneira in two office buildings in Santa Paula, California. The leases are month-to-month leases at a rate of $472 and $1,350 per month and may be terminated by either party with 30 days’ notice.</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color w:val="auto"/>
        </w:rPr>
        <w:t>The Company has agreed to lease property from Limoneira in Santa Paula, California. The lease is a ten-year lease at a rate of $250 per month. The Company can terminate the lease with 30 days’ notice following the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9"/>
          <w:szCs w:val="19"/>
          <w:color w:val="auto"/>
        </w:rPr>
        <w:t xml:space="preserve"> anniversary of the effective date of the lease.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Commitments and Contingencies</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Company’s commitments and contingencies include the usual litigation and obligations incurred by real estate owners, developers and operators in the normal course of business, none of which, in the opinion of management, are expected to have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12"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4"/>
          <w:szCs w:val="24"/>
          <w:b w:val="1"/>
          <w:bCs w:val="1"/>
          <w:color w:val="auto"/>
        </w:rPr>
        <w:t>LIMONEIRA LEWIS COMMUNITY BUILDERS, LLC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Commitments and Contingencies (continued)</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Although there can be no assurance, the Company is not aware of any material environmental liability that could have a material adverse effect on its financial condition or results of operations. However, identification of contamination affecting the Project, changes in applicable environmental laws and regulations, the uses and conditions of properties in the vicinity of the Project, the activities of entities who may purchase from the Company land within the project and other environmental conditions of which the Company is unaware with respect to the Project could result in future environmental liabilities.</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Limoneira is required to transfer sufficient groundwater production and/or water rights to the City to allow the Company to satisfy the requirements of the Development Agreement and any other groundwater protection and/or water rights required by the City or other governmental agency in connection with existing or future entitlements for the Project.</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Currently, there are no guarantees by any of the Members or their affiliates in place on any of the obligations of the Company, except as related to the line of credit as described in Note 5. The Company is also required to complete development obligations related to the Project pursuant to the Development Agreement as well as pursuant to the terms of contracts with individual homebuilders and other parties.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Company expects to be reimbursed for certain infrastructure costs it incurs related to the Project from the proceeds of bonds to be issued from one or more communities facilities districts (“CFDs”). Through October 31, 2022, the Company had received $32,029,000 in net CFD reimbursements. As of October 31, 2022, there were $34,345,000 in total bonds issued and outstanding by the CFDs associated with the Project. These bond obligations are not recorded as liabilities of the Company as the estimated payments associated with the bonds are not fixed and determinable. Additionally, the Company is not liable to satisfy shortfalls in annual debt service obligations and has not pledged assets or provided other credit enhancements in support of the bond obligations.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Subsequent Events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Company has evaluated events subsequent to October 31, 2022 through December 16, 2022, the date the financial statements were available to be issued, for their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lvl w:ilvl="1">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2"/>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lvl w:ilvl="1">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lvl w:ilvl="1">
      <w:lvlJc w:val="left"/>
      <w:lvlText w:val="◦"/>
      <w:numFmt w:val="bullet"/>
      <w:start w:val="1"/>
    </w:lvl>
  </w:abstractNum>
  <w:abstractNum w:abstractNumId="36">
    <w:nsid w:val="741226BB"/>
    <w:multiLevelType w:val="hybridMultilevel"/>
    <w:lvl w:ilvl="0">
      <w:lvlJc w:val="left"/>
      <w:lvlText w:val="%1."/>
      <w:numFmt w:val="decimal"/>
      <w:start w:val="2"/>
    </w:lvl>
  </w:abstractNum>
  <w:abstractNum w:abstractNumId="37">
    <w:nsid w:val="D34B6A8"/>
    <w:multiLevelType w:val="hybridMultilevel"/>
    <w:lvl w:ilvl="0">
      <w:lvlJc w:val="left"/>
      <w:lvlText w:val="%1."/>
      <w:numFmt w:val="decimal"/>
      <w:start w:val="2"/>
    </w:lvl>
  </w:abstractNum>
  <w:abstractNum w:abstractNumId="38">
    <w:nsid w:val="10233C99"/>
    <w:multiLevelType w:val="hybridMultilevel"/>
    <w:lvl w:ilvl="0">
      <w:lvlJc w:val="left"/>
      <w:lvlText w:val="%1."/>
      <w:numFmt w:val="decimal"/>
      <w:start w:val="2"/>
    </w:lvl>
  </w:abstractNum>
  <w:abstractNum w:abstractNumId="39">
    <w:nsid w:val="3F6AB60F"/>
    <w:multiLevelType w:val="hybridMultilevel"/>
    <w:lvl w:ilvl="0">
      <w:lvlJc w:val="left"/>
      <w:lvlText w:val="%1."/>
      <w:numFmt w:val="decimal"/>
      <w:start w:val="2"/>
    </w:lvl>
  </w:abstractNum>
  <w:abstractNum w:abstractNumId="40">
    <w:nsid w:val="61574095"/>
    <w:multiLevelType w:val="hybridMultilevel"/>
    <w:lvl w:ilvl="0">
      <w:lvlJc w:val="left"/>
      <w:lvlText w:val="%1."/>
      <w:numFmt w:val="decimal"/>
      <w:start w:val="2"/>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1."/>
      <w:numFmt w:val="decimal"/>
      <w:start w:val="2"/>
    </w:lvl>
  </w:abstractNum>
  <w:abstractNum w:abstractNumId="44">
    <w:nsid w:val="310C50B3"/>
    <w:multiLevelType w:val="hybridMultilevel"/>
    <w:lvl w:ilvl="0">
      <w:lvlJc w:val="left"/>
      <w:lvlText w:val="%1)"/>
      <w:numFmt w:val="decimal"/>
      <w:start w:val="20"/>
    </w:lvl>
  </w:abstractNum>
  <w:abstractNum w:abstractNumId="45">
    <w:nsid w:val="5FF87E05"/>
    <w:multiLevelType w:val="hybridMultilevel"/>
    <w:lvl w:ilvl="0">
      <w:lvlJc w:val="left"/>
      <w:lvlText w:val="%1."/>
      <w:numFmt w:val="decimal"/>
      <w:start w:val="5"/>
    </w:lvl>
  </w:abstractNum>
  <w:abstractNum w:abstractNumId="46">
    <w:nsid w:val="2F305DEF"/>
    <w:multiLevelType w:val="hybridMultilevel"/>
    <w:lvl w:ilvl="0">
      <w:lvlJc w:val="left"/>
      <w:lvlText w:val="%1."/>
      <w:numFmt w:val="decimal"/>
      <w:start w:val="6"/>
    </w:lvl>
  </w:abstractNum>
  <w:abstractNum w:abstractNumId="47">
    <w:nsid w:val="25A70BF7"/>
    <w:multiLevelType w:val="hybridMultilevel"/>
    <w:lvl w:ilvl="0">
      <w:lvlJc w:val="left"/>
      <w:lvlText w:val="%1."/>
      <w:numFmt w:val="decimal"/>
      <w:start w:val="6"/>
    </w:lvl>
  </w:abstractNum>
  <w:abstractNum w:abstractNumId="48">
    <w:nsid w:val="1DBABF00"/>
    <w:multiLevelType w:val="hybridMultilevel"/>
    <w:lvl w:ilvl="0">
      <w:lvlJc w:val="left"/>
      <w:lvlText w:val="\emdash "/>
      <w:numFmt w:val="bullet"/>
      <w:start w:val="1"/>
    </w:lvl>
  </w:abstractNum>
  <w:abstractNum w:abstractNumId="49">
    <w:nsid w:val="4AD084E9"/>
    <w:multiLevelType w:val="hybridMultilevel"/>
    <w:lvl w:ilvl="0">
      <w:lvlJc w:val="left"/>
      <w:lvlText w:val="%1"/>
      <w:numFmt w:val="decimal"/>
      <w:start w:val="675"/>
    </w:lvl>
  </w:abstractNum>
  <w:abstractNum w:abstractNumId="50">
    <w:nsid w:val="1F48EAA1"/>
    <w:multiLevelType w:val="hybridMultilevel"/>
    <w:lvl w:ilvl="0">
      <w:lvlJc w:val="left"/>
      <w:lvlText w:val="%1"/>
      <w:numFmt w:val="decimal"/>
      <w:start w:val="233"/>
    </w:lvl>
  </w:abstractNum>
  <w:abstractNum w:abstractNumId="51">
    <w:nsid w:val="1381823A"/>
    <w:multiLevelType w:val="hybridMultilevel"/>
    <w:lvl w:ilvl="0">
      <w:lvlJc w:val="left"/>
      <w:lvlText w:val="%1"/>
      <w:numFmt w:val="decimal"/>
      <w:start w:val="434"/>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9"/>
    </w:lvl>
  </w:abstractNum>
  <w:abstractNum w:abstractNumId="54">
    <w:nsid w:val="6590700B"/>
    <w:multiLevelType w:val="hybridMultilevel"/>
    <w:lvl w:ilvl="0">
      <w:lvlJc w:val="left"/>
      <w:lvlText w:val="(%1)"/>
      <w:numFmt w:val="decimal"/>
      <w:start w:val="12"/>
    </w:lvl>
  </w:abstractNum>
  <w:abstractNum w:abstractNumId="55">
    <w:nsid w:val="15014ACB"/>
    <w:multiLevelType w:val="hybridMultilevel"/>
    <w:lvl w:ilvl="0">
      <w:lvlJc w:val="left"/>
      <w:lvlText w:val="%1."/>
      <w:numFmt w:val="decimal"/>
      <w:start w:val="17"/>
    </w:lvl>
  </w:abstractNum>
  <w:abstractNum w:abstractNumId="56">
    <w:nsid w:val="5F5E7FD0"/>
    <w:multiLevelType w:val="hybridMultilevel"/>
    <w:lvl w:ilvl="0">
      <w:lvlJc w:val="left"/>
      <w:lvlText w:val="%1."/>
      <w:numFmt w:val="decimal"/>
      <w:start w:val="18"/>
    </w:lvl>
  </w:abstractNum>
  <w:abstractNum w:abstractNumId="57">
    <w:nsid w:val="98A3148"/>
    <w:multiLevelType w:val="hybridMultilevel"/>
    <w:lvl w:ilvl="0">
      <w:lvlJc w:val="left"/>
      <w:lvlText w:val="%1."/>
      <w:numFmt w:val="decimal"/>
      <w:start w:val="18"/>
    </w:lvl>
  </w:abstractNum>
  <w:abstractNum w:abstractNumId="58">
    <w:nsid w:val="799D0247"/>
    <w:multiLevelType w:val="hybridMultilevel"/>
    <w:lvl w:ilvl="0">
      <w:lvlJc w:val="left"/>
      <w:lvlText w:val="%1."/>
      <w:numFmt w:val="decimal"/>
      <w:start w:val="18"/>
    </w:lvl>
  </w:abstractNum>
  <w:abstractNum w:abstractNumId="59">
    <w:nsid w:val="6B94764"/>
    <w:multiLevelType w:val="hybridMultilevel"/>
    <w:lvl w:ilvl="0">
      <w:lvlJc w:val="left"/>
      <w:lvlText w:val="%1."/>
      <w:numFmt w:val="decimal"/>
      <w:start w:val="19"/>
    </w:lvl>
  </w:abstractNum>
  <w:abstractNum w:abstractNumId="60">
    <w:nsid w:val="42C296BD"/>
    <w:multiLevelType w:val="hybridMultilevel"/>
    <w:lvl w:ilvl="0">
      <w:lvlJc w:val="left"/>
      <w:lvlText w:val="%1."/>
      <w:numFmt w:val="decimal"/>
      <w:start w:val="19"/>
    </w:lvl>
  </w:abstractNum>
  <w:abstractNum w:abstractNumId="61">
    <w:nsid w:val="168E121F"/>
    <w:multiLevelType w:val="hybridMultilevel"/>
    <w:lvl w:ilvl="0">
      <w:lvlJc w:val="left"/>
      <w:lvlText w:val="(%1)"/>
      <w:numFmt w:val="lowerLetter"/>
      <w:start w:val="2"/>
    </w:lvl>
  </w:abstractNum>
  <w:abstractNum w:abstractNumId="62">
    <w:nsid w:val="1EBA5D23"/>
    <w:multiLevelType w:val="hybridMultilevel"/>
    <w:lvl w:ilvl="0">
      <w:lvlJc w:val="left"/>
      <w:lvlText w:val="%1)"/>
      <w:numFmt w:val="decimal"/>
      <w:start w:val="210"/>
    </w:lvl>
  </w:abstractNum>
  <w:abstractNum w:abstractNumId="63">
    <w:nsid w:val="661E3F1E"/>
    <w:multiLevelType w:val="hybridMultilevel"/>
    <w:lvl w:ilvl="0">
      <w:lvlJc w:val="left"/>
      <w:lvlText w:val="%1"/>
      <w:numFmt w:val="decimal"/>
      <w:start w:val="104"/>
    </w:lvl>
    <w:lvl w:ilvl="1">
      <w:lvlJc w:val="left"/>
      <w:lvlText w:val="*"/>
      <w:numFmt w:val="bullet"/>
      <w:start w:val="1"/>
    </w:lvl>
  </w:abstractNum>
  <w:abstractNum w:abstractNumId="64">
    <w:nsid w:val="5DC79EA8"/>
    <w:multiLevelType w:val="hybridMultilevel"/>
    <w:lvl w:ilvl="0">
      <w:lvlJc w:val="left"/>
      <w:lvlText w:val="(%1)"/>
      <w:numFmt w:val="lowerLetter"/>
      <w:start w:val="2"/>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1"/>
    </w:lvl>
    <w:lvl w:ilvl="1">
      <w:lvlJc w:val="left"/>
      <w:lvlText w:val="(%2)"/>
      <w:numFmt w:val="lowerLetter"/>
      <w:start w:val="1"/>
    </w:lvl>
  </w:abstractNum>
  <w:abstractNum w:abstractNumId="67">
    <w:nsid w:val="51D9C564"/>
    <w:multiLevelType w:val="hybridMultilevel"/>
    <w:lvl w:ilvl="0">
      <w:lvlJc w:val="left"/>
      <w:lvlText w:val="%1."/>
      <w:numFmt w:val="decimal"/>
      <w:start w:val="1"/>
    </w:lvl>
    <w:lvl w:ilvl="1">
      <w:lvlJc w:val="left"/>
      <w:lvlText w:val="(%2)"/>
      <w:numFmt w:val="lowerLetter"/>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2"/>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2"/>
    </w:lvl>
  </w:abstractNum>
  <w:abstractNum w:abstractNumId="80">
    <w:nsid w:val="14330624"/>
    <w:multiLevelType w:val="hybridMultilevel"/>
    <w:lvl w:ilvl="0">
      <w:lvlJc w:val="left"/>
      <w:lvlText w:val="%1."/>
      <w:numFmt w:val="decimal"/>
      <w:start w:val="2"/>
    </w:lvl>
  </w:abstractNum>
  <w:abstractNum w:abstractNumId="81">
    <w:nsid w:val="7FFFCA11"/>
    <w:multiLevelType w:val="hybridMultilevel"/>
    <w:lvl w:ilvl="0">
      <w:lvlJc w:val="left"/>
      <w:lvlText w:val="%1."/>
      <w:numFmt w:val="decimal"/>
      <w:start w:val="2"/>
    </w:lvl>
  </w:abstractNum>
  <w:abstractNum w:abstractNumId="82">
    <w:nsid w:val="1A27709E"/>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6" Type="http://schemas.openxmlformats.org/officeDocument/2006/relationships/image" Target="media/image106.png"/><Relationship Id="rId139" Type="http://schemas.openxmlformats.org/officeDocument/2006/relationships/image" Target="media/image107.png"/><Relationship Id="rId153"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83" Type="http://schemas.openxmlformats.org/officeDocument/2006/relationships/image" Target="media/image111.png"/><Relationship Id="rId186" Type="http://schemas.openxmlformats.org/officeDocument/2006/relationships/image" Target="media/image112.png"/><Relationship Id="rId187" Type="http://schemas.openxmlformats.org/officeDocument/2006/relationships/image" Target="media/image113.png"/><Relationship Id="rId188" Type="http://schemas.openxmlformats.org/officeDocument/2006/relationships/image" Target="media/image114.png"/><Relationship Id="rId189" Type="http://schemas.openxmlformats.org/officeDocument/2006/relationships/image" Target="media/image115.png"/><Relationship Id="rId190" Type="http://schemas.openxmlformats.org/officeDocument/2006/relationships/image" Target="media/image116.png"/><Relationship Id="rId191" Type="http://schemas.openxmlformats.org/officeDocument/2006/relationships/image" Target="media/image117.png"/><Relationship Id="rId192" Type="http://schemas.openxmlformats.org/officeDocument/2006/relationships/image" Target="media/image118.png"/><Relationship Id="rId193" Type="http://schemas.openxmlformats.org/officeDocument/2006/relationships/image" Target="media/image119.png"/><Relationship Id="rId194" Type="http://schemas.openxmlformats.org/officeDocument/2006/relationships/image" Target="media/image120.png"/><Relationship Id="rId195" Type="http://schemas.openxmlformats.org/officeDocument/2006/relationships/image" Target="media/image121.png"/><Relationship Id="rId196" Type="http://schemas.openxmlformats.org/officeDocument/2006/relationships/image" Target="media/image122.png"/><Relationship Id="rId197" Type="http://schemas.openxmlformats.org/officeDocument/2006/relationships/image" Target="media/image123.png"/><Relationship Id="rId198" Type="http://schemas.openxmlformats.org/officeDocument/2006/relationships/image" Target="media/image124.png"/><Relationship Id="rId199" Type="http://schemas.openxmlformats.org/officeDocument/2006/relationships/image" Target="media/image125.png"/><Relationship Id="rId200" Type="http://schemas.openxmlformats.org/officeDocument/2006/relationships/image" Target="media/image126.png"/><Relationship Id="rId201" Type="http://schemas.openxmlformats.org/officeDocument/2006/relationships/image" Target="media/image127.png"/><Relationship Id="rId113" Type="http://schemas.openxmlformats.org/officeDocument/2006/relationships/hyperlink" Target="http://www.sec.gov/Archives/edgar/data/1342423/000114420410007241/v173157_ex3-2.htm" TargetMode="External"/><Relationship Id="rId114" Type="http://schemas.openxmlformats.org/officeDocument/2006/relationships/hyperlink" Target="http://www.sec.gov/Archives/edgar/data/1342423/000114420410007241/v173157_ex3-3.htm" TargetMode="External"/><Relationship Id="rId115" Type="http://schemas.openxmlformats.org/officeDocument/2006/relationships/hyperlink" Target="http://www.sec.gov/Archives/edgar/data/1342423/000114420410007241/v173157_ex3-6.htm" TargetMode="External"/><Relationship Id="rId116" Type="http://schemas.openxmlformats.org/officeDocument/2006/relationships/hyperlink" Target="http://www.sec.gov/Archives/edgar/data/1342423/000114420410007241/v173157_ex3-1.htm" TargetMode="External"/><Relationship Id="rId117" Type="http://schemas.openxmlformats.org/officeDocument/2006/relationships/hyperlink" Target="http://www.sec.gov/Archives/edgar/data/1342423/000114420410007241/v173157_ex3-7.htm" TargetMode="External"/><Relationship Id="rId118" Type="http://schemas.openxmlformats.org/officeDocument/2006/relationships/hyperlink" Target="http://www.sec.gov/Archives/edgar/data/1342423/000114420410017415/v178900_ex3-9.htm" TargetMode="External"/><Relationship Id="rId119" Type="http://schemas.openxmlformats.org/officeDocument/2006/relationships/hyperlink" Target="http://www.sec.gov/Archives/edgar/data/1342423/000114420417018212/v463210_ex3-1.htm" TargetMode="External"/><Relationship Id="rId120" Type="http://schemas.openxmlformats.org/officeDocument/2006/relationships/hyperlink" Target="http://www.sec.gov/Archives/edgar/data/1342423/000110465921130485/tm2131208d1_ex3-1.htm" TargetMode="External"/><Relationship Id="rId121" Type="http://schemas.openxmlformats.org/officeDocument/2006/relationships/hyperlink" Target="http://www.sec.gov/Archives/edgar/data/1342423/000114420410007241/v173157_ex4-1.htm" TargetMode="External"/><Relationship Id="rId122" Type="http://schemas.openxmlformats.org/officeDocument/2006/relationships/hyperlink" Target="http://www.sec.gov/Archives/edgar/data/1342423/000114420410007241/v173157_ex4-2.htm" TargetMode="External"/><Relationship Id="rId123" Type="http://schemas.openxmlformats.org/officeDocument/2006/relationships/hyperlink" Target="http://www.sec.gov/Archives/edgar/data/1342423/000114420410007241/v173157_ex3-8.htm" TargetMode="External"/><Relationship Id="rId124" Type="http://schemas.openxmlformats.org/officeDocument/2006/relationships/hyperlink" Target="http://www.sec.gov/Archives/edgar/data/1342423/000114420410007241/v173157_ex3-4.htm" TargetMode="External"/><Relationship Id="rId125" Type="http://schemas.openxmlformats.org/officeDocument/2006/relationships/hyperlink" Target="http://www.sec.gov/Archives/edgar/data/1342423/000114420410007241/v173157_ex3-5.htm" TargetMode="External"/><Relationship Id="rId127" Type="http://schemas.openxmlformats.org/officeDocument/2006/relationships/hyperlink" Target="http://www.sec.gov/Archives/edgar/data/1342423/000114420414017379/v372494_ex3-1.htm" TargetMode="External"/><Relationship Id="rId128" Type="http://schemas.openxmlformats.org/officeDocument/2006/relationships/hyperlink" Target="http://www.sec.gov/Archives/edgar/data/1342423/000114420410046536/v195082_ex10-1.htm" TargetMode="External"/><Relationship Id="rId129" Type="http://schemas.openxmlformats.org/officeDocument/2006/relationships/hyperlink" Target="http://www.sec.gov/Archives/edgar/data/1342423/000114420410046536/v195082_ex10-2.htm" TargetMode="External"/><Relationship Id="rId130" Type="http://schemas.openxmlformats.org/officeDocument/2006/relationships/hyperlink" Target="http://www.sec.gov/Archives/edgar/data/1342423/000114420410007241/v173157_ex10-6.htm" TargetMode="External"/><Relationship Id="rId131" Type="http://schemas.openxmlformats.org/officeDocument/2006/relationships/hyperlink" Target="http://www.sec.gov/Archives/edgar/data/1342423/000114420410017415/v178900_ex10-9.htm" TargetMode="External"/><Relationship Id="rId132" Type="http://schemas.openxmlformats.org/officeDocument/2006/relationships/hyperlink" Target="http://www.sec.gov/Archives/edgar/data/1342423/000114420410007241/v173157_ex10-10.htm" TargetMode="External"/><Relationship Id="rId133" Type="http://schemas.openxmlformats.org/officeDocument/2006/relationships/hyperlink" Target="http://www.sec.gov/Archives/edgar/data/1342423/000114420410007241/v173157_ex10-12.htm" TargetMode="External"/><Relationship Id="rId134" Type="http://schemas.openxmlformats.org/officeDocument/2006/relationships/hyperlink" Target="http://www.sec.gov/Archives/edgar/data/1342423/000114420412025512/v311570_ex10-2.htm" TargetMode="External"/><Relationship Id="rId135" Type="http://schemas.openxmlformats.org/officeDocument/2006/relationships/hyperlink" Target="http://www.sec.gov/Archives/edgar/data/1342423/000114420412025512/v311570_ex10-1.htm" TargetMode="External"/><Relationship Id="rId136" Type="http://schemas.openxmlformats.org/officeDocument/2006/relationships/hyperlink" Target="http://www.sec.gov/Archives/edgar/data/1342423/000114420410017415/v178900_ex10-20.htm" TargetMode="External"/><Relationship Id="rId137" Type="http://schemas.openxmlformats.org/officeDocument/2006/relationships/hyperlink" Target="http://www.sec.gov/Archives/edgar/data/1342423/000114420410017415/v178900_ex10-24.htm" TargetMode="External"/><Relationship Id="rId138" Type="http://schemas.openxmlformats.org/officeDocument/2006/relationships/hyperlink" Target="http://www.sec.gov/Archives/edgar/data/1342423/000114420413034094/v345646_ex10-1.htm" TargetMode="External"/><Relationship Id="rId140" Type="http://schemas.openxmlformats.org/officeDocument/2006/relationships/hyperlink" Target="http://www.sec.gov/Archives/edgar/data/1342423/000114420413021619/v341341_ex10-1.htm" TargetMode="External"/><Relationship Id="rId141" Type="http://schemas.openxmlformats.org/officeDocument/2006/relationships/hyperlink" Target="http://www.sec.gov/Archives/edgar/data/1342423/000114420413037714/v349189_ex10-1.htm" TargetMode="External"/><Relationship Id="rId142" Type="http://schemas.openxmlformats.org/officeDocument/2006/relationships/hyperlink" Target="http://www.sec.gov/Archives/edgar/data/1342423/000114420415014822/v402486_ex10-1.htm" TargetMode="External"/><Relationship Id="rId143" Type="http://schemas.openxmlformats.org/officeDocument/2006/relationships/hyperlink" Target="http://www.sec.gov/Archives/edgar/data/1342423/000114420413050340/v354907_ex10-1.htm" TargetMode="External"/><Relationship Id="rId144" Type="http://schemas.openxmlformats.org/officeDocument/2006/relationships/hyperlink" Target="http://www.sec.gov/Archives/edgar/data/1342423/000114420413055079/v357305_10-1.htm" TargetMode="External"/><Relationship Id="rId145" Type="http://schemas.openxmlformats.org/officeDocument/2006/relationships/hyperlink" Target="http://www.sec.gov/Archives/edgar/data/1342423/000114420413065567/v362135_ex10-1.htm" TargetMode="External"/><Relationship Id="rId146" Type="http://schemas.openxmlformats.org/officeDocument/2006/relationships/hyperlink" Target="http://www.sec.gov/Archives/edgar/data/1342423/000114420413065567/v362135_ex10-2.htm" TargetMode="External"/><Relationship Id="rId147" Type="http://schemas.openxmlformats.org/officeDocument/2006/relationships/hyperlink" Target="http://www.sec.gov/Archives/edgar/data/1342423/000114420413065567/v362135_ex10-3.htm" TargetMode="External"/><Relationship Id="rId148" Type="http://schemas.openxmlformats.org/officeDocument/2006/relationships/hyperlink" Target="http://www.sec.gov/Archives/edgar/data/1342423/000114420414017379/v372494_ex10-1.htm" TargetMode="External"/><Relationship Id="rId149" Type="http://schemas.openxmlformats.org/officeDocument/2006/relationships/hyperlink" Target="http://www.sec.gov/Archives/edgar/data/1342423/000114420415054410/v420019_ex10-1.htm" TargetMode="External"/><Relationship Id="rId150" Type="http://schemas.openxmlformats.org/officeDocument/2006/relationships/hyperlink" Target="http://www.sec.gov/Archives/edgar/data/1342423/000114420415065962/v424649_ex10-1.htm" TargetMode="External"/><Relationship Id="rId151" Type="http://schemas.openxmlformats.org/officeDocument/2006/relationships/hyperlink" Target="http://www.sec.gov/Archives/edgar/data/1342423/000114420415072332/v427639_ex10-1.htm" TargetMode="External"/><Relationship Id="rId152" Type="http://schemas.openxmlformats.org/officeDocument/2006/relationships/hyperlink" Target="http://www.sec.gov/Archives/edgar/data/1342423/000114420416087197/v433073_ex10-1.htm" TargetMode="External"/><Relationship Id="rId154" Type="http://schemas.openxmlformats.org/officeDocument/2006/relationships/hyperlink" Target="http://www.sec.gov/Archives/edgar/data/1342423/000114420416087197/v433073_ex10-2.htm" TargetMode="External"/><Relationship Id="rId155" Type="http://schemas.openxmlformats.org/officeDocument/2006/relationships/hyperlink" Target="http://www.sec.gov/Archives/edgar/data/1342423/000114420416083273/v432223_ex10-1.htm" TargetMode="External"/><Relationship Id="rId156" Type="http://schemas.openxmlformats.org/officeDocument/2006/relationships/hyperlink" Target="http://www.sec.gov/Archives/edgar/data/1342423/000114420415065962/v424649_ex10-3.htm" TargetMode="External"/><Relationship Id="rId157" Type="http://schemas.openxmlformats.org/officeDocument/2006/relationships/hyperlink" Target="http://www.sec.gov/Archives/edgar/data/1342423/000114420417033455/v469385_ex10-1.htm" TargetMode="External"/><Relationship Id="rId158" Type="http://schemas.openxmlformats.org/officeDocument/2006/relationships/hyperlink" Target="http://www.sec.gov/Archives/edgar/data/1342423/000114420417033455/v469385_ex10-2.htm" TargetMode="External"/><Relationship Id="rId159" Type="http://schemas.openxmlformats.org/officeDocument/2006/relationships/hyperlink" Target="http://www.sec.gov/Archives/edgar/data/1342423/000114420417033455/v469385_ex10-3.htm" TargetMode="External"/><Relationship Id="rId160" Type="http://schemas.openxmlformats.org/officeDocument/2006/relationships/hyperlink" Target="http://www.sec.gov/Archives/edgar/data/1342423/000114420418005148/tv484600_ex10-1.htm" TargetMode="External"/><Relationship Id="rId161" Type="http://schemas.openxmlformats.org/officeDocument/2006/relationships/hyperlink" Target="http://www.sec.gov/Archives/edgar/data/1342423/000114420418012594/tv487635_ex10-1.htm" TargetMode="External"/><Relationship Id="rId162" Type="http://schemas.openxmlformats.org/officeDocument/2006/relationships/hyperlink" Target="http://www.sec.gov/Archives/edgar/data/1342423/000114420418012594/tv487635_ex10-2.htm" TargetMode="External"/><Relationship Id="rId163" Type="http://schemas.openxmlformats.org/officeDocument/2006/relationships/hyperlink" Target="http://www.sec.gov/Archives/edgar/data/1342423/000114420418012594/tv487635_ex10-3.htm" TargetMode="External"/><Relationship Id="rId164" Type="http://schemas.openxmlformats.org/officeDocument/2006/relationships/hyperlink" Target="http://www.sec.gov/Archives/edgar/data/1342423/000114420418020153/tv490887_ex10-1.htm" TargetMode="External"/><Relationship Id="rId165" Type="http://schemas.openxmlformats.org/officeDocument/2006/relationships/hyperlink" Target="http://www.sec.gov/Archives/edgar/data/1342423/000110465921082346/tm2119967d1_ex10-1.htm" TargetMode="External"/><Relationship Id="rId166" Type="http://schemas.openxmlformats.org/officeDocument/2006/relationships/hyperlink" Target="http://www.sec.gov/Archives/edgar/data/1342423/000110465921082346/tm2119967d1_ex10-2.htm" TargetMode="External"/><Relationship Id="rId169" Type="http://schemas.openxmlformats.org/officeDocument/2006/relationships/hyperlink" Target="http://www.sec.gov/Archives/edgar/data/1342423/000110465921082346/tm2119967d1_ex10-3.htm" TargetMode="External"/><Relationship Id="rId170" Type="http://schemas.openxmlformats.org/officeDocument/2006/relationships/hyperlink" Target="http://www.sec.gov/Archives/edgar/data/1342423/000110465921082346/tm2119967d1_ex10-4.htm" TargetMode="External"/><Relationship Id="rId171" Type="http://schemas.openxmlformats.org/officeDocument/2006/relationships/hyperlink" Target="http://www.sec.gov/Archives/edgar/data/1342423/000110465922004238/tm222937d1_ex10-1.htm" TargetMode="External"/><Relationship Id="rId172" Type="http://schemas.openxmlformats.org/officeDocument/2006/relationships/hyperlink" Target="http://www.sec.gov/Archives/edgar/data/1342423/000110465922004238/tm222937d1_ex10-2.htm" TargetMode="External"/><Relationship Id="rId173" Type="http://schemas.openxmlformats.org/officeDocument/2006/relationships/hyperlink" Target="http://www.sec.gov/Archives/edgar/data/1342423/000110465922084701/tm2221856d1_ex10-2.htm" TargetMode="External"/><Relationship Id="rId174" Type="http://schemas.openxmlformats.org/officeDocument/2006/relationships/hyperlink" Target="http://www.sec.gov/Archives/edgar/data/1342423/000110465922084701/tm2221856d1_ex10-3.htm" TargetMode="External"/><Relationship Id="rId175" Type="http://schemas.openxmlformats.org/officeDocument/2006/relationships/hyperlink" Target="http://www.sec.gov/Archives/edgar/data/1342423/000110465922084701/tm2221856d1_ex10-4.htm" TargetMode="External"/><Relationship Id="rId176" Type="http://schemas.openxmlformats.org/officeDocument/2006/relationships/hyperlink" Target="http://www.sec.gov/Archives/edgar/data/1342423/000110465922084701/tm2221856d1_ex10-5.htm" TargetMode="External"/><Relationship Id="rId177" Type="http://schemas.openxmlformats.org/officeDocument/2006/relationships/hyperlink" Target="http://www.sec.gov/Archives/edgar/data/1342423/000110465922098540/tm2225418d1_ex10-1.htm" TargetMode="External"/><Relationship Id="rId178" Type="http://schemas.openxmlformats.org/officeDocument/2006/relationships/hyperlink" Target="http://www.sec.gov/Archives/edgar/data/1342423/000110465922100242/tm2225845d1_ex10-1.htm" TargetMode="External"/><Relationship Id="rId179" Type="http://schemas.openxmlformats.org/officeDocument/2006/relationships/hyperlink" Target="http://www.sec.gov/Archives/edgar/data/1342423/000110465922111762/tm2228916d1_ex10-1.htm" TargetMode="External"/><Relationship Id="rId180" Type="http://schemas.openxmlformats.org/officeDocument/2006/relationships/hyperlink" Target="http://www.sec.gov/Archives/edgar/data/1342423/000110465922111762/tm2228916d1_ex10-2.htm" TargetMode="External"/><Relationship Id="rId181" Type="http://schemas.openxmlformats.org/officeDocument/2006/relationships/hyperlink" Target="http://www.sec.gov/Archives/edgar/data/1342423/000110465922112693/tm2229209d1_ex10-1.htm" TargetMode="External"/><Relationship Id="rId182" Type="http://schemas.openxmlformats.org/officeDocument/2006/relationships/hyperlink" Target="http://www.sec.gov/Archives/edgar/data/1342423/000110465922112694/tm2229209d2_ex10-1.htm" TargetMode="External"/><Relationship Id="rId184" Type="http://schemas.openxmlformats.org/officeDocument/2006/relationships/hyperlink" Target="http://www.sec.gov/Archives/edgar/data/1342423/000110465922111555/tm2228945d1_ex10-2.htm" TargetMode="External"/><Relationship Id="rId185" Type="http://schemas.openxmlformats.org/officeDocument/2006/relationships/hyperlink" Target="http://www.sec.gov/Archives/edgar/data/1342423/000110465922112694/tm2229209d2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2022-12-22T15:25:38Z</dcterms:created>
  <dcterms:modified xsi:type="dcterms:W3CDTF">2022-12-22T15:25:38Z</dcterms:modified>
</cp:coreProperties>
</file>