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33020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-172085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4" w:lineRule="exact"/>
        <w:rPr>
          <w:sz w:val="24"/>
          <w:szCs w:val="24"/>
          <w:color w:val="auto"/>
        </w:rPr>
      </w:pPr>
    </w:p>
    <w:p>
      <w:pPr>
        <w:ind w:left="3520" w:right="2700" w:hanging="3494"/>
        <w:spacing w:after="0" w:line="362" w:lineRule="auto"/>
        <w:tabs>
          <w:tab w:leader="none" w:pos="3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25"/>
          <w:szCs w:val="25"/>
          <w:b w:val="1"/>
          <w:bCs w:val="1"/>
          <w:color w:val="auto"/>
        </w:rPr>
        <w:t>January 31, 2025</w:t>
      </w:r>
    </w:p>
    <w:p>
      <w:pPr>
        <w:spacing w:after="0" w:line="234"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6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001-347</w:t>
      </w:r>
      <w:r>
        <w:rPr>
          <w:rFonts w:ascii="Times New Roman" w:cs="Times New Roman" w:eastAsia="Times New Roman" w:hAnsi="Times New Roman"/>
          <w:sz w:val="17"/>
          <w:szCs w:val="17"/>
          <w:b w:val="1"/>
          <w:bCs w:val="1"/>
          <w:color w:val="auto"/>
        </w:rPr>
        <w:t>55</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-289560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8890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p>
      <w:pPr>
        <w:spacing w:after="0" w:line="242"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77-0260692</w:t>
      </w:r>
    </w:p>
    <w:p>
      <w:pPr>
        <w:spacing w:after="0" w:line="34"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52" w:lineRule="exact"/>
        <w:rPr>
          <w:sz w:val="24"/>
          <w:szCs w:val="24"/>
          <w:color w:val="auto"/>
        </w:rPr>
      </w:pPr>
    </w:p>
    <w:p>
      <w:pPr>
        <w:sectPr>
          <w:pgSz w:w="11900" w:h="16838" w:orient="portrait"/>
          <w:cols w:equalWidth="0" w:num="2">
            <w:col w:w="6380" w:space="720"/>
            <w:col w:w="4140"/>
          </w:cols>
          <w:pgMar w:left="320" w:top="136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1141 Cummings Road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Santa Paula, CA 93060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525-5541</w:t>
      </w:r>
    </w:p>
    <w:p>
      <w:pPr>
        <w:spacing w:after="0" w:line="11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60" w:type="dxa"/>
            <w:vAlign w:val="bottom"/>
            <w:gridSpan w:val="5"/>
          </w:tcPr>
          <w:p>
            <w:pPr>
              <w:jc w:val="center"/>
              <w:ind w:right="26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95"/>
        </w:trPr>
        <w:tc>
          <w:tcPr>
            <w:tcW w:w="5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3"/>
        </w:trPr>
        <w:tc>
          <w:tcPr>
            <w:tcW w:w="2380" w:type="dxa"/>
            <w:vAlign w:val="bottom"/>
            <w:gridSpan w:val="3"/>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rPr>
              <w:t>Common Stock, par value $0.01</w:t>
            </w:r>
          </w:p>
        </w:tc>
        <w:tc>
          <w:tcPr>
            <w:tcW w:w="1580" w:type="dxa"/>
            <w:vAlign w:val="bottom"/>
          </w:tcPr>
          <w:p>
            <w:pPr>
              <w:spacing w:after="0"/>
              <w:rPr>
                <w:sz w:val="15"/>
                <w:szCs w:val="15"/>
                <w:color w:val="auto"/>
              </w:rPr>
            </w:pPr>
          </w:p>
        </w:tc>
        <w:tc>
          <w:tcPr>
            <w:tcW w:w="1780" w:type="dxa"/>
            <w:vAlign w:val="bottom"/>
            <w:gridSpan w:val="2"/>
          </w:tcPr>
          <w:p>
            <w:pPr>
              <w:jc w:val="center"/>
              <w:ind w:right="680"/>
              <w:spacing w:after="0" w:line="183" w:lineRule="exact"/>
              <w:rPr>
                <w:sz w:val="20"/>
                <w:szCs w:val="20"/>
                <w:color w:val="auto"/>
              </w:rPr>
            </w:pPr>
            <w:r>
              <w:rPr>
                <w:rFonts w:ascii="Times New Roman" w:cs="Times New Roman" w:eastAsia="Times New Roman" w:hAnsi="Times New Roman"/>
                <w:sz w:val="16"/>
                <w:szCs w:val="16"/>
                <w:b w:val="1"/>
                <w:bCs w:val="1"/>
                <w:color w:val="auto"/>
              </w:rPr>
              <w:t>LMNR</w:t>
            </w:r>
          </w:p>
        </w:tc>
        <w:tc>
          <w:tcPr>
            <w:tcW w:w="680" w:type="dxa"/>
            <w:vAlign w:val="bottom"/>
          </w:tcPr>
          <w:p>
            <w:pPr>
              <w:spacing w:after="0"/>
              <w:rPr>
                <w:sz w:val="15"/>
                <w:szCs w:val="15"/>
                <w:color w:val="auto"/>
              </w:rPr>
            </w:pPr>
          </w:p>
        </w:tc>
        <w:tc>
          <w:tcPr>
            <w:tcW w:w="3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2" w:lineRule="exact"/>
        <w:rPr>
          <w:sz w:val="24"/>
          <w:szCs w:val="24"/>
          <w:color w:val="auto"/>
        </w:rPr>
      </w:pPr>
    </w:p>
    <w:p>
      <w:pPr>
        <w:jc w:val="both"/>
        <w:ind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firstLine="648"/>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2"/>
        </w:trPr>
        <w:tc>
          <w:tcPr>
            <w:tcW w:w="21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2200" w:type="dxa"/>
            <w:vAlign w:val="bottom"/>
            <w:vMerge w:val="restart"/>
          </w:tcPr>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2440" w:type="dxa"/>
            <w:vAlign w:val="bottom"/>
            <w:vMerge w:val="restart"/>
          </w:tcPr>
          <w:p>
            <w:pPr>
              <w:ind w:left="4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21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Smaller reporting</w:t>
            </w:r>
          </w:p>
        </w:tc>
        <w:tc>
          <w:tcPr>
            <w:tcW w:w="1700" w:type="dxa"/>
            <w:vAlign w:val="bottom"/>
          </w:tcPr>
          <w:p>
            <w:pPr>
              <w:jc w:val="center"/>
              <w:ind w:left="479"/>
              <w:spacing w:after="0" w:line="162" w:lineRule="exact"/>
              <w:rPr>
                <w:sz w:val="20"/>
                <w:szCs w:val="20"/>
                <w:color w:val="auto"/>
              </w:rPr>
            </w:pPr>
            <w:r>
              <w:rPr>
                <w:rFonts w:ascii="Times New Roman" w:cs="Times New Roman" w:eastAsia="Times New Roman" w:hAnsi="Times New Roman"/>
                <w:sz w:val="16"/>
                <w:szCs w:val="16"/>
                <w:color w:val="auto"/>
              </w:rPr>
              <w:t>Emerging growth</w:t>
            </w: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2140" w:type="dxa"/>
            <w:vAlign w:val="bottom"/>
          </w:tcPr>
          <w:p>
            <w:pPr>
              <w:jc w:val="center"/>
              <w:ind w:right="3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1700" w:type="dxa"/>
            <w:vAlign w:val="bottom"/>
          </w:tcPr>
          <w:p>
            <w:pPr>
              <w:jc w:val="center"/>
              <w:ind w:left="47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bl>
    <w:p>
      <w:pPr>
        <w:spacing w:after="0" w:line="132" w:lineRule="exact"/>
        <w:rPr>
          <w:sz w:val="24"/>
          <w:szCs w:val="24"/>
          <w:color w:val="auto"/>
        </w:rPr>
      </w:pPr>
    </w:p>
    <w:p>
      <w:pPr>
        <w:ind w:right="2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60" w:right="23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February 28, 2025, there were 18,045,169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 Financial Statements (Unaudited)</w:t>
            </w:r>
          </w:p>
        </w:tc>
        <w:tc>
          <w:tcPr>
            <w:tcW w:w="1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Balance Sheets – January 31, 2025 and October 31, 2024</w:t>
            </w:r>
          </w:p>
        </w:tc>
        <w:tc>
          <w:tcPr>
            <w:tcW w:w="1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 three months ended January 31, 2025 and 2024</w:t>
            </w:r>
          </w:p>
        </w:tc>
        <w:tc>
          <w:tcPr>
            <w:tcW w:w="1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Loss – three months ended January 31, 2025 and 2024</w:t>
            </w:r>
          </w:p>
        </w:tc>
        <w:tc>
          <w:tcPr>
            <w:tcW w:w="1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and Temporary Equity – three months ended January 31, 2025 and 2024</w:t>
            </w:r>
          </w:p>
        </w:tc>
        <w:tc>
          <w:tcPr>
            <w:tcW w:w="1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 three months ended January 31, 2025 and 2024</w:t>
            </w:r>
          </w:p>
        </w:tc>
        <w:tc>
          <w:tcPr>
            <w:tcW w:w="1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0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0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4. Controls and Procedures</w:t>
            </w:r>
          </w:p>
        </w:tc>
        <w:tc>
          <w:tcPr>
            <w:tcW w:w="10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 OTHER INFORMATION</w:t>
            </w:r>
          </w:p>
        </w:tc>
        <w:tc>
          <w:tcPr>
            <w:tcW w:w="10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 Legal Proceedings</w:t>
            </w:r>
          </w:p>
        </w:tc>
        <w:tc>
          <w:tcPr>
            <w:tcW w:w="10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1A. Risk Factors</w:t>
            </w:r>
          </w:p>
        </w:tc>
        <w:tc>
          <w:tcPr>
            <w:tcW w:w="10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0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3. Defaults Upon Senior Securities</w:t>
            </w:r>
          </w:p>
        </w:tc>
        <w:tc>
          <w:tcPr>
            <w:tcW w:w="10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4. Mine Safety Disclosures</w:t>
            </w:r>
          </w:p>
        </w:tc>
        <w:tc>
          <w:tcPr>
            <w:tcW w:w="10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5. Other Information</w:t>
            </w:r>
          </w:p>
        </w:tc>
        <w:tc>
          <w:tcPr>
            <w:tcW w:w="10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6. Exhibits</w:t>
            </w:r>
          </w:p>
        </w:tc>
        <w:tc>
          <w:tcPr>
            <w:tcW w:w="10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9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10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6"/>
                <w:szCs w:val="16"/>
                <w:color w:val="auto"/>
              </w:rPr>
            </w:pPr>
          </w:p>
        </w:tc>
      </w:tr>
      <w:tr>
        <w:trPr>
          <w:trHeight w:val="871"/>
        </w:trPr>
        <w:tc>
          <w:tcPr>
            <w:tcW w:w="9980" w:type="dxa"/>
            <w:vAlign w:val="bottom"/>
            <w:gridSpan w:val="2"/>
          </w:tcPr>
          <w:p>
            <w:pPr>
              <w:jc w:val="right"/>
              <w:ind w:right="423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9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both historical and forward-looking statements. Forward-looking statements in this Quarterly Report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99"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executing the Company’s business plans and strategies, including the exploration and outcome of potential strategic alternatives, and managing the risks involved in the foregoing;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rules, quotas, tariffs and import laws;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responses to industry volume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from crop disease, insects and other pests;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water supplies or changes in water allocations;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global supply chain;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raw materials supply and pricing;</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supply and pricing;</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 to industry volume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and interest rates and the impact of inflation;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for land development activities;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for residential and commercial real estate development;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and economic crises;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strikes, shortages or work stoppages;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rate movements;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pay debt obligations;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debt covenants under our loan agreements;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important intellectual property rights;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pricing risks due to concentrated ownership of stock;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disclosed in our public filings with the Securities and Exchange Commission (the “SEC”).</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2024 additional factors that could cause our actual results to differ from our projections or estimates.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2024.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Except as required by law, we undertake no obligation to update these forward-looking statements, even if our situation changes in the future.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 references to “we,” “us,” “our,” “our Company,” “the Company” or “Limoneira” in this Quarterly Report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214"/>
        </w:trPr>
        <w:tc>
          <w:tcPr>
            <w:tcW w:w="8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Cultural costs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Receivables/other from related parties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0" w:type="dxa"/>
            <w:vAlign w:val="bottom"/>
          </w:tcPr>
          <w:p>
            <w:pPr>
              <w:spacing w:after="0"/>
              <w:rPr>
                <w:sz w:val="1"/>
                <w:szCs w:val="1"/>
                <w:color w:val="auto"/>
              </w:rPr>
            </w:pPr>
          </w:p>
        </w:tc>
      </w:tr>
      <w:tr>
        <w:trPr>
          <w:trHeight w:val="207"/>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162,046</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81,546</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12,451</w:t>
            </w: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298,815</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Growers and suppliers payable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8,960</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34,804</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40,031</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07"/>
        </w:trPr>
        <w:tc>
          <w:tcPr>
            <w:tcW w:w="8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96,314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 January</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 2025 and October 31, 2024) (8.75% coupon rate)</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 January</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2025 and October 31, 2024) (4% dividend rate on liquidation value of $1,000 per share)</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January 31,</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 and October 31, 2024)</w:t>
            </w: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 $0.01 par value (39,000,000 shares authorized: 18,296,146 and 18,284,148 shares issued and 18,045,169 and</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18,033,171 shares outstanding at January 31, 2025 and October 31, 2024, respectively)</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170,243</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250,977 shares at January 31, 2025 and October 31, 2024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0" w:type="dxa"/>
            <w:vAlign w:val="bottom"/>
          </w:tcPr>
          <w:p>
            <w:pPr>
              <w:spacing w:after="0"/>
              <w:rPr>
                <w:sz w:val="1"/>
                <w:szCs w:val="1"/>
                <w:color w:val="auto"/>
              </w:rPr>
            </w:pPr>
          </w:p>
        </w:tc>
      </w:tr>
      <w:tr>
        <w:trPr>
          <w:trHeight w:val="207"/>
        </w:trPr>
        <w:tc>
          <w:tcPr>
            <w:tcW w:w="8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186,544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191,691</w:t>
            </w: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298,815</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January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38,339</w:t>
            </w: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07"/>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39,731</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39,114</w:t>
            </w: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sales of water rights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3"/>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7,345</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47,476</w:t>
            </w:r>
          </w:p>
        </w:tc>
      </w:tr>
      <w:tr>
        <w:trPr>
          <w:trHeight w:val="207"/>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(7,745)</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 benefit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(gain) loss attributable to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Limoneira Company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dividends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3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applicable to common stock</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17,627</w:t>
            </w:r>
          </w:p>
        </w:tc>
      </w:tr>
      <w:tr>
        <w:trPr>
          <w:trHeight w:val="210"/>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COMPREHENSIVE LOSS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6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(gain) loss attributable to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Limoneira Company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00" w:type="dxa"/>
            <w:vAlign w:val="bottom"/>
          </w:tcPr>
          <w:p>
            <w:pPr>
              <w:spacing w:after="0"/>
              <w:rPr>
                <w:sz w:val="11"/>
                <w:szCs w:val="11"/>
                <w:color w:val="auto"/>
              </w:rPr>
            </w:pPr>
          </w:p>
        </w:tc>
        <w:tc>
          <w:tcPr>
            <w:tcW w:w="7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6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18,033,171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170,243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January 31,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18,045,169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169,951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16,274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186,544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425"/>
        </w:trPr>
        <w:tc>
          <w:tcPr>
            <w:tcW w:w="17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00" w:type="dxa"/>
            <w:vAlign w:val="bottom"/>
          </w:tcPr>
          <w:p>
            <w:pPr>
              <w:spacing w:after="0"/>
              <w:rPr>
                <w:sz w:val="11"/>
                <w:szCs w:val="11"/>
                <w:color w:val="auto"/>
              </w:rPr>
            </w:pPr>
          </w:p>
        </w:tc>
        <w:tc>
          <w:tcPr>
            <w:tcW w:w="7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6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17,941,032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168,441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January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18,004,918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168,620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13,957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(6,133)</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184,188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3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w:t>
            </w: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r>
      <w:tr>
        <w:trPr>
          <w:trHeight w:val="21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3"/>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sales of water rights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13"/>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w:t>
            </w:r>
          </w:p>
        </w:tc>
      </w:tr>
      <w:tr>
        <w:trPr>
          <w:trHeight w:val="219"/>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and receivables/other from related parties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3"/>
        </w:trPr>
        <w:tc>
          <w:tcPr>
            <w:tcW w:w="8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Cultural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9"/>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3"/>
        </w:trPr>
        <w:tc>
          <w:tcPr>
            <w:tcW w:w="8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growers and suppliers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r>
      <w:tr>
        <w:trPr>
          <w:trHeight w:val="213"/>
        </w:trPr>
        <w:tc>
          <w:tcPr>
            <w:tcW w:w="8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liabilities and payables to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w:t>
            </w:r>
          </w:p>
        </w:tc>
      </w:tr>
      <w:tr>
        <w:trPr>
          <w:trHeight w:val="111"/>
        </w:trPr>
        <w:tc>
          <w:tcPr>
            <w:tcW w:w="8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sales of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of water rights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Cash distributions from Trapani Fresh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Collection on notes receivable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 contributions and capitalized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mutual water companies and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w:t>
            </w:r>
          </w:p>
        </w:tc>
      </w:tr>
      <w:tr>
        <w:trPr>
          <w:trHeight w:val="111"/>
        </w:trPr>
        <w:tc>
          <w:tcPr>
            <w:tcW w:w="8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37,524</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(26,429)</w:t>
            </w: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paid on finance leases and equipment financings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 common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1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 – preferred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Exchange of common stock</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w:t>
            </w:r>
          </w:p>
        </w:tc>
      </w:tr>
      <w:tr>
        <w:trPr>
          <w:trHeight w:val="207"/>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r>
      <w:tr>
        <w:trPr>
          <w:trHeight w:val="207"/>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w:t>
            </w:r>
          </w:p>
        </w:tc>
      </w:tr>
      <w:tr>
        <w:trPr>
          <w:trHeight w:val="237"/>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5"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(UNAUDITED)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8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January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amounts capitalized)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income taxes,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accrued but not paid at period-end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contribution obligation of investment in water company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water rights sale proceeds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40" w:firstLine="8"/>
        <w:spacing w:after="0" w:line="41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Business</w:t>
      </w: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 The Company markets and sells citrus directly to food service, wholesale and retail customers throughout the United States, Canada, Asia and certain other international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Preparation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23" w:lineRule="exact"/>
        <w:rPr>
          <w:sz w:val="20"/>
          <w:szCs w:val="20"/>
          <w:color w:val="auto"/>
        </w:rPr>
      </w:pPr>
    </w:p>
    <w:p>
      <w:pPr>
        <w:ind w:right="7680" w:firstLine="8"/>
        <w:spacing w:after="0" w:line="401"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Comprehensive Loss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represents all changes in a company’s net assets, except changes resulting from transactions with stockholders. Other comprehensive loss relates entirely to foreign currency translation items. Accumulated other comprehensive loss is reported as a component of the Company’s stockholders’ equity.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Accounting Standards Update (“ASU”) 2023-07, Segment Reporting (Topic 280): Improvements to Reportable Segment Disclosures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The Company is currently evaluating the impact of this guidance on its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2023-09 requires disaggregated information about a reporting entity’s effective tax rate reconciliation as well as information on income taxes paid. The ASU is effective for public business entities with annual periods beginning after December 15, 2024, with early adoption permitted. The Company is currently evaluating the impact of this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740" w:firstLine="8"/>
        <w:spacing w:after="0" w:line="423"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 Accounting Pronouncements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Release No. 33-11275: The Enhancement and Standardization of Climate-Related Disclosures for Investors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requires registrants to provide certain climate-related information in their registration statements and annual reports. The rules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registrant’s climate-related risks that are reasonably likely to have a material impact on its business, results of operations, or financial condition.</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requirements are effective for the Company in various fiscal years, starting with its fiscal year beginning November 1, 2026. On April 4, 2024, the SEC determined to voluntarily stay the final rules pending certain legal challenges. The Company is currently evaluating the impact of these final rules on its consolidated financial statements and disclosures.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ASU 2024-03, Income Statement – Reporting Comprehensive Income – Expense Disaggregation Disclosures (Subtopic 220-40): Disaggregation of Income Statement Expenses and ASU 2025-01, Income Statement – Reporting Comprehensive Income – Expense Disaggregation Disclosures (Subtopic 220-40): Clarifying the Effective Date</w:t>
      </w:r>
    </w:p>
    <w:p>
      <w:pPr>
        <w:spacing w:after="0" w:line="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ASU 2024-03 requires public companies to disclose, in the notes to financial statements, specified information about certain costs and expenses at each interim and annual reporting period. Specific disclosures include the amounts of (a) purchases of inventory; (b) employee compensation; (c) depreciation;</w:t>
      </w:r>
    </w:p>
    <w:p>
      <w:pPr>
        <w:jc w:val="both"/>
        <w:ind w:firstLine="8"/>
        <w:spacing w:after="0" w:line="253"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companies will need to disclose the total amount of selling expenses and, in annual reporting periods, an entity’s definition of selling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date of ASU 2024-03 was clarified by ASU 2025-01. ASU 2024-03 is effective for public business entities for annual reporting periods beginning after December 15, 2026, and interim periods within annual reporting periods beginning after December 15, 2027. Early adoption is permitted. A public business entity should apply ASU 2024-03 prospectively to financial statements issued for reporting periods beginning after the effective date but may elect to apply the ASU retrospectively to any or all prior periods presented in the financial statements. The Company is currently evaluating the impact of this guidance on its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revenues and accounts receivable are limited due to a large, diverse customer base. One individual customer represented 16% of revenue for the three months ended January 31, 2025. Two individual customers represented 21% and 12% of accounts receivable, net as of January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individual vendor represented 11% of accounts payable as of January 31, 2025.</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Lemons procured from third-party growers were 83% and 84% of the Company’s domestic lemon supply for the three months ended January 31, 2025 and 2024, respectively. Three third-party growers and suppliers represented 48%, 16% and 15% of growers and suppliers payable as of January 31,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104" w:lineRule="exact"/>
        <w:rPr>
          <w:sz w:val="20"/>
          <w:szCs w:val="20"/>
          <w:color w:val="auto"/>
        </w:rPr>
      </w:pPr>
    </w:p>
    <w:p>
      <w:pPr>
        <w:ind w:right="9100" w:firstLine="8"/>
        <w:spacing w:after="0" w:line="417"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Sales and Disposals Yuma Property</w:t>
      </w:r>
    </w:p>
    <w:p>
      <w:pPr>
        <w:spacing w:after="0" w:line="282" w:lineRule="auto"/>
        <w:rPr>
          <w:sz w:val="20"/>
          <w:szCs w:val="20"/>
          <w:color w:val="auto"/>
        </w:rPr>
      </w:pPr>
      <w:r>
        <w:rPr>
          <w:rFonts w:ascii="Times New Roman" w:cs="Times New Roman" w:eastAsia="Times New Roman" w:hAnsi="Times New Roman"/>
          <w:sz w:val="18"/>
          <w:szCs w:val="18"/>
          <w:color w:val="auto"/>
        </w:rPr>
        <w:t>In December 2023, the Company sold 12 acres of real property located in Yuma, Arizona for a sales price of $775,000. After transaction and closing costs, the Company recorded a gain on disposal of assets of $187,000 during the quarter ended January 31, 2024.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8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1"/>
        </w:trPr>
        <w:tc>
          <w:tcPr>
            <w:tcW w:w="8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supplier advances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Development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Real estate development assets are comprised primarily of land and land development costs for the East Area II property in the amount of $10,306,000 and $10,201,000 as of January 31, 2025 and October 31,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January 31, 2025 and October 31, 2024, which is included in payables to related parties.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was payable monthly. Effective as of February 22, 2024, the Loan maturity date was extended to August 22, 2024 and the interest rate transitioned from the BSBY to the Secured Overnight Financing Rate ("SOFR") plus 2.85%. As of May 3, 2024, the Loan had no outstanding balance and was cancelled. As of January 31, 2025, LLCB had cash and cash equivalents of $62,368,000.</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2018, the Company and certain principals from Lewis guaranteed the obligations under the Loan. The guarantors were jointly and severally liable for all Loan obligations in the event of default by LLCB. Additionally, a Reimbursement Agreement was executed between the Lewis guarantors and the Company, which provided for unpaid liabilities of LLCB to be shared pro-rata by the Lewis guarantors and the Company in proportion to their percentage interest in LLCB. The guarantee continued in effect until all of the Loan obligations were fully paid and the Loan terminated. The $1,080,000 estimated value of the guarantee was recorded in the Company’s consolidated balance sheets and, upon cancellation of the Loan in May 2024, was removed from other long-term liabilities and the corresponding value in equity in investments.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The joint venture partners will share in the capital contributions to fund project costs until loan proceeds and/or revenues are sufficient to fund the project. The Company made contributions of $100,000 and $200,000 to LLCB II during the three months ended January 31, 2025 and 2024, respectively.</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January 31, 2025, LLCB closed on lot sales representing 1,261 residential units since inception. In June 2024, the Company received a cash distribution of $15,005,000 from LLCB.</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Equity in Investments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investments consist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1"/>
        </w:trPr>
        <w:tc>
          <w:tcPr>
            <w:tcW w:w="8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67,962</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LLCB II, LLC</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Limco Del Mar, Ltd. ("Del Mar")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Rosales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Romney Property Partnership</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85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81,546</w:t>
            </w:r>
          </w:p>
        </w:tc>
      </w:tr>
      <w:tr>
        <w:trPr>
          <w:trHeight w:val="21"/>
        </w:trPr>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three months ended January 31, 2025, this threshold was met for LLCB and thus summarized income statement information for LLCB is presented in this Quarterly Report on Form 10-Q. The full audited financial statements of LLCB for the years ended October 31, 2024, 2023 and 2022 were provided as exhibits to the Annual Report on Form 10-K for the fiscal year ended October 31,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unaudited summarized financial information for LLCB (in thousands):</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7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land sold</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(expenses)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0" w:type="dxa"/>
            <w:vAlign w:val="bottom"/>
            <w:tcBorders>
              <w:bottom w:val="single" w:sz="8" w:color="CCEEFF"/>
            </w:tcBorders>
          </w:tcPr>
          <w:p>
            <w:pPr>
              <w:spacing w:after="0"/>
              <w:rPr>
                <w:sz w:val="3"/>
                <w:szCs w:val="3"/>
                <w:color w:val="auto"/>
              </w:rPr>
            </w:pPr>
          </w:p>
        </w:tc>
        <w:tc>
          <w:tcPr>
            <w:tcW w:w="8460" w:type="dxa"/>
            <w:vAlign w:val="bottom"/>
            <w:tcBorders>
              <w:bottom w:val="single" w:sz="8" w:color="CCEEFF"/>
            </w:tcBorders>
          </w:tcPr>
          <w:p>
            <w:pPr>
              <w:spacing w:after="0"/>
              <w:rPr>
                <w:sz w:val="3"/>
                <w:szCs w:val="3"/>
                <w:color w:val="auto"/>
              </w:rPr>
            </w:pPr>
          </w:p>
        </w:tc>
        <w:tc>
          <w:tcPr>
            <w:tcW w:w="880" w:type="dxa"/>
            <w:vAlign w:val="bottom"/>
            <w:tcBorders>
              <w:top w:val="single" w:sz="8" w:color="auto"/>
              <w:bottom w:val="single" w:sz="8" w:color="CCEEFF"/>
            </w:tcBorders>
          </w:tcPr>
          <w:p>
            <w:pPr>
              <w:spacing w:after="0"/>
              <w:rPr>
                <w:sz w:val="3"/>
                <w:szCs w:val="3"/>
                <w:color w:val="auto"/>
              </w:rPr>
            </w:pPr>
          </w:p>
        </w:tc>
        <w:tc>
          <w:tcPr>
            <w:tcW w:w="440" w:type="dxa"/>
            <w:vAlign w:val="bottom"/>
            <w:tcBorders>
              <w:top w:val="single" w:sz="8" w:color="auto"/>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1120" w:type="dxa"/>
            <w:vAlign w:val="bottom"/>
            <w:tcBorders>
              <w:top w:val="single" w:sz="8" w:color="auto"/>
              <w:bottom w:val="single" w:sz="8" w:color="CCEEFF"/>
            </w:tcBorders>
          </w:tcPr>
          <w:p>
            <w:pPr>
              <w:spacing w:after="0"/>
              <w:rPr>
                <w:sz w:val="3"/>
                <w:szCs w:val="3"/>
                <w:color w:val="auto"/>
              </w:rPr>
            </w:pPr>
          </w:p>
        </w:tc>
        <w:tc>
          <w:tcPr>
            <w:tcW w:w="20" w:type="dxa"/>
            <w:vAlign w:val="bottom"/>
            <w:tcBorders>
              <w:top w:val="single" w:sz="8" w:color="auto"/>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8500" w:type="dxa"/>
            <w:vAlign w:val="bottom"/>
            <w:tcBorders>
              <w:top w:val="single" w:sz="8" w:color="CCEEFF"/>
              <w:bottom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attributable to Limoneira Company</w:t>
            </w:r>
          </w:p>
        </w:tc>
        <w:tc>
          <w:tcPr>
            <w:tcW w:w="880" w:type="dxa"/>
            <w:vAlign w:val="bottom"/>
            <w:tcBorders>
              <w:top w:val="single" w:sz="8" w:color="auto"/>
              <w:bottom w:val="single" w:sz="8" w:color="auto"/>
            </w:tcBorders>
            <w:shd w:val="clear" w:color="auto" w:fill="CCEEFF"/>
          </w:tcPr>
          <w:p>
            <w:pPr>
              <w:jc w:val="right"/>
              <w:ind w:right="6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5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Goodwill</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8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impairment charges recorded against goodwill as of January 31, 2025.</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 (continued)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Intangible assets consist of the following (in thousands):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totaled $144,000 and $179,000 for the three months ended January 31, 2025 and 2024, respectively.</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the Company sold acquired water rights in the Santa Paula Basin for $30,000 per acre-foot in two transactions. The total selling price was $1,440,000 and the Company recorded a gain on sales of water rights of $1,200,000.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January 31, 2025 is as follows (in thousands):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2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9"/>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2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20" w:type="dxa"/>
            <w:vAlign w:val="bottom"/>
          </w:tcPr>
          <w:p>
            <w:pPr>
              <w:spacing w:after="0"/>
              <w:rPr>
                <w:sz w:val="19"/>
                <w:szCs w:val="19"/>
                <w:color w:val="auto"/>
              </w:rPr>
            </w:pPr>
          </w:p>
        </w:tc>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9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 and Water Rights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it with the right to receive a proportionate share of water from each of the not-for-profit mutual water companies that the Company has invested in and do not constitute voting shares and/or rights. In January 2025, the Company sold water pumping rights in the Santa Paula Basin for $300,000 and the Company recorded a gain on sale of water rights of $288,000. Investments in mutual water companies included in other assets in the consolidated balance sheets as of January 31, 2025 and October 31, 2024 were $6,506,000 and $6,229,000,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1"/>
        </w:trPr>
        <w:tc>
          <w:tcPr>
            <w:tcW w:w="8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Long-Term Debt</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1"/>
        </w:trPr>
        <w:tc>
          <w:tcPr>
            <w:tcW w:w="8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AgWest Farm Credit revolving and non-revolving lines of credit: the interest rate of the revolving line of credit is</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variable based on the one-month SOFR, which was 4.35% at January 31, 2025, plus 1.78%. The interest rate for the</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$40.0 million outstanding balance of the non-revolving line of credit is fixed at 3.57% through July 1, 2025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thereafter. Interest is payable monthly and the principal is due in full on July 1, 2026.</w:t>
            </w: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Banco de Chile term loan: The interest rate was fixed at 6.48%.The loan was repaid in January 2025.</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and 4.26%. The loans are payable in monthly</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installments through September 2026.</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40,031</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$115,000,000 comprised of $75,000,000 under the Revolving Credit Supplement, and $40,000,000 under the Non-Revolving Credit Supplement. As of January 31, 2025, the Company’s outstanding borrowings under the Supplements were $57,846,000 and it had $57,154,000 available to borrow.</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in effect under the Revolving Credit Supplement automatically adjusts on the first day of each month. The interest rate for any amount outstanding under the Revolving Credit Supplement is based on the SOFR plus or minus an applicable margin. The applicable margin ranges from 1.68% to 2.28% depending on the ratio of current assets, plus the remaining available commitment divided by current liabilities. On each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of 1.25:1.0 on an annual basis. The Company was in compliance with the covenants as of October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(continued)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$332,000 and $56,000 during the three months ended January 31, 2025 and 2024, respectively. Capitalized interest is included in property, plant and equipment, real estate development assets and equity in investments in the Company’s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18 years with various renewal terms available. All of the residential rentals have month-to-month lease terms.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(in thousands):</w:t>
      </w:r>
    </w:p>
    <w:p>
      <w:pPr>
        <w:spacing w:after="0" w:line="18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4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costs consist of the following (in thousands):</w:t>
      </w:r>
    </w:p>
    <w:p>
      <w:pPr>
        <w:spacing w:after="0" w:line="18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0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tc>
        <w:tc>
          <w:tcPr>
            <w:tcW w:w="4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(in thousands):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Borders>
              <w:bottom w:val="single" w:sz="8" w:color="CCEEFF"/>
            </w:tcBorders>
          </w:tcPr>
          <w:p>
            <w:pPr>
              <w:spacing w:after="0"/>
              <w:rPr>
                <w:sz w:val="21"/>
                <w:szCs w:val="21"/>
                <w:color w:val="auto"/>
              </w:rPr>
            </w:pPr>
          </w:p>
        </w:tc>
        <w:tc>
          <w:tcPr>
            <w:tcW w:w="438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consists of the following (in thousands):</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4380" w:type="dxa"/>
            <w:vAlign w:val="bottom"/>
          </w:tcPr>
          <w:p>
            <w:pPr>
              <w:spacing w:after="0"/>
              <w:rPr>
                <w:sz w:val="19"/>
                <w:szCs w:val="19"/>
                <w:color w:val="auto"/>
              </w:rPr>
            </w:pPr>
          </w:p>
        </w:tc>
        <w:tc>
          <w:tcPr>
            <w:tcW w:w="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43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4380" w:type="dxa"/>
            <w:vAlign w:val="bottom"/>
          </w:tcPr>
          <w:p>
            <w:pPr>
              <w:spacing w:after="0"/>
              <w:rPr>
                <w:sz w:val="19"/>
                <w:szCs w:val="19"/>
                <w:color w:val="auto"/>
              </w:rPr>
            </w:pPr>
          </w:p>
        </w:tc>
        <w:tc>
          <w:tcPr>
            <w:tcW w:w="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2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or loss per common share is calculated using the weighted-average number of common shares outstanding during the period without consideration of the dilutive effect of conversion of preferred stock. Diluted net income or loss per common share is calculated using the weighted-average number of common shares outstanding during the period plus the dilutive effect of unvested, restricted stock and conversion of preferred stock. The computations for basic and diluted net income or loss per common share are as follows (in thousands, except per share data):</w:t>
      </w:r>
    </w:p>
    <w:p>
      <w:pPr>
        <w:spacing w:after="0" w:line="14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unvested, restricted stock</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 Net loss for basic EPS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17,627</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for basic EPS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loss for diluted EPS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income or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per common share was calculated under the two-class method for the three months ended January 31, 2025 and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transactions with equity method investments and various related parties summarized in Note 6 - Equity in Investments and in the tables below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left="762"/>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Payables to</w:t>
            </w:r>
          </w:p>
        </w:tc>
        <w:tc>
          <w:tcPr>
            <w:tcW w:w="100" w:type="dxa"/>
            <w:vAlign w:val="bottom"/>
          </w:tcPr>
          <w:p>
            <w:pPr>
              <w:spacing w:after="0"/>
              <w:rPr>
                <w:sz w:val="11"/>
                <w:szCs w:val="11"/>
                <w:color w:val="auto"/>
              </w:rPr>
            </w:pPr>
          </w:p>
        </w:tc>
        <w:tc>
          <w:tcPr>
            <w:tcW w:w="1560" w:type="dxa"/>
            <w:vAlign w:val="bottom"/>
            <w:gridSpan w:val="5"/>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Payables to</w:t>
            </w:r>
          </w:p>
        </w:tc>
        <w:tc>
          <w:tcPr>
            <w:tcW w:w="0" w:type="dxa"/>
            <w:vAlign w:val="bottom"/>
          </w:tcPr>
          <w:p>
            <w:pPr>
              <w:spacing w:after="0"/>
              <w:rPr>
                <w:sz w:val="1"/>
                <w:szCs w:val="1"/>
                <w:color w:val="auto"/>
              </w:rPr>
            </w:pPr>
          </w:p>
        </w:tc>
      </w:tr>
      <w:tr>
        <w:trPr>
          <w:trHeight w:val="148"/>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40" w:type="dxa"/>
            <w:vAlign w:val="bottom"/>
          </w:tcPr>
          <w:p>
            <w:pPr>
              <w:spacing w:after="0"/>
              <w:rPr>
                <w:sz w:val="12"/>
                <w:szCs w:val="12"/>
                <w:color w:val="auto"/>
              </w:rPr>
            </w:pPr>
          </w:p>
        </w:tc>
        <w:tc>
          <w:tcPr>
            <w:tcW w:w="1040" w:type="dxa"/>
            <w:vAlign w:val="bottom"/>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10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2"/>
                <w:szCs w:val="12"/>
                <w:color w:val="auto"/>
              </w:rPr>
            </w:pPr>
          </w:p>
        </w:tc>
        <w:tc>
          <w:tcPr>
            <w:tcW w:w="960" w:type="dxa"/>
            <w:vAlign w:val="bottom"/>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0" w:type="dxa"/>
            <w:vAlign w:val="bottom"/>
            <w:gridSpan w:val="2"/>
            <w:vMerge w:val="continue"/>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10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140" w:type="dxa"/>
            <w:vAlign w:val="bottom"/>
          </w:tcPr>
          <w:p>
            <w:pPr>
              <w:spacing w:after="0"/>
              <w:rPr>
                <w:sz w:val="16"/>
                <w:szCs w:val="16"/>
                <w:color w:val="auto"/>
              </w:rPr>
            </w:pPr>
          </w:p>
        </w:tc>
        <w:tc>
          <w:tcPr>
            <w:tcW w:w="9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0" w:type="dxa"/>
            <w:vAlign w:val="bottom"/>
          </w:tcPr>
          <w:p>
            <w:pPr>
              <w:spacing w:after="0"/>
              <w:rPr>
                <w:sz w:val="1"/>
                <w:szCs w:val="1"/>
                <w:color w:val="auto"/>
              </w:rPr>
            </w:pPr>
          </w:p>
        </w:tc>
      </w:tr>
      <w:tr>
        <w:trPr>
          <w:trHeight w:val="214"/>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2,383</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LLCB</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Del Mar</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 (continued)</w:t>
      </w:r>
    </w:p>
    <w:p>
      <w:pPr>
        <w:sectPr>
          <w:pgSz w:w="11900" w:h="16838" w:orient="portrait"/>
          <w:cols w:equalWidth="0" w:num="1">
            <w:col w:w="11240"/>
          </w:cols>
          <w:pgMar w:left="320" w:top="122" w:right="339" w:bottom="1440" w:gutter="0" w:footer="0" w:header="0"/>
        </w:sectPr>
      </w:pPr>
    </w:p>
    <w:p>
      <w:pPr>
        <w:spacing w:after="0" w:line="16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Three Months Ended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33655</wp:posOffset>
            </wp:positionV>
            <wp:extent cx="27089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960" w:firstLine="407"/>
        <w:spacing w:after="0" w:line="320" w:lineRule="auto"/>
        <w:rPr>
          <w:sz w:val="20"/>
          <w:szCs w:val="20"/>
          <w:color w:val="auto"/>
        </w:rPr>
      </w:pPr>
      <w:r>
        <w:rPr>
          <w:rFonts w:ascii="Times New Roman" w:cs="Times New Roman" w:eastAsia="Times New Roman" w:hAnsi="Times New Roman"/>
          <w:sz w:val="14"/>
          <w:szCs w:val="14"/>
          <w:b w:val="1"/>
          <w:bCs w:val="1"/>
          <w:color w:val="auto"/>
        </w:rPr>
        <w:t>Three Months Ended January 31, 2024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-136525</wp:posOffset>
            </wp:positionV>
            <wp:extent cx="2726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760" w:space="720"/>
            <w:col w:w="376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29"/>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1"/>
                <w:szCs w:val="11"/>
                <w:color w:val="auto"/>
              </w:rPr>
            </w:pPr>
          </w:p>
        </w:tc>
        <w:tc>
          <w:tcPr>
            <w:tcW w:w="74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48"/>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gridSpan w:val="2"/>
            <w:vMerge w:val="continue"/>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Owner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Del Mar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0" w:firstLine="8"/>
        <w:spacing w:after="0" w:line="229" w:lineRule="auto"/>
        <w:tabs>
          <w:tab w:leader="none" w:pos="20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w:t>
      </w:r>
    </w:p>
    <w:p>
      <w:pPr>
        <w:spacing w:after="0" w:line="130"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209"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118" w:lineRule="exact"/>
        <w:rPr>
          <w:rFonts w:ascii="Times New Roman" w:cs="Times New Roman" w:eastAsia="Times New Roman" w:hAnsi="Times New Roman"/>
          <w:sz w:val="23"/>
          <w:szCs w:val="23"/>
          <w:color w:val="auto"/>
          <w:vertAlign w:val="superscript"/>
        </w:rPr>
      </w:pPr>
    </w:p>
    <w:p>
      <w:pPr>
        <w:ind w:firstLine="8"/>
        <w:spacing w:after="0" w:line="229" w:lineRule="auto"/>
        <w:tabs>
          <w:tab w:leader="none" w:pos="195"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pacing w:after="0" w:line="117" w:lineRule="exact"/>
        <w:rPr>
          <w:sz w:val="20"/>
          <w:szCs w:val="20"/>
          <w:color w:val="auto"/>
        </w:rPr>
      </w:pPr>
    </w:p>
    <w:p>
      <w:pPr>
        <w:jc w:val="both"/>
        <w:ind w:firstLine="8"/>
        <w:spacing w:after="0" w:line="211" w:lineRule="auto"/>
        <w:tabs>
          <w:tab w:leader="none" w:pos="21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spacing w:after="0" w:line="105"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18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FGF Trapani ("FGF") - FGF is a 49% partner in Trapani Fresh joint venture in Argentina and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pacing w:after="0" w:line="118" w:lineRule="exact"/>
        <w:rPr>
          <w:rFonts w:ascii="Times New Roman" w:cs="Times New Roman" w:eastAsia="Times New Roman" w:hAnsi="Times New Roman"/>
          <w:sz w:val="23"/>
          <w:szCs w:val="23"/>
          <w:color w:val="auto"/>
          <w:vertAlign w:val="superscript"/>
        </w:rPr>
      </w:pPr>
    </w:p>
    <w:p>
      <w:pPr>
        <w:ind w:firstLine="8"/>
        <w:spacing w:after="0" w:line="229" w:lineRule="auto"/>
        <w:tabs>
          <w:tab w:leader="none" w:pos="19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LLCB - The Company entered into a joint venture with Lewis for the residential development of our East Area I real estate development project and formed LLCB as the development entity. Refer to Note 5 - Real Estate Development.</w:t>
      </w:r>
    </w:p>
    <w:p>
      <w:pPr>
        <w:spacing w:after="0" w:line="112"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Principal owner - The Company has one principal owner with ownership shares over 10% and paid dividends to such owner.</w:t>
      </w:r>
    </w:p>
    <w:p>
      <w:pPr>
        <w:spacing w:after="0" w:line="116" w:lineRule="exact"/>
        <w:rPr>
          <w:rFonts w:ascii="Times New Roman" w:cs="Times New Roman" w:eastAsia="Times New Roman" w:hAnsi="Times New Roman"/>
          <w:sz w:val="22"/>
          <w:szCs w:val="22"/>
          <w:color w:val="auto"/>
          <w:vertAlign w:val="superscript"/>
        </w:rPr>
      </w:pPr>
    </w:p>
    <w:p>
      <w:pPr>
        <w:ind w:firstLine="8"/>
        <w:spacing w:after="0" w:line="219" w:lineRule="auto"/>
        <w:tabs>
          <w:tab w:leader="none" w:pos="182"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Rosales - The Company has an equity interest in Rosales as noted in Note 6 - Equity in Investments. The Company recognizes lemon and orange sales to Rosales, procures lemons and oranges from Rosales and has amounts due from and due to Rosales for such sales and purchases.</w:t>
      </w:r>
    </w:p>
    <w:p>
      <w:pPr>
        <w:spacing w:after="0" w:line="103" w:lineRule="exact"/>
        <w:rPr>
          <w:rFonts w:ascii="Times New Roman" w:cs="Times New Roman" w:eastAsia="Times New Roman" w:hAnsi="Times New Roman"/>
          <w:sz w:val="22"/>
          <w:szCs w:val="22"/>
          <w:color w:val="auto"/>
          <w:vertAlign w:val="superscript"/>
        </w:rPr>
      </w:pPr>
    </w:p>
    <w:p>
      <w:pPr>
        <w:jc w:val="both"/>
        <w:ind w:firstLine="8"/>
        <w:spacing w:after="0" w:line="251" w:lineRule="auto"/>
        <w:tabs>
          <w:tab w:leader="none" w:pos="262"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Del Mar - The Company has an interest in Del Mar as a general partner and as a limited partner as noted in Note 6 - Equity in Investments. The Company provides Del Mar with farm management services and Del Mar markets lemons through the Company. The Company has a payable due to Del Mar for such lemon procurement.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January 31, 2025 was higher than the federal statutory tax rate of 21% mainly due to foreign jurisdictions that are taxed at different rates, state taxes, tax impact of stock-based compensation, executive compensation, nondeductible tax items and valuation allowances on certain deferred tax assets of foreign subsidiaries. The Company has no material uncertain tax positions as of January 31, 2025. The Company recognizes interest expense and penalties related to income tax matters as a component of income tax expense. There was no accrued interest or penalties associated with uncertain tax positions as of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common stock on the date of grant, and all are classified as equity awards.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Performance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time-based restricted stock grants are made to management under the Stock Plan and generally vest over a three-year period as service is provided.</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November 2024, 20,555 shares of restricted stock with a per share price of $25.54 were granted to management. The related compensation expense of $525,000 will be recognized over three years as the shares vest.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December 2024, 6,194 shares of restricted stock with a per share price of $26.30 were granted to management. The related compensation expense of $163,000 will be recognized over three years as the shares vest.</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and December 2024, the Company entered into Performance Share-Based Award Agreements with members of management whereby the employees may be granted up to a maximum of 53,498 shares of common stock in the future based on the achievement of certain long-term performance goals over a three-year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time-based restricted stock grants are made to key executives under the Stock Plan and generally vest over a three-year period as service is provided.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November 2024, 29,366 shares of restricted stock with a per share price of $25.54 were granted to key executives. The related compensation expense of $750,000 will be recognized over three years as the shares vest.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 2022, the Company entered into Retention Bonus Agreements with key executives (collectively, the “Retention Bonus Agreements”) whereby the executives will be eligible to receive cash and restricted stock grants upon the occurrence of certain events. During December 2024, the Company granted 2,972 shares of restricted stock with a per share price of $26.30 to key executives related to the Retention Bonus Agreements. The related compensation expense of $78,000 will be recognized over the next year as the shares vest.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entered into Performance Share-Based Award Agreements with key executives whereby the executives may be granted up to a maximum of 58,732 shares of common stock in the future based on the achievement of certain long-term performance goals over a three-year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time-based restricted stock grants are made on an annual basis to non-employee directors under the Stock Plan and generally vest after a one-year period as service is provided.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Common Stock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2025 and 2024, members of management exchanged 47,089 and 36,097 shares of common stock with fair values totaling $1,224,000 and $684,000, respectively, at the dates of the exchanges, for the payment of payroll taxes associated with the vesting of restricted stock under the Stock Plan.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primarily includes sales, farm management, farming and harvest costs, brokered fruit costs of oranges and specialty citrus, wine grapes, fallowing revenue, shipping revenue and shipping costs.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gain on disposal of assets, net, gain on sales of water rights, total other expense and income taxes, or specifically identify them to its operating segments. The lemon packing segment earns packing revenue for packing lemons grown on the Company's orchards and lemons procured from third-party growers. Intersegment revenues represent packing revenues related to lemons grown on the Company’s orchards.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January 31, 2025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3"/>
                <w:szCs w:val="13"/>
                <w:color w:val="auto"/>
              </w:rPr>
            </w:pPr>
          </w:p>
        </w:tc>
        <w:tc>
          <w:tcPr>
            <w:tcW w:w="8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40" w:type="dxa"/>
            <w:vAlign w:val="bottom"/>
          </w:tcPr>
          <w:p>
            <w:pPr>
              <w:spacing w:after="0"/>
              <w:rPr>
                <w:sz w:val="13"/>
                <w:szCs w:val="13"/>
                <w:color w:val="auto"/>
              </w:rPr>
            </w:pPr>
          </w:p>
        </w:tc>
        <w:tc>
          <w:tcPr>
            <w:tcW w:w="9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6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32,852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31,725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1,774</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January 31, 2024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3"/>
                <w:szCs w:val="13"/>
                <w:color w:val="auto"/>
              </w:rPr>
            </w:pPr>
          </w:p>
        </w:tc>
        <w:tc>
          <w:tcPr>
            <w:tcW w:w="8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40" w:type="dxa"/>
            <w:vAlign w:val="bottom"/>
          </w:tcPr>
          <w:p>
            <w:pPr>
              <w:spacing w:after="0"/>
              <w:rPr>
                <w:sz w:val="13"/>
                <w:szCs w:val="13"/>
                <w:color w:val="auto"/>
              </w:rPr>
            </w:pPr>
          </w:p>
        </w:tc>
        <w:tc>
          <w:tcPr>
            <w:tcW w:w="9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6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39,731</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38,339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60" w:type="dxa"/>
            <w:vAlign w:val="bottom"/>
          </w:tcPr>
          <w:p>
            <w:pPr>
              <w:spacing w:after="0"/>
              <w:rPr>
                <w:sz w:val="18"/>
                <w:szCs w:val="18"/>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37,370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45,418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1,744</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related to rental operations are included in “Corporate and Other.” The detail of other agribusiness revenues is as follows (in thousands):</w:t>
      </w:r>
    </w:p>
    <w:p>
      <w:pPr>
        <w:spacing w:after="0" w:line="16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0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wine grapes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agribusiness revenues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events subsequent to January 31, 2025 through the date of this filing, to assess the need for potential recognition or disclosure in this Quarterly Report. Based upon this evaluation, except as described in the notes to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ind w:right="400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color w:val="auto"/>
        </w:rPr>
        <w:t>Overview</w:t>
      </w: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10,500 acres of land, water resources and other assets to maximize long-term stockholder value. Our current operations consist of fruit production, sales and marketing, rental operations, real estate and capital investment activities.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California’s oldest citrus growers and according to the California Avocado Commission, we are one of the largest growers of avocados in the United States. In addition to growing lemons and avocados, we grow oranges and wine grapes. We have agricultural plantings throughout Ventura and San Luis Obispo Counties in California, Yuma County in Arizona, La Serena, Chile and Jujuy, Argentina, which collectively consist of approximately 3,100 acres of lemons, 1,400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wine grapes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Financial information and discussion of our four reportable segments are contained in the notes to the accompanying consolidated financial statements of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Summary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and sell citrus directly to our food service, wholesale and retail customers throughout the United States, Canada, Asia, and certain other international markets. We sell our avocados and oranges to third-party packinghouses. Additionally, we sell our wine grapes to various wine producers.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agribusiness division has been seasonal in nature with quarterly revenue fluctuating depending on the timing and variety of crops being harvested. Cultural costs, also referred to as growing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avocado plantings have been profitable and historically have been pursued to diversify our product line. We plan to expand our avocado production by 1,000 acres through fiscal year 2027 to capitalize on robust consumer demand trends.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growing lemons and avocados, we grow oranges and wine grapes. We regularly monitor the demand for the fruit we grow in the current marketplace to identify trends.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 Summary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rental operations include our residential and commercial rentals, leased land operations and organic recycling. Our residential rental units generate cash flows that we use to partially fund the operating costs of our business and provide affordable housing to many of our employees, including our agribusiness employees. We believe that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Summary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real estate investment projects and recognize that long-term strategies are required for successful real estate development activities.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and Mineral Rights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8,700 acre-feet of water rights in the adjudicated Santa Paula Basin (aquifer) and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11,500 acre-feet of Class 3 Colorado River water rights. We use ground water provided by wells and surface water for our PDA and San Pablo farming operations in La Serena, Chile and our Trapani Fresh farming operations in Argentina.</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Southern California is experiencing below average precipitation for the 2024 - 2025 rainfall season. As of January 31, 2025, Ventura County was experiencing extreme drought conditions. We continue to assess the impact drought conditions may have on our California orchards.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U.S. Bureau of Reclamation announced that Lake Mead will continue to operate in a Tier 1 shortage in 2025, which requires Arizona to forfeit approximately 18% of the state’s yearly allotment of water from Lake Mead. In response to this and prior years’ water shortages, we entered into fallowing agreements during fiscal years 2022 and 2023 and in February 2025, extended an existing fallowing agreement through calendar year 2026. We continue to assess the impact these ongoing water reductions may have on our Arizona orchards.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2023, we announced the commencement of a strategic review process to explore potential alternatives aimed at maximizing stockholder value. Potential strategic alternatives could include, but are not limited to, a sale of all or parts of the Company and its assets, a merger or other transaction. The Board has not set a timetable for completion of the review and no transaction or other outcome is guaranteed to take place. At this time, we cannot predict the impact that such strategic alternatives might have on our business, operations or financial condition.</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we completed three separate sale transactions of Santa Paula Basin water pumping rights at a selling price of $30,000 per acre-foot, totaling $1.7 million and recorded a gain on sales of water rights of $1.5 million.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17, 2024, we declared a cash dividend of $0.075 per common share payable on January 15, 2025, in the aggregate amount of $1.4 million to common stockholders of record as of December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(in thousands):</w:t>
      </w:r>
    </w:p>
    <w:p>
      <w:pPr>
        <w:spacing w:after="0" w:line="187"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8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4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39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39,114</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sales of water rights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disposal of assets, net</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sales of water rights</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disposal of assets, net</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9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9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(gain) loss attributable to noncontrolling interest</w:t>
            </w:r>
          </w:p>
        </w:tc>
        <w:tc>
          <w:tcPr>
            <w:tcW w:w="3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Limoneira Company</w:t>
            </w:r>
          </w:p>
        </w:tc>
        <w:tc>
          <w:tcPr>
            <w:tcW w:w="3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6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and gain on disposal of assets, net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12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Limoneira Company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disposal of assets,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386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Three Months Ended January 31, 2025 Compared to the Three Months Ended January 31, 2024 </w:t>
      </w:r>
      <w:r>
        <w:rPr>
          <w:rFonts w:ascii="Times New Roman" w:cs="Times New Roman" w:eastAsia="Times New Roman" w:hAnsi="Times New Roman"/>
          <w:sz w:val="18"/>
          <w:szCs w:val="18"/>
          <w:b w:val="1"/>
          <w:bCs w:val="1"/>
          <w:i w:val="1"/>
          <w:iCs w:val="1"/>
          <w:color w:val="auto"/>
        </w:rPr>
        <w:t>Revenues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the three months ended January 31, 2025, were $34.3 million, compared to $39.7 million for the same period of 2024. The 14% decrease of $5.4 million was primarily due to decreased agribusiness revenues from lemons, specialty citrus and wine grapes and farm management, partially offset by increased agribusiness revenues from oranges, as detailed below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(4,715)</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7"/>
              </w:rPr>
              <w:t>(14)%</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162</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427</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6"/>
              </w:rPr>
              <w:t>37%</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wine grapes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(583)</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(54)%</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(867)</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7"/>
              </w:rPr>
              <w:t>(42)%</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8%</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(5,487)</w:t>
            </w:r>
          </w:p>
        </w:tc>
        <w:tc>
          <w:tcPr>
            <w:tcW w:w="980" w:type="dxa"/>
            <w:vAlign w:val="bottom"/>
            <w:tcBorders>
              <w:bottom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7"/>
              </w:rPr>
              <w:t>(14)%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8"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for the first quarter of fiscal year 2025, compared to the same period of fiscal year 2024, was primarily due to lower prices of fresh lemons sold. Fresh lemon sales were $21.2 million and $23.9 million, in aggregate, on 1,147,000 and 1,137,000 cartons of lemons sold at average per carton prices of $18.44 and $21.06 for the first quarter of fiscal years 2025 and 2024, respectively. Lemon revenues included brokered lemons and other lemon sales of $2.2 million and $2.9 million, lemon packing of $4.5 million and $5.6 million and lemon by-product sales of $0.4 million and $0.5 million, for the first quarter of fiscal years 2025 and 2024, respectively.</w:t>
      </w:r>
    </w:p>
    <w:p>
      <w:pPr>
        <w:spacing w:after="0" w:line="3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During the first quarter of fiscal year 2025, 73,000 pounds of avocados were sold at an average per pound price of $2.25. Due to harvest timing, no avocado sales were recorded for the first quarter of fiscal year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jc w:val="both"/>
        <w:ind w:left="340" w:right="2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for the first quarter of fiscal year 2025, compared to the same period of fiscal year 2024, was primarily due to higher prices, partially offset by decreased volume of oranges sold. We sold 75,000 and 80,000 cartons of oranges at an average per carton price of $20.91 and $14.26, for the first quarter of fiscal years 2025 and 2024, respectively.</w:t>
      </w:r>
    </w:p>
    <w:p>
      <w:pPr>
        <w:spacing w:after="0" w:line="2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wine grapes: Specialty citrus revenue for the first quarters of fiscal years 2025 and 2024 was $0.5 million. Due to harvest timing, no wine grape revenue was recorded for the first quarter of fiscal year 2025, compared to $0.6 million in the first quarter of fiscal year 2024.</w:t>
      </w:r>
    </w:p>
    <w:p>
      <w:pPr>
        <w:spacing w:after="0" w:line="2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Farm management: Farm management revenue is comprised primarily of Northern Properties farming, management and operations services. The decrease in farm management revenues for the first quarter of fiscal year 2025, compared to the same period of fiscal year 2024, was primarily due to farm management decisions based on weather and crop conditions.</w:t>
      </w:r>
    </w:p>
    <w:p>
      <w:pPr>
        <w:spacing w:after="0" w:line="94"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Other revenue is comprised primarily of fallowing and shipping revenue. Other revenue for the first quarter of fiscal year 2025 was similar to the same period of fiscal year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revenue for the first quarter of fiscal years 2025 and 2024 were $1.5 million and $1.4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costs and expenses for the three months ended January 31, 2025, were $39.7 million, compared to $47.5 million for the same period of fiscal year 2024. The 17% decrease of $7.8 million was primarily due to gains on sales of water rights and decreases in agribusiness costs and expenses and selling, general and administrative expenses. Agribusiness costs and expenses are detailed below ($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8"/>
        </w:trPr>
        <w:tc>
          <w:tcPr>
            <w:tcW w:w="5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8"/>
        </w:trPr>
        <w:tc>
          <w:tcPr>
            <w:tcW w:w="5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(6)%</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(1,930)</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(3,371)</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(19)%</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7"/>
              </w:rPr>
              <w:t>(13)%</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2%</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(5,615)</w:t>
            </w:r>
          </w:p>
        </w:tc>
        <w:tc>
          <w:tcPr>
            <w:tcW w:w="980" w:type="dxa"/>
            <w:vAlign w:val="bottom"/>
            <w:tcBorders>
              <w:bottom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7"/>
              </w:rPr>
              <w:t>(14)%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consist primarily of the costs to pack lemons for sale such as labor and benefits, cardboard cartons, fruit treatments, packing and shipping supplies, subcontracted costs and facility operating costs. We packed and sold 1,147,000 and 1,137,000 cartons of lemons at average per carton costs of $9.23 and $9.43, for the first quarter of fiscal years 2025 and 2024, respectively.</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Harvest costs: The decrease for the first quarter of fiscal year 2025, compared to the same period of fiscal year 2024, was primarily due to decreased wine grapes harvested due to harvest timing.</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decrease for the first quarter of fiscal year 2025, compared to the same period for fiscal year 2024, was primarily due to farm management decisions based on weather, harvest timing and crop conditions.</w:t>
      </w:r>
    </w:p>
    <w:p>
      <w:pPr>
        <w:spacing w:after="0" w:line="27" w:lineRule="exact"/>
        <w:rPr>
          <w:rFonts w:ascii="Times New Roman" w:cs="Times New Roman" w:eastAsia="Times New Roman" w:hAnsi="Times New Roman"/>
          <w:sz w:val="18"/>
          <w:szCs w:val="18"/>
          <w:i w:val="1"/>
          <w:iCs w:val="1"/>
          <w:color w:val="auto"/>
        </w:rPr>
      </w:pPr>
    </w:p>
    <w:p>
      <w:pPr>
        <w:jc w:val="both"/>
        <w:ind w:left="340" w:hanging="332"/>
        <w:spacing w:after="0" w:line="255" w:lineRule="auto"/>
        <w:tabs>
          <w:tab w:leader="none" w:pos="3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and suppliers is referred to as third-party grower and supplier costs. The decrease for the first quarter of fiscal year 2025, compared to the same period of fiscal year 2024, was primarily due to lower prices of third-party grower fruit. We incurred costs for third-party grower fruit of $11.7 million and $14.7 million for the first quarter of fiscal years 2025 and 2024, respectively. Of the 1,147,000 and 1,137,000 cartons of lemons packed and sold, 953,000 (83%) and 952,000 (84%) were procured from third-party growers at average per carton prices of $12.23 and $15.41 for the first quarter of fiscal years 2025 and 2024, respectively. Additionally, we incurred $2.7 million and $3.0 million of costs for brokered fruit for the first quarter of fiscal years 2025 and 2024, respectively.</w:t>
      </w:r>
    </w:p>
    <w:p>
      <w:pPr>
        <w:spacing w:after="0" w:line="5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costs: Other costs for the first quarter of fiscal year 2025 were similar to the same period of fiscal year 2024.</w:t>
      </w:r>
    </w:p>
    <w:p>
      <w:pPr>
        <w:spacing w:after="0" w:line="76"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Depreciation and amortization: Depreciation and amortization expense for the first quarter of fiscal year 2025 was similar to the same period of fiscal year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Other operations expenses were $1.2 million for the first quarters of fiscal years 2025 and 2024.</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 on sales of water rights was $1.5 million for the first quarter of fiscal year 2025 due to three separate sale transactions of Santa Paula Basin water pumping rights.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 on disposal of assets, net was immaterial and $0.2 million for the first quarter of fiscal years 2025 and 2024, respectively. The decrease was due to a sale of real property located in Yuma, Arizona in the first quarter of fiscal year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and expenses were $6.5 million and $7.3 million for the first quarter of fiscal years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12% decrease of $0.8 million was primarily due to:</w:t>
      </w:r>
    </w:p>
    <w:p>
      <w:pPr>
        <w:spacing w:after="0" w:line="139"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net decrease in consulting and legal fees primarily associated with our strategic initiatives;</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net decrease in salaries, benefits and incentive compensation;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net decrease in other selling, general and administrative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 was $0.1 million for the first quarters of fiscal years 2025 and 2024.</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estimated income tax benefit of $2.4 million and $4.2 million for the first quarter of fiscal years 2025 and 2024 on pre-tax loss of $5.5 million and $7.9 million, respectively. The tax benefit recorded for the first quarter of fiscal year 2025 differs from the U.S. federal statutory tax rate of 21.0% primarily due to foreign jurisdictions that are taxed at different rates, state taxes, tax impact of stock-based compensation, executive compensation, nondeductible tax items and valuation allowances on certain deferred tax assets of foreign subsidiaries. Our projected annual effective blended tax rate for fiscal year 2025, excluding discrete items, is approximately 43.1%.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Attributable to Noncontrolling Interest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(gain) loss attributable to noncontrolling interest represents 10% of PDA’s net income or loss for the period and 49% of Trapani Fresh’s net loss for the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17 - Segment Information for additional information regarding our operating segments.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2025 Compared to the Three Months Ended January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January 31, 2025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32,852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34,305</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31,725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1,774</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January 31,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39,731</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38,339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6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37,370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45,418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1,744</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3740"/>
        <w:spacing w:after="0" w:line="415" w:lineRule="auto"/>
        <w:rPr>
          <w:sz w:val="20"/>
          <w:szCs w:val="20"/>
          <w:color w:val="auto"/>
        </w:rPr>
      </w:pPr>
      <w:r>
        <w:rPr>
          <w:rFonts w:ascii="Times New Roman" w:cs="Times New Roman" w:eastAsia="Times New Roman" w:hAnsi="Times New Roman"/>
          <w:sz w:val="18"/>
          <w:szCs w:val="18"/>
          <w:i w:val="1"/>
          <w:iCs w:val="1"/>
          <w:color w:val="auto"/>
        </w:rPr>
        <w:t xml:space="preserve">The following analysis should be read in conjunction with the previous section “Results of Operations.” </w:t>
      </w:r>
      <w:r>
        <w:rPr>
          <w:rFonts w:ascii="Times New Roman" w:cs="Times New Roman" w:eastAsia="Times New Roman" w:hAnsi="Times New Roman"/>
          <w:sz w:val="18"/>
          <w:szCs w:val="18"/>
          <w:b w:val="1"/>
          <w:bCs w:val="1"/>
          <w:i w:val="1"/>
          <w:iCs w:val="1"/>
          <w:color w:val="auto"/>
        </w:rPr>
        <w:t>Fresh Lemons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brokered lemons and other lemon revenue. Our fresh lemons segment total net revenues were $23.7 million for the first quarter of fiscal year 2025, compared to $27.4 million for the same period in fiscal year 2024. The (13)% decrease of $3.7 million was primarily due to:</w:t>
      </w:r>
    </w:p>
    <w:p>
      <w:pPr>
        <w:spacing w:after="0" w:line="10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packed lemon sales decrease of $2.8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 by-products sales decrease of $0.2 million;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Brokered lemons and other lemon sales decrease of $0.7 million.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cost of lemons we procure from third-party growers and suppliers and packing service charges incurred from the lemon packing segment to pack lemons for sale. For the first quarter of fiscal years 2025 and 2024, our fresh lemons segment costs and expenses were $24.4 million and $28.8 million, respectively. The 15% decrease of $4.4 million was primarily due to:</w:t>
      </w:r>
    </w:p>
    <w:p>
      <w:pPr>
        <w:spacing w:after="0" w:line="108"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decrease of $0.9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decrease of $4.2 million;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Harvest costs increase of $0.1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increase of $0.6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packing revenue and intersegment packing revenue. For the first quarter of fiscal years 2025 and 2024, our lemon packing segment total net revenues were $11.8 million and $12.3 million, respectively. The 4% decrease of $0.5 million was primarily due to decreased packing revenue.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costs to pack lemons for sale such as labor and benefits, cardboard cartons, fruit treatments, packing and shipping supplies, subcontracted costs and facility operating costs. Our lemon packing costs and expenses were $10.6 million and $10.7 million, for the first quarter of fiscal years 2025 and 2024,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Lemon packing segment operating income per carton sold was $1.07 and $1.40, for the first quarter of fiscal years 2025 and 2024, respectively.</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The lemon packing segment included $7.3 million and $6.7 million of intersegment revenues for the first quarter of fiscal years 2025 and 2024, respectively, that were charged to the fresh lemons segment to pack lemons for sale. Such intersegment revenues and expenses are eliminated in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Avocados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fiscal year 2025, our avocados segment had revenues of $0.2 million, compared to no revenues in the same period of fiscal year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Agribusiness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agribusiness segment total net revenues were $4.4 million and $5.4 million for the first quarter of fiscal years 2025 and 2024, respectively.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decrease of $1.0 million was primarily due to:</w:t>
      </w:r>
    </w:p>
    <w:p>
      <w:pPr>
        <w:spacing w:after="0" w:line="139"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management revenues decrease of $0.9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wine grapes revenues decrease of $0.6 million;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revenues increase of $0.4 million;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increase of $0.1 million.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brokered fruit costs and shipping costs. Our other agribusiness costs and expenses were $3.9 million and $4.5 million for the first quarter of fiscal years 2025 and 2024, respectively. The 13% decrease of $0.6 million was primarily due to:</w:t>
      </w:r>
    </w:p>
    <w:p>
      <w:pPr>
        <w:spacing w:after="0" w:line="95"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decrease of $1.1 million;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decrease of $0.2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costs decrease of $0.1 million;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Brokered fruit costs increase of $0.8 million.</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were $1.8 million and $1.7 million for the first quarter of fiscal years 2025 and 2024,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had revenues of $1.5 million and $1.4 million for the first quarter of fiscal years 2025 and 2024, respectively.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in our corporate and other operations were $5.9 million and $8.0 million for the first quarter of fiscal years 2025 and 2024, respectively, and include selling, general and administrative costs and expenses, gain on sales of water rights and gain on disposal of assets, which are not allocated to the operating segments. Depreciation and amortization expenses for the first quarter of fiscal years 2025 and 2024 were $0.2 million and $0.3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Operations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Trailing Twelve Months Ended January 31, 2025 and 2024</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unaudited results of operations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2"/>
        </w:trPr>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Trailing Twelve Months Ended</w:t>
            </w:r>
          </w:p>
        </w:tc>
      </w:tr>
      <w:tr>
        <w:trPr>
          <w:trHeight w:val="238"/>
        </w:trPr>
        <w:tc>
          <w:tcPr>
            <w:tcW w:w="8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r>
      <w:tr>
        <w:trPr>
          <w:trHeight w:val="223"/>
        </w:trPr>
        <w:tc>
          <w:tcPr>
            <w:tcW w:w="8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176,192</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181,730</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167,042</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sales of water rights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legal settlement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24,520</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204,577</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(22,847)</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(provision) benefit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14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$4.3 million, primarily due to higher avocado revenue, partially offset by decreased lemon and farm management revenue.</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decreased $14.7 million, primarily due to decreased agribusiness costs, increased gain on sales of water rights and decreased loss on disposal of assets, partially offset by increased selling, general and administrative expenses and decreased gain on legal settlement.</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income increased $11.7 million, primarily due to increased equity in earnings of investments, net related to LLCB, partially offset by an increase in interest expense, net of patronage dividends.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provision increased $12.9 million, primarily due to increased pre-tax income of $30.8 million.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flows generated from our operations, use of our revolving credit facility, sales of assets and distributions from our equity investments.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consist primarily of purchase obligations, long-term fixed rate and variable rate debt and related interest payments and operating and finance leases. See Note 10 - Long-Term Debt and Note 11 - Leases for amounts outstanding as of January 31, 2025, related to debt and leases. Purchase obligations consist of contracts primarily related to packing supplies, the majority of which are due in the next three years.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cash flows to the extent necessary based on our liquidity demands.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$12.9 million and $10.3 million for the three months ended January 31, 2025 and 2024, respectively. The significant components of our cash flows used in operating activities were as follows:</w:t>
      </w:r>
    </w:p>
    <w:p>
      <w:pPr>
        <w:spacing w:after="0" w:line="94" w:lineRule="exact"/>
        <w:rPr>
          <w:sz w:val="20"/>
          <w:szCs w:val="20"/>
          <w:color w:val="auto"/>
        </w:rPr>
      </w:pPr>
    </w:p>
    <w:p>
      <w:pPr>
        <w:jc w:val="both"/>
        <w:ind w:left="340" w:right="2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$3.1 million and $3.7 million for the three months ended January 31, 2025 and 2024, respectively. The components of net loss for the three months ended January 31, 2025, compared to the net loss in the same period for fiscal year 2024, consist of a decrease in operating loss of $2.4 million, partially offset by a decrease in income tax benefit of $1.8 million.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76"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were $(0.6) million and $(1.1) million for the three months ended January 31, 2025 and 2024, respectively, primarily related to gain on sales of water rights and deferred income taxes.</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used $9.3 million and $5.5 million of operating cash for the three months ended January 31, 2025 and 2024, respectively, primarily related to accounts receivables and receivables/other from related parties, accounts payable and growers and suppliers payable, and accrued liabilities and payables to related parties.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$3.5 million and $1.6 million for the three months ended January 31, 2025 and 2024, respectively.</w:t>
      </w:r>
    </w:p>
    <w:p>
      <w:pPr>
        <w:spacing w:after="0" w:line="158" w:lineRule="exact"/>
        <w:rPr>
          <w:sz w:val="20"/>
          <w:szCs w:val="20"/>
          <w:color w:val="auto"/>
        </w:rPr>
      </w:pPr>
    </w:p>
    <w:p>
      <w:pPr>
        <w:ind w:left="340" w:hanging="332"/>
        <w:spacing w:after="0" w:line="282" w:lineRule="auto"/>
        <w:tabs>
          <w:tab w:leader="none" w:pos="3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$3.5 million of cash used in investing activities for the three months ended January 31, 2025 was comprised primarily of capital expenditures of $4.1 million, mainly related to orchard and vineyard development, partially offset by proceeds from sales of water rights of $0.6 million.</w:t>
      </w:r>
    </w:p>
    <w:p>
      <w:pPr>
        <w:spacing w:after="0" w:line="13"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$1.6 million of cash used in investing activities for the three months ended January 31, 2024 was comprised primarily of capital expenditures of $2.2 million, mainly related to orchard and vineyard development, and equity investment contributions and capitalized interest of $0.3 million, partially offset by net proceeds from sales of assets of $0.8 million.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$14.5 million and $8.8 million for the three months ended January 31, 2025 and 2024, respectively.</w:t>
      </w:r>
    </w:p>
    <w:p>
      <w:pPr>
        <w:spacing w:after="0" w:line="144" w:lineRule="exact"/>
        <w:rPr>
          <w:sz w:val="20"/>
          <w:szCs w:val="20"/>
          <w:color w:val="auto"/>
        </w:rPr>
      </w:pPr>
    </w:p>
    <w:p>
      <w:pPr>
        <w:jc w:val="both"/>
        <w:ind w:left="340" w:hanging="332"/>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$14.5 million of cash provided by financing activities for the three months ended January 31, 2025 was comprised primarily of net borrowings of long-term debt of $17.4 million, partially offset by common and preferred dividends of $1.5 million and the exchange of common stock of $1.2 million.</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$8.8 million of cash provided by financing activities for the three months ended January 31, 2024 was comprised primarily of net borrowings of long-term debt of $11.1 million, partially offset by common and preferred dividends of $1.5 million and the exchange of common stock of $0.7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Affecting 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Long-Term Debt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distributions from equity investments and from our Credit Facility with AgWest Farm Credit, formerly known as Farm Credit West, (the "Lender"), which includes the Master Loan Agreement (the “MLA”), a revolving credit facility supplement (the “Revolving Credit Supplement”), a non-revolving credit facility supplement (the “Non-Revolving Credit Supplement” and, together with the Revolving Credit Supplement, the “Supplements”), and a Fixed Interest Rate Agreement, which extends principal repayment to July 1, 2026. The MLA governs the terms of the Supplements. In addition, we have COVID-19 loans in Chile. Additional information regarding these loans can be found in Note 10 - Long-Term Debt.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 million, comprised of $75.0 million under the Revolving Credit Supplement and $40.0 million under the Non-Revolving Credit Supplement. As of January 31, 2025, our outstanding borrowings under the AgWest Farm Credit Facility were $57.8 million and we had $57.2 million of availability.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specific debt service coverage ratio of 1.25:1.0 on an annual basis. We were in compliance wtih the covenants as of October 31,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Series B Convertible Preferred Stock and Series B-2 Preferred Stock are entitled to receive cumulative cash dividends. Such preferred dividends paid were $0.1 million for the three months ended January 31, 2025 and 2024.</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dividends declared for the three months ended January 31, 2025 and 2024 were $0.075 per common share. Such dividends paid were $1.4 million for the three months ended January 31, 2025 and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becomes available in future periods. As of January 31, 2025, our critical accounting policies and estimates have not changed since the filing of our Annual Report on Form 10-K for the fiscal year ended October 31, 2024, as filed with the SEC on December 23, 2024. Please refer to that filing for a description of our critical accounting policies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of the notes to consolidated financial statements included in this Quarterly Report for information concerning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2024, as filed with the SEC on December 23,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January 31, 2025, we carried out an evaluation, under the supervision and with the participation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ectPr>
          <w:pgSz w:w="11900" w:h="16838" w:orient="portrait"/>
          <w:cols w:equalWidth="0" w:num="1">
            <w:col w:w="11240"/>
          </w:cols>
          <w:pgMar w:left="320" w:top="1251" w:right="339" w:bottom="1440" w:gutter="0" w:footer="0" w:header="0"/>
        </w:sectPr>
      </w:pP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quarter ended January 31, 2025, or, to our knowledge, internal control over financial reporting.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internal control over financial reporting during the in other factors that have materially affected, or are reasonably likely to materially affect, our</w:t>
      </w:r>
    </w:p>
    <w:p>
      <w:pPr>
        <w:spacing w:after="0" w:line="292" w:lineRule="exact"/>
        <w:rPr>
          <w:sz w:val="20"/>
          <w:szCs w:val="20"/>
          <w:color w:val="auto"/>
        </w:rPr>
      </w:pPr>
    </w:p>
    <w:p>
      <w:pPr>
        <w:sectPr>
          <w:pgSz w:w="11900" w:h="16838" w:orient="portrait"/>
          <w:cols w:equalWidth="0" w:num="2">
            <w:col w:w="4120" w:space="60"/>
            <w:col w:w="7060"/>
          </w:cols>
          <w:pgMar w:left="320" w:top="1251" w:right="339" w:bottom="1440" w:gutter="0" w:footer="0" w:header="0"/>
          <w:type w:val="continuous"/>
        </w:sect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15 - Commitments and Contingencies of the Notes to the Consolidated Financial Statements in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disclosures discussed in the section entitled “Risk Factors” in Part I, Item 1A of our Annual Report on Form 10-K for the fiscal year ended October 31, 2024, as filed with the SEC on December 23,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year 2025, we purchased shares of common stock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175"/>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8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18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47,089</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8"/>
        <w:spacing w:after="0" w:line="242" w:lineRule="auto"/>
        <w:tabs>
          <w:tab w:leader="none" w:pos="185"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were acquired from employees in accordance with our stock-based compensation plan as a result of share withholdings to pay income tax related to the vesting and distribution of restricted stock awards.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ectPr>
          <w:pgSz w:w="11900" w:h="16838" w:orient="portrait"/>
          <w:cols w:equalWidth="0" w:num="1">
            <w:col w:w="11240"/>
          </w:cols>
          <w:pgMar w:left="320" w:top="1251" w:right="339" w:bottom="1440" w:gutter="0" w:footer="0" w:header="0"/>
        </w:sectPr>
      </w:pPr>
    </w:p>
    <w:p>
      <w:pPr>
        <w:spacing w:after="0" w:line="5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19685</wp:posOffset>
            </wp:positionV>
            <wp:extent cx="55803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20" w:lineRule="exact"/>
        <w:rPr>
          <w:sz w:val="20"/>
          <w:szCs w:val="20"/>
          <w:color w:val="auto"/>
        </w:rPr>
      </w:pPr>
    </w:p>
    <w:p>
      <w:pPr>
        <w:ind w:right="1460"/>
        <w:spacing w:after="0" w:line="222"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Restated Certificate of Incorporation of Limoneira Company, dated July 5, 1990 (Incorporated by reference to Exhibit</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3.1 to the Company’s Registration Statement on Form 10, and amendments thereto, declared effective April 13, 2010</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(File No. 000-53885))</w:t>
        </w:r>
      </w:hyperlink>
    </w:p>
    <w:p>
      <w:pPr>
        <w:spacing w:after="0" w:line="138" w:lineRule="exact"/>
        <w:rPr>
          <w:sz w:val="20"/>
          <w:szCs w:val="20"/>
          <w:color w:val="auto"/>
        </w:rPr>
      </w:pPr>
    </w:p>
    <w:p>
      <w:pPr>
        <w:sectPr>
          <w:pgSz w:w="11900" w:h="16838" w:orient="portrait"/>
          <w:cols w:equalWidth="0" w:num="2">
            <w:col w:w="660" w:space="380"/>
            <w:col w:w="1020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Certificate of Amendment of Certificate of Incorporation of Limoneira Company, dated April 22, 2003 (Incorporated by</w:t>
              </w:r>
            </w:hyperlink>
          </w:p>
        </w:tc>
      </w:tr>
      <w:tr>
        <w:trPr>
          <w:trHeight w:val="155"/>
        </w:trPr>
        <w:tc>
          <w:tcPr>
            <w:tcW w:w="1040" w:type="dxa"/>
            <w:vAlign w:val="bottom"/>
          </w:tcPr>
          <w:p>
            <w:pPr>
              <w:spacing w:after="0"/>
              <w:rPr>
                <w:sz w:val="13"/>
                <w:szCs w:val="13"/>
                <w:color w:val="auto"/>
              </w:rPr>
            </w:pPr>
          </w:p>
        </w:tc>
        <w:tc>
          <w:tcPr>
            <w:tcW w:w="89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reference to Exhibit 3.7 to the Company’s Registration Statement on Form 10, and amendments thereto, declared</w:t>
              </w:r>
            </w:hyperlink>
          </w:p>
        </w:tc>
        <w:tc>
          <w:tcPr>
            <w:tcW w:w="12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88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effective April 13, 2010 (File No. 000-53885))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358"/>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3.3</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Certificate of Amendment of Certificate of Incorporation of Limoneira Company, dated March 24, 2010 (Incorporated by</w:t>
              </w:r>
            </w:hyperlink>
          </w:p>
        </w:tc>
      </w:tr>
      <w:tr>
        <w:trPr>
          <w:trHeight w:val="155"/>
        </w:trPr>
        <w:tc>
          <w:tcPr>
            <w:tcW w:w="1040" w:type="dxa"/>
            <w:vAlign w:val="bottom"/>
          </w:tcPr>
          <w:p>
            <w:pPr>
              <w:spacing w:after="0"/>
              <w:rPr>
                <w:sz w:val="13"/>
                <w:szCs w:val="13"/>
                <w:color w:val="auto"/>
              </w:rPr>
            </w:pPr>
          </w:p>
        </w:tc>
        <w:tc>
          <w:tcPr>
            <w:tcW w:w="89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reference to Exhibit 3.9 to the Company’s Registration Statement on Form 10, and amendments thereto, declared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88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effective April 13, 2010 (File No. 000-53885))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358"/>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Certificate of Amendment of Certificate of Incorporation of Limoneira Company, dated March 29, 2017 (Incorporated by</w:t>
              </w:r>
            </w:hyperlink>
          </w:p>
        </w:tc>
      </w:tr>
      <w:tr>
        <w:trPr>
          <w:trHeight w:val="155"/>
        </w:trPr>
        <w:tc>
          <w:tcPr>
            <w:tcW w:w="104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reference to Exhibit 3.1 to the Company’s Current Report on Form 8-K, filed March 31, 2017 (File No. 001-34755))</w:t>
              </w:r>
            </w:hyperlink>
          </w:p>
        </w:tc>
        <w:tc>
          <w:tcPr>
            <w:tcW w:w="5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372"/>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3.5</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Amendment of Certificate of Incorporation of Limoneira Company, dated March 26, 2024 (Incorporated by</w:t>
              </w:r>
            </w:hyperlink>
          </w:p>
        </w:tc>
      </w:tr>
      <w:tr>
        <w:trPr>
          <w:trHeight w:val="155"/>
        </w:trPr>
        <w:tc>
          <w:tcPr>
            <w:tcW w:w="104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reference to Exhibit 3.1 to the Company’s Current Report on Form 8-K, filed March 28, 2024 (File No. 001-34755))</w:t>
              </w:r>
            </w:hyperlink>
          </w:p>
        </w:tc>
        <w:tc>
          <w:tcPr>
            <w:tcW w:w="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372"/>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3.6</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Bylaws of Limoneira Company, dated December 15, 2023 (Incorporated by reference to Exhibit</w:t>
              </w:r>
            </w:hyperlink>
          </w:p>
        </w:tc>
      </w:tr>
      <w:tr>
        <w:trPr>
          <w:trHeight w:val="156"/>
        </w:trPr>
        <w:tc>
          <w:tcPr>
            <w:tcW w:w="104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December 18, 2023 (File No. 001-34755))</w:t>
              </w:r>
            </w:hyperlink>
          </w:p>
        </w:tc>
        <w:tc>
          <w:tcPr>
            <w:tcW w:w="17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371"/>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Designation, Preferences and Rights of Series A Junior Participating Preferred Stock, $.01 Par Value, of</w:t>
              </w:r>
            </w:hyperlink>
          </w:p>
        </w:tc>
      </w:tr>
      <w:tr>
        <w:trPr>
          <w:trHeight w:val="156"/>
        </w:trPr>
        <w:tc>
          <w:tcPr>
            <w:tcW w:w="1040" w:type="dxa"/>
            <w:vAlign w:val="bottom"/>
          </w:tcPr>
          <w:p>
            <w:pPr>
              <w:spacing w:after="0"/>
              <w:rPr>
                <w:sz w:val="13"/>
                <w:szCs w:val="13"/>
                <w:color w:val="auto"/>
              </w:rPr>
            </w:pPr>
          </w:p>
        </w:tc>
        <w:tc>
          <w:tcPr>
            <w:tcW w:w="87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Limoneira Company, dated November 21, 2006 (Incorporated by reference to Exhibit 3.8 to the Company’s Registration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874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Statement on Form 10, and amendments thereto, declared effective April 13, 2010 (File No. 000-53885))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358"/>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 xml:space="preserve">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w:t>
              </w:r>
            </w:hyperlink>
          </w:p>
        </w:tc>
      </w:tr>
      <w:tr>
        <w:trPr>
          <w:trHeight w:val="155"/>
        </w:trPr>
        <w:tc>
          <w:tcPr>
            <w:tcW w:w="1040" w:type="dxa"/>
            <w:vAlign w:val="bottom"/>
          </w:tcPr>
          <w:p>
            <w:pPr>
              <w:spacing w:after="0"/>
              <w:rPr>
                <w:sz w:val="13"/>
                <w:szCs w:val="13"/>
                <w:color w:val="auto"/>
              </w:rPr>
            </w:pPr>
          </w:p>
        </w:tc>
        <w:tc>
          <w:tcPr>
            <w:tcW w:w="8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Limoneira Company, dated May 21, 1997 (Incorporated by reference to Exhibit 3.4 to the Company’s Registration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88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Statement on Form 10, and amendments thereto, declared effective April 13, 2010 (File No. 000-53885))</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358"/>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 xml:space="preserve">Amended 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w:t>
              </w:r>
            </w:hyperlink>
          </w:p>
        </w:tc>
      </w:tr>
      <w:tr>
        <w:trPr>
          <w:trHeight w:val="155"/>
        </w:trPr>
        <w:tc>
          <w:tcPr>
            <w:tcW w:w="104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B of Limoneira Company, dated May 21, 1997 (Incorporated by reference to Exhibit 3.5 to the Company’s Registration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8960" w:type="dxa"/>
            <w:vAlign w:val="bottom"/>
            <w:gridSpan w:val="19"/>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Statement on Form 10, and amendments thereto, declared effective April 13, 2010 (File No. 000-53885))</w:t>
              </w:r>
            </w:hyperlink>
          </w:p>
        </w:tc>
        <w:tc>
          <w:tcPr>
            <w:tcW w:w="12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358"/>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 xml:space="preserve">Certificate of Designation, Preferences and Rights of 4%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B-2 of</w:t>
              </w:r>
            </w:hyperlink>
          </w:p>
        </w:tc>
      </w:tr>
      <w:tr>
        <w:trPr>
          <w:trHeight w:val="155"/>
        </w:trPr>
        <w:tc>
          <w:tcPr>
            <w:tcW w:w="10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Limoneira Company, dated March 20, 2014 (Incorporated by reference to Exhibit 3.1 to the Company’s Current Report</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260" w:type="dxa"/>
            <w:vAlign w:val="bottom"/>
            <w:gridSpan w:val="3"/>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8940" w:type="dxa"/>
            <w:vAlign w:val="bottom"/>
            <w:gridSpan w:val="18"/>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on Form 8-K, filed March 24, 2014 (File No. 001-34755))</w:t>
              </w:r>
            </w:hyperlink>
          </w:p>
        </w:tc>
        <w:tc>
          <w:tcPr>
            <w:tcW w:w="1260" w:type="dxa"/>
            <w:vAlign w:val="bottom"/>
            <w:gridSpan w:val="3"/>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r>
      <w:tr>
        <w:trPr>
          <w:trHeight w:val="358"/>
        </w:trPr>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4.5</w:t>
            </w:r>
          </w:p>
        </w:tc>
        <w:tc>
          <w:tcPr>
            <w:tcW w:w="10200" w:type="dxa"/>
            <w:vAlign w:val="bottom"/>
            <w:gridSpan w:val="21"/>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Description of Securities (Incorporated by reference to Exhibit 4.7 of the Company's Annual Report on Form 10-K, filed</w:t>
              </w:r>
            </w:hyperlink>
          </w:p>
        </w:tc>
      </w:tr>
      <w:tr>
        <w:trPr>
          <w:trHeight w:val="156"/>
        </w:trPr>
        <w:tc>
          <w:tcPr>
            <w:tcW w:w="1040" w:type="dxa"/>
            <w:vAlign w:val="bottom"/>
          </w:tcPr>
          <w:p>
            <w:pPr>
              <w:spacing w:after="0"/>
              <w:rPr>
                <w:sz w:val="13"/>
                <w:szCs w:val="13"/>
                <w:color w:val="auto"/>
              </w:rPr>
            </w:pPr>
          </w:p>
        </w:tc>
        <w:tc>
          <w:tcPr>
            <w:tcW w:w="88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on December 22, 2022 (file No. 001-34755)</w:t>
              </w:r>
              <w:r>
                <w:rPr>
                  <w:rFonts w:ascii="Times New Roman" w:cs="Times New Roman" w:eastAsia="Times New Roman" w:hAnsi="Times New Roman"/>
                  <w:sz w:val="18"/>
                  <w:szCs w:val="18"/>
                  <w:u w:val="single" w:color="auto"/>
                  <w:color w:val="0000FF"/>
                </w:rPr>
                <w:t>)</w:t>
              </w:r>
            </w:hyperlink>
          </w:p>
        </w:tc>
        <w:tc>
          <w:tcPr>
            <w:tcW w:w="1340" w:type="dxa"/>
            <w:vAlign w:val="bottom"/>
            <w:gridSpan w:val="7"/>
          </w:tcPr>
          <w:p>
            <w:pPr>
              <w:spacing w:after="0"/>
              <w:rPr>
                <w:sz w:val="13"/>
                <w:szCs w:val="13"/>
                <w:color w:val="auto"/>
              </w:rPr>
            </w:pPr>
          </w:p>
        </w:tc>
      </w:tr>
      <w:tr>
        <w:trPr>
          <w:trHeight w:val="898"/>
        </w:trPr>
        <w:tc>
          <w:tcPr>
            <w:tcW w:w="1040" w:type="dxa"/>
            <w:vAlign w:val="bottom"/>
          </w:tcPr>
          <w:p>
            <w:pPr>
              <w:spacing w:after="0"/>
              <w:rPr>
                <w:sz w:val="24"/>
                <w:szCs w:val="24"/>
                <w:color w:val="auto"/>
              </w:rPr>
            </w:pPr>
          </w:p>
        </w:tc>
        <w:tc>
          <w:tcPr>
            <w:tcW w:w="3180" w:type="dxa"/>
            <w:vAlign w:val="bottom"/>
            <w:tcBorders>
              <w:top w:val="single" w:sz="8" w:color="0000FF"/>
            </w:tcBorders>
          </w:tcPr>
          <w:p>
            <w:pPr>
              <w:spacing w:after="0"/>
              <w:rPr>
                <w:sz w:val="24"/>
                <w:szCs w:val="24"/>
                <w:color w:val="auto"/>
              </w:rPr>
            </w:pPr>
          </w:p>
        </w:tc>
        <w:tc>
          <w:tcPr>
            <w:tcW w:w="3980" w:type="dxa"/>
            <w:vAlign w:val="bottom"/>
            <w:gridSpan w:val="3"/>
          </w:tcPr>
          <w:p>
            <w:pPr>
              <w:jc w:val="right"/>
              <w:ind w:right="248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750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Exchange Act Rule 13a-14(a) and 15d-14(a)</w:t>
            </w:r>
          </w:p>
        </w:tc>
        <w:tc>
          <w:tcPr>
            <w:tcW w:w="25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Exchange Act Rule 13a-14(a) and 15d-14(a)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8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6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3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7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information from the Company’s Quarterly Report on Form 10-Q for the quarter ended January 31, 2025 formatted in Inline</w:t>
            </w: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006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auto"/>
              </w:rPr>
              <w:t>XBRL (Extensible Business Reporting Language) includes: (i) the Consolidated Balance Sheets (Unaudited), (ii) the Consolidated</w:t>
            </w:r>
          </w:p>
        </w:tc>
        <w:tc>
          <w:tcPr>
            <w:tcW w:w="0" w:type="dxa"/>
            <w:vAlign w:val="bottom"/>
          </w:tcPr>
          <w:p>
            <w:pPr>
              <w:spacing w:after="0"/>
              <w:rPr>
                <w:sz w:val="1"/>
                <w:szCs w:val="1"/>
                <w:color w:val="auto"/>
              </w:rPr>
            </w:pPr>
          </w:p>
        </w:tc>
      </w:tr>
    </w:tbl>
    <w:p>
      <w:pPr>
        <w:jc w:val="both"/>
        <w:ind w:left="1160"/>
        <w:spacing w:after="0" w:line="218" w:lineRule="auto"/>
        <w:rPr>
          <w:sz w:val="20"/>
          <w:szCs w:val="20"/>
          <w:color w:val="auto"/>
        </w:rPr>
      </w:pPr>
      <w:r>
        <w:rPr>
          <w:rFonts w:ascii="Times New Roman" w:cs="Times New Roman" w:eastAsia="Times New Roman" w:hAnsi="Times New Roman"/>
          <w:sz w:val="18"/>
          <w:szCs w:val="18"/>
          <w:color w:val="auto"/>
        </w:rPr>
        <w:t>Statements of Operations (Unaudited), (iii) the Consolidated Statements of Comprehensive Loss (Unaudited), (iv) the Consolidated Statements of Stockholders’ Equity and Temporary Equity (Unaudited), (v) the Consolidated Statements of Cash Flows (Unaudited), and (vi) the Notes to Consolidated Financial Statements (Unaudited)</w:t>
      </w:r>
    </w:p>
    <w:p>
      <w:pPr>
        <w:spacing w:after="0" w:line="147" w:lineRule="exact"/>
        <w:rPr>
          <w:sz w:val="20"/>
          <w:szCs w:val="20"/>
          <w:color w:val="auto"/>
        </w:rPr>
      </w:pPr>
    </w:p>
    <w:p>
      <w:pPr>
        <w:ind w:left="1160" w:hanging="1154"/>
        <w:spacing w:after="0"/>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for the quarter ended January 31, 2025 has been formatted in Inline</w:t>
      </w: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7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management contracts and compensatory plans or arrangements.</w:t>
      </w:r>
    </w:p>
    <w:p>
      <w:pPr>
        <w:spacing w:after="0" w:line="77" w:lineRule="exact"/>
        <w:rPr>
          <w:sz w:val="20"/>
          <w:szCs w:val="20"/>
          <w:color w:val="auto"/>
        </w:rPr>
      </w:pPr>
    </w:p>
    <w:p>
      <w:pPr>
        <w:jc w:val="both"/>
        <w:ind w:left="260" w:hanging="254"/>
        <w:spacing w:after="0" w:line="223"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252" w:lineRule="exact"/>
        <w:rPr>
          <w:sz w:val="20"/>
          <w:szCs w:val="20"/>
          <w:color w:val="auto"/>
        </w:rPr>
      </w:pPr>
    </w:p>
    <w:p>
      <w:pPr>
        <w:ind w:left="20"/>
        <w:spacing w:after="0"/>
        <w:tabs>
          <w:tab w:leader="none" w:pos="5100" w:val="left"/>
          <w:tab w:leader="none" w:pos="5640" w:val="left"/>
        </w:tabs>
        <w:rPr>
          <w:sz w:val="20"/>
          <w:szCs w:val="20"/>
          <w:color w:val="auto"/>
        </w:rPr>
      </w:pP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100" w:val="left"/>
          <w:tab w:leader="none" w:pos="5640" w:val="left"/>
        </w:tabs>
        <w:rPr>
          <w:sz w:val="20"/>
          <w:szCs w:val="20"/>
          <w:color w:val="auto"/>
        </w:rPr>
      </w:pP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3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365" w:right="35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60" w:right="20" w:hanging="412"/>
        <w:spacing w:after="0" w:line="282" w:lineRule="auto"/>
        <w:tabs>
          <w:tab w:leader="none" w:pos="4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57" w:lineRule="auto"/>
        <w:tabs>
          <w:tab w:leader="none" w:pos="8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20" w:hanging="412"/>
        <w:spacing w:after="0" w:line="260" w:lineRule="auto"/>
        <w:tabs>
          <w:tab w:leader="none" w:pos="4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January 31, 2025 (the “Report”) of Limoneira Company (the “Registrant”), as filed with the Securities and Exchange Commission on the date hereof, I, Harold S. Edwards, Director, President and Chief Executive Officer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January 31, 2025 (the “Report”) of Limoneira Company (the “Registrant”), as filed with the Securities and Exchange Commission on the date hereof, I, Mark Palamountain, Executive Vice President, Chief Financial Officer and Treasurer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97"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lowerLetter"/>
      <w:start w:val="4"/>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lvl w:ilvl="1">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04"/>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52" Type="http://schemas.openxmlformats.org/officeDocument/2006/relationships/hyperlink" Target="https://www.sec.gov/Archives/edgar/data/1342423/000114420410007241/v173157_ex3-1.htm" TargetMode="External"/><Relationship Id="rId53" Type="http://schemas.openxmlformats.org/officeDocument/2006/relationships/hyperlink" Target="https://www.sec.gov/Archives/edgar/data/1342423/000114420410007241/v173157_ex3-7.htm" TargetMode="External"/><Relationship Id="rId54" Type="http://schemas.openxmlformats.org/officeDocument/2006/relationships/hyperlink" Target="https://www.sec.gov/Archives/edgar/data/1342423/000114420410017415/v178900_ex3-9.htm" TargetMode="External"/><Relationship Id="rId55" Type="http://schemas.openxmlformats.org/officeDocument/2006/relationships/hyperlink" Target="https://www.sec.gov/Archives/edgar/data/1342423/000114420417018212/v463210_ex3-1.htm" TargetMode="External"/><Relationship Id="rId56" Type="http://schemas.openxmlformats.org/officeDocument/2006/relationships/hyperlink" Target="https://www.sec.gov/Archives/edgar/data/1342423/000110465924040501/tm249848d1_ex3-1.htm" TargetMode="External"/><Relationship Id="rId57" Type="http://schemas.openxmlformats.org/officeDocument/2006/relationships/hyperlink" Target="https://www.sec.gov/Archives/edgar/data/1342423/000110465923126652/tm2333025d1_ex3-1.htm" TargetMode="External"/><Relationship Id="rId58" Type="http://schemas.openxmlformats.org/officeDocument/2006/relationships/hyperlink" Target="https://www.sec.gov/Archives/edgar/data/1342423/000114420410007241/v173157_ex3-8.htm" TargetMode="External"/><Relationship Id="rId59" Type="http://schemas.openxmlformats.org/officeDocument/2006/relationships/hyperlink" Target="https://www.sec.gov/Archives/edgar/data/1342423/000114420410007241/v173157_ex3-4.htm" TargetMode="External"/><Relationship Id="rId60" Type="http://schemas.openxmlformats.org/officeDocument/2006/relationships/hyperlink" Target="https://www.sec.gov/Archives/edgar/data/1342423/000114420410007241/v173157_ex3-5.htm" TargetMode="External"/><Relationship Id="rId61" Type="http://schemas.openxmlformats.org/officeDocument/2006/relationships/hyperlink" Target="https://www.sec.gov/Archives/edgar/data/1342423/000114420414017379/v372494_ex3-1.htm" TargetMode="External"/><Relationship Id="rId62" Type="http://schemas.openxmlformats.org/officeDocument/2006/relationships/hyperlink" Target="https://www.sec.gov/Archives/edgar/data/1342423/000134242322000038/lmnr-103122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2025-03-12T15:27:15Z</dcterms:created>
  <dcterms:modified xsi:type="dcterms:W3CDTF">2025-03-12T15:27:15Z</dcterms:modified>
</cp:coreProperties>
</file>