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22860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-199390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0"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JULY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0"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00"/>
        <w:spacing w:after="0"/>
        <w:tabs>
          <w:tab w:leader="none" w:pos="4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-7620</wp:posOffset>
            </wp:positionV>
            <wp:extent cx="905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001-34755</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-294640</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8"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850"/>
              <w:spacing w:after="0"/>
              <w:rPr>
                <w:sz w:val="20"/>
                <w:szCs w:val="20"/>
                <w:color w:val="auto"/>
              </w:rPr>
            </w:pPr>
            <w:r>
              <w:rPr>
                <w:rFonts w:ascii="Arial" w:cs="Arial" w:eastAsia="Arial" w:hAnsi="Arial"/>
                <w:sz w:val="18"/>
                <w:szCs w:val="18"/>
                <w:b w:val="1"/>
                <w:bCs w:val="1"/>
                <w:color w:val="auto"/>
              </w:rPr>
              <w:t>77-0260692</w:t>
            </w:r>
          </w:p>
        </w:tc>
      </w:tr>
      <w:tr>
        <w:trPr>
          <w:trHeight w:val="234"/>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33"/>
        </w:trPr>
        <w:tc>
          <w:tcPr>
            <w:tcW w:w="5600" w:type="dxa"/>
            <w:vAlign w:val="bottom"/>
          </w:tcPr>
          <w:p>
            <w:pPr>
              <w:jc w:val="center"/>
              <w:ind w:right="872"/>
              <w:spacing w:after="0"/>
              <w:rPr>
                <w:sz w:val="20"/>
                <w:szCs w:val="20"/>
                <w:color w:val="auto"/>
              </w:rPr>
            </w:pPr>
            <w:r>
              <w:rPr>
                <w:rFonts w:ascii="Arial" w:cs="Arial" w:eastAsia="Arial" w:hAnsi="Arial"/>
                <w:sz w:val="16"/>
                <w:szCs w:val="16"/>
                <w:b w:val="1"/>
                <w:bCs w:val="1"/>
                <w:color w:val="auto"/>
                <w:w w:val="92"/>
              </w:rPr>
              <w:t>1141 Cummings Road</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Santa Paula</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CA</w:t>
            </w:r>
          </w:p>
        </w:tc>
        <w:tc>
          <w:tcPr>
            <w:tcW w:w="3720" w:type="dxa"/>
            <w:vAlign w:val="bottom"/>
          </w:tcPr>
          <w:p>
            <w:pPr>
              <w:jc w:val="right"/>
              <w:ind w:right="1070"/>
              <w:spacing w:after="0"/>
              <w:rPr>
                <w:sz w:val="20"/>
                <w:szCs w:val="20"/>
                <w:color w:val="auto"/>
              </w:rPr>
            </w:pPr>
            <w:r>
              <w:rPr>
                <w:rFonts w:ascii="Arial" w:cs="Arial" w:eastAsia="Arial" w:hAnsi="Arial"/>
                <w:sz w:val="18"/>
                <w:szCs w:val="18"/>
                <w:b w:val="1"/>
                <w:bCs w:val="1"/>
                <w:color w:val="auto"/>
              </w:rPr>
              <w:t>93060</w:t>
            </w:r>
          </w:p>
        </w:tc>
      </w:tr>
      <w:tr>
        <w:trPr>
          <w:trHeight w:val="234"/>
        </w:trPr>
        <w:tc>
          <w:tcPr>
            <w:tcW w:w="560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21" w:lineRule="exact"/>
        <w:rPr>
          <w:sz w:val="24"/>
          <w:szCs w:val="24"/>
          <w:color w:val="auto"/>
        </w:rPr>
      </w:pPr>
    </w:p>
    <w:tbl>
      <w:tblPr>
        <w:tblLayout w:type="fixed"/>
        <w:tblInd w:w="9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7660" w:type="dxa"/>
            <w:vAlign w:val="bottom"/>
            <w:gridSpan w:val="2"/>
          </w:tcPr>
          <w:p>
            <w:pPr>
              <w:jc w:val="center"/>
              <w:ind w:right="31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350"/>
        </w:trPr>
        <w:tc>
          <w:tcPr>
            <w:tcW w:w="2480" w:type="dxa"/>
            <w:vAlign w:val="bottom"/>
          </w:tcPr>
          <w:p>
            <w:pPr>
              <w:jc w:val="center"/>
              <w:ind w:right="50"/>
              <w:spacing w:after="0"/>
              <w:rPr>
                <w:sz w:val="20"/>
                <w:szCs w:val="20"/>
                <w:color w:val="auto"/>
              </w:rPr>
            </w:pPr>
            <w:r>
              <w:rPr>
                <w:rFonts w:ascii="Arial" w:cs="Arial" w:eastAsia="Arial" w:hAnsi="Arial"/>
                <w:sz w:val="18"/>
                <w:szCs w:val="18"/>
                <w:color w:val="auto"/>
                <w:w w:val="91"/>
              </w:rPr>
              <w:t>Title of Each Class</w:t>
            </w:r>
          </w:p>
        </w:tc>
        <w:tc>
          <w:tcPr>
            <w:tcW w:w="3320" w:type="dxa"/>
            <w:vAlign w:val="bottom"/>
          </w:tcPr>
          <w:p>
            <w:pPr>
              <w:jc w:val="center"/>
              <w:ind w:left="1030"/>
              <w:spacing w:after="0"/>
              <w:rPr>
                <w:sz w:val="20"/>
                <w:szCs w:val="20"/>
                <w:color w:val="auto"/>
              </w:rPr>
            </w:pPr>
            <w:r>
              <w:rPr>
                <w:rFonts w:ascii="Arial" w:cs="Arial" w:eastAsia="Arial" w:hAnsi="Arial"/>
                <w:sz w:val="18"/>
                <w:szCs w:val="18"/>
                <w:color w:val="auto"/>
                <w:w w:val="91"/>
              </w:rPr>
              <w:t>Trading Symbol</w:t>
            </w:r>
          </w:p>
        </w:tc>
        <w:tc>
          <w:tcPr>
            <w:tcW w:w="4340" w:type="dxa"/>
            <w:vAlign w:val="bottom"/>
          </w:tcPr>
          <w:p>
            <w:pPr>
              <w:jc w:val="center"/>
              <w:ind w:left="450"/>
              <w:spacing w:after="0"/>
              <w:rPr>
                <w:sz w:val="20"/>
                <w:szCs w:val="20"/>
                <w:color w:val="auto"/>
              </w:rPr>
            </w:pPr>
            <w:r>
              <w:rPr>
                <w:rFonts w:ascii="Arial" w:cs="Arial" w:eastAsia="Arial" w:hAnsi="Arial"/>
                <w:sz w:val="18"/>
                <w:szCs w:val="18"/>
                <w:color w:val="auto"/>
                <w:w w:val="90"/>
              </w:rPr>
              <w:t>Name of Each Exchange of Which Registered</w:t>
            </w:r>
          </w:p>
        </w:tc>
        <w:tc>
          <w:tcPr>
            <w:tcW w:w="0" w:type="dxa"/>
            <w:vAlign w:val="bottom"/>
          </w:tcPr>
          <w:p>
            <w:pPr>
              <w:spacing w:after="0"/>
              <w:rPr>
                <w:sz w:val="1"/>
                <w:szCs w:val="1"/>
                <w:color w:val="auto"/>
              </w:rPr>
            </w:pPr>
          </w:p>
        </w:tc>
      </w:tr>
      <w:tr>
        <w:trPr>
          <w:trHeight w:val="176"/>
        </w:trPr>
        <w:tc>
          <w:tcPr>
            <w:tcW w:w="248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Common Stock, $0.01 par value</w:t>
            </w:r>
          </w:p>
        </w:tc>
        <w:tc>
          <w:tcPr>
            <w:tcW w:w="3320" w:type="dxa"/>
            <w:vAlign w:val="bottom"/>
            <w:vMerge w:val="restart"/>
          </w:tcPr>
          <w:p>
            <w:pPr>
              <w:jc w:val="center"/>
              <w:ind w:left="1030"/>
              <w:spacing w:after="0"/>
              <w:rPr>
                <w:sz w:val="20"/>
                <w:szCs w:val="20"/>
                <w:color w:val="auto"/>
              </w:rPr>
            </w:pPr>
            <w:r>
              <w:rPr>
                <w:rFonts w:ascii="Arial" w:cs="Arial" w:eastAsia="Arial" w:hAnsi="Arial"/>
                <w:sz w:val="18"/>
                <w:szCs w:val="18"/>
                <w:color w:val="auto"/>
              </w:rPr>
              <w:t>LMNR</w:t>
            </w:r>
          </w:p>
        </w:tc>
        <w:tc>
          <w:tcPr>
            <w:tcW w:w="4340" w:type="dxa"/>
            <w:vAlign w:val="bottom"/>
          </w:tcPr>
          <w:p>
            <w:pPr>
              <w:jc w:val="center"/>
              <w:ind w:left="450"/>
              <w:spacing w:after="0" w:line="176" w:lineRule="exact"/>
              <w:rPr>
                <w:sz w:val="20"/>
                <w:szCs w:val="20"/>
                <w:color w:val="auto"/>
              </w:rPr>
            </w:pPr>
            <w:r>
              <w:rPr>
                <w:rFonts w:ascii="Arial" w:cs="Arial" w:eastAsia="Arial" w:hAnsi="Arial"/>
                <w:sz w:val="18"/>
                <w:szCs w:val="18"/>
                <w:color w:val="auto"/>
                <w:w w:val="96"/>
              </w:rPr>
              <w:t xml:space="preserve">The </w:t>
            </w:r>
            <w:r>
              <w:rPr>
                <w:rFonts w:ascii="Arial" w:cs="Arial" w:eastAsia="Arial" w:hAnsi="Arial"/>
                <w:sz w:val="16"/>
                <w:szCs w:val="16"/>
                <w:color w:val="auto"/>
                <w:w w:val="96"/>
              </w:rPr>
              <w:t>NASDAQ</w:t>
            </w:r>
            <w:r>
              <w:rPr>
                <w:rFonts w:ascii="Arial" w:cs="Arial" w:eastAsia="Arial" w:hAnsi="Arial"/>
                <w:sz w:val="18"/>
                <w:szCs w:val="18"/>
                <w:color w:val="auto"/>
                <w:w w:val="96"/>
              </w:rPr>
              <w:t xml:space="preserve"> Stock Market LLC (NASDAQ Global</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3320" w:type="dxa"/>
            <w:vAlign w:val="bottom"/>
            <w:vMerge w:val="continue"/>
          </w:tcPr>
          <w:p>
            <w:pPr>
              <w:spacing w:after="0"/>
              <w:rPr>
                <w:sz w:val="20"/>
                <w:szCs w:val="20"/>
                <w:color w:val="auto"/>
              </w:rPr>
            </w:pPr>
          </w:p>
        </w:tc>
        <w:tc>
          <w:tcPr>
            <w:tcW w:w="4340" w:type="dxa"/>
            <w:vAlign w:val="bottom"/>
          </w:tcPr>
          <w:p>
            <w:pPr>
              <w:jc w:val="center"/>
              <w:ind w:left="430"/>
              <w:spacing w:after="0"/>
              <w:rPr>
                <w:sz w:val="20"/>
                <w:szCs w:val="20"/>
                <w:color w:val="auto"/>
              </w:rPr>
            </w:pPr>
            <w:r>
              <w:rPr>
                <w:rFonts w:ascii="Arial" w:cs="Arial" w:eastAsia="Arial" w:hAnsi="Arial"/>
                <w:sz w:val="18"/>
                <w:szCs w:val="18"/>
                <w:color w:val="auto"/>
                <w:w w:val="91"/>
              </w:rPr>
              <w:t>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7" w:right="339" w:bottom="1440" w:gutter="0" w:footer="0" w:header="0"/>
        </w:sectPr>
      </w:pPr>
    </w:p>
    <w:p>
      <w:pPr>
        <w:spacing w:after="0" w:line="13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369"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1187" w:right="339" w:bottom="1440" w:gutter="0" w:footer="0" w:header="0"/>
          <w:type w:val="continuous"/>
        </w:sect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8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August 31, 2021, there were 17,685,400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 FINANCIAL INFORMATION</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Financial Statements (Unaudited)</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Balance Sheets – July 31, 2021 and October 31,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Operations – three and nine months ended July 31,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Income (Loss) – three and nine months ended July 31,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Stockholders' Equity and Temporary Equity – three and nine months ended July 31,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108"/>
        </w:trPr>
        <w:tc>
          <w:tcPr>
            <w:tcW w:w="11040" w:type="dxa"/>
            <w:vAlign w:val="bottom"/>
            <w:tcBorders>
              <w:top w:val="single" w:sz="8" w:color="CCEEFF"/>
            </w:tcBorders>
            <w:gridSpan w:val="2"/>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 nine months ended July 31,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SIGNATURES</w:t>
            </w:r>
          </w:p>
        </w:tc>
        <w:tc>
          <w:tcPr>
            <w:tcW w:w="9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9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7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impacts related to the COVID-19 pandemic and the effectiveness of the Company's responses to the pandemic;</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tariffs, and import laws;</w:t>
      </w:r>
    </w:p>
    <w:p>
      <w:pPr>
        <w:spacing w:after="0" w:line="117"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foreign exchange rate movements;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ability to maintain compliance with covenants under our loan agreements;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 (the "SEC").</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forward-looking statements involve risks and uncertainties that we have identified as having the potential to cause actual results to differ materially from those contemplated herein. We have described in Part I, Item 1A-“Risk Factors” in our Annual Report on Form 10-K for the fiscal year ended October 31, 2020 additional factors that could cause our actual results to differ from our projections or estimates, especially relating to the COVID-19 pandemic.</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these risks and uncertainties are currently amplified by, and will continue to be amplified by, or in the future may be amplified by, the COVID-19 outbreak. It is not possible to predict or identify all such risks.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2020.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references to “we,” "us," “our,” “our Company,” "the Company" or "Limoneira" in this Quarterly Report on Form 10-Q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July 31, 2021</w:t>
            </w:r>
          </w:p>
        </w:tc>
        <w:tc>
          <w:tcPr>
            <w:tcW w:w="1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October 31,</w:t>
            </w:r>
          </w:p>
        </w:tc>
        <w:tc>
          <w:tcPr>
            <w:tcW w:w="0" w:type="dxa"/>
            <w:vAlign w:val="bottom"/>
          </w:tcPr>
          <w:p>
            <w:pPr>
              <w:spacing w:after="0"/>
              <w:rPr>
                <w:sz w:val="1"/>
                <w:szCs w:val="1"/>
                <w:color w:val="auto"/>
              </w:rPr>
            </w:pPr>
          </w:p>
        </w:tc>
      </w:tr>
      <w:tr>
        <w:trPr>
          <w:trHeight w:val="129"/>
        </w:trPr>
        <w:tc>
          <w:tcPr>
            <w:tcW w:w="8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84"/>
        </w:trPr>
        <w:tc>
          <w:tcPr>
            <w:tcW w:w="88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Cultural costs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10,688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Receivables/other from related parties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212"/>
        </w:trPr>
        <w:tc>
          <w:tcPr>
            <w:tcW w:w="88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42,520</w:t>
            </w:r>
          </w:p>
        </w:tc>
        <w:tc>
          <w:tcPr>
            <w:tcW w:w="0" w:type="dxa"/>
            <w:vAlign w:val="bottom"/>
          </w:tcPr>
          <w:p>
            <w:pPr>
              <w:spacing w:after="0"/>
              <w:rPr>
                <w:sz w:val="1"/>
                <w:szCs w:val="1"/>
                <w:color w:val="auto"/>
              </w:rPr>
            </w:pPr>
          </w:p>
        </w:tc>
      </w:tr>
      <w:tr>
        <w:trPr>
          <w:trHeight w:val="95"/>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242,649</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Real estate development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21,636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investments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11,309</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8,737</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388,270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389,600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Growers payable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8,126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Payables to related parties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206"/>
        </w:trPr>
        <w:tc>
          <w:tcPr>
            <w:tcW w:w="88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31,461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Long-term debt, less current portion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122,571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6,568</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183,030</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800" w:type="dxa"/>
            <w:vAlign w:val="bottom"/>
          </w:tcPr>
          <w:p>
            <w:pPr>
              <w:ind w:left="20"/>
              <w:spacing w:after="0" w:line="166" w:lineRule="exact"/>
              <w:rPr>
                <w:sz w:val="20"/>
                <w:szCs w:val="20"/>
                <w:color w:val="auto"/>
              </w:rPr>
            </w:pPr>
            <w:r>
              <w:rPr>
                <w:rFonts w:ascii="Arial" w:cs="Arial" w:eastAsia="Arial" w:hAnsi="Arial"/>
                <w:sz w:val="16"/>
                <w:szCs w:val="16"/>
                <w:color w:val="auto"/>
                <w:w w:val="91"/>
              </w:rPr>
              <w:t>Series B Convertible Preferred Stock – $100.00 par value (50,000 shares authorized: 14,790 shares issued and outstanding at July 31,</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2021 and October 31, 2020) (8.75% coupon rate)</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Series B-2 Convertible Preferred Stock – $100.00 par value (10,000 shares authorized: 9,300 shares issued and outstanding at July 31,</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and October 31, 2020) (4% dividend rate on liquidation value of $1,000 per share)</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00" w:type="dxa"/>
            <w:vAlign w:val="bottom"/>
          </w:tcPr>
          <w:p>
            <w:pPr>
              <w:ind w:left="220"/>
              <w:spacing w:after="0" w:line="166" w:lineRule="exact"/>
              <w:rPr>
                <w:sz w:val="20"/>
                <w:szCs w:val="20"/>
                <w:color w:val="auto"/>
              </w:rPr>
            </w:pPr>
            <w:r>
              <w:rPr>
                <w:rFonts w:ascii="Arial" w:cs="Arial" w:eastAsia="Arial" w:hAnsi="Arial"/>
                <w:sz w:val="16"/>
                <w:szCs w:val="16"/>
                <w:color w:val="auto"/>
                <w:w w:val="94"/>
              </w:rPr>
              <w:t>Series A Junior Participating Preferred Stock – $0.01 par value (20,000 shares authorized: zero issued or outstanding at July 31,</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00" w:type="dxa"/>
            <w:vAlign w:val="bottom"/>
          </w:tcPr>
          <w:p>
            <w:pPr>
              <w:ind w:left="220"/>
              <w:spacing w:after="0"/>
              <w:rPr>
                <w:sz w:val="20"/>
                <w:szCs w:val="20"/>
                <w:color w:val="auto"/>
              </w:rPr>
            </w:pPr>
            <w:r>
              <w:rPr>
                <w:rFonts w:ascii="Arial" w:cs="Arial" w:eastAsia="Arial" w:hAnsi="Arial"/>
                <w:sz w:val="16"/>
                <w:szCs w:val="16"/>
                <w:color w:val="auto"/>
              </w:rPr>
              <w:t>2021 and October 31, 2020)</w:t>
            </w: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Common Stock – $0.01 par value (39,000,000 shares authorized: 17,936,377 and 17,857,707 shares issued and 17,685,400 and</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17,606,730 shares outstanding at July 31, 2021 and October 31, 2020, respectively)</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162,084</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30,797</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250,977 shares at July 31, 2021 and October 31, 2020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13,741</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195,760</w:t>
            </w:r>
          </w:p>
        </w:tc>
        <w:tc>
          <w:tcPr>
            <w:tcW w:w="0" w:type="dxa"/>
            <w:vAlign w:val="bottom"/>
          </w:tcPr>
          <w:p>
            <w:pPr>
              <w:spacing w:after="0"/>
              <w:rPr>
                <w:sz w:val="1"/>
                <w:szCs w:val="1"/>
                <w:color w:val="auto"/>
              </w:rPr>
            </w:pPr>
          </w:p>
        </w:tc>
      </w:tr>
      <w:tr>
        <w:trPr>
          <w:trHeight w:val="213"/>
        </w:trPr>
        <w:tc>
          <w:tcPr>
            <w:tcW w:w="880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388,270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389,600</w:t>
            </w:r>
          </w:p>
        </w:tc>
        <w:tc>
          <w:tcPr>
            <w:tcW w:w="0" w:type="dxa"/>
            <w:vAlign w:val="bottom"/>
          </w:tcPr>
          <w:p>
            <w:pPr>
              <w:spacing w:after="0"/>
              <w:rPr>
                <w:sz w:val="1"/>
                <w:szCs w:val="1"/>
                <w:color w:val="auto"/>
              </w:rPr>
            </w:pPr>
          </w:p>
        </w:tc>
      </w:tr>
      <w:tr>
        <w:trPr>
          <w:trHeight w:val="21"/>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100" w:type="dxa"/>
            <w:vAlign w:val="bottom"/>
            <w:gridSpan w:val="4"/>
          </w:tcPr>
          <w:p>
            <w:pPr>
              <w:jc w:val="right"/>
              <w:ind w:right="299"/>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July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July 31,</w:t>
            </w:r>
          </w:p>
        </w:tc>
        <w:tc>
          <w:tcPr>
            <w:tcW w:w="820" w:type="dxa"/>
            <w:vAlign w:val="bottom"/>
            <w:tcBorders>
              <w:bottom w:val="single" w:sz="8" w:color="auto"/>
            </w:tcBorders>
          </w:tcPr>
          <w:p>
            <w:pPr>
              <w:spacing w:after="0"/>
              <w:rPr>
                <w:sz w:val="19"/>
                <w:szCs w:val="19"/>
                <w:color w:val="auto"/>
              </w:rPr>
            </w:pPr>
          </w:p>
        </w:tc>
      </w:tr>
      <w:tr>
        <w:trPr>
          <w:trHeight w:val="207"/>
        </w:trPr>
        <w:tc>
          <w:tcPr>
            <w:tcW w:w="6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47,954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52,387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129,080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131,309</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w:t>
            </w:r>
          </w:p>
        </w:tc>
      </w:tr>
      <w:tr>
        <w:trPr>
          <w:trHeight w:val="206"/>
        </w:trPr>
        <w:tc>
          <w:tcPr>
            <w:tcW w:w="654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132,532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134,786</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114,071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125,318</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r>
      <w:tr>
        <w:trPr>
          <w:trHeight w:val="21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15,557</w:t>
            </w: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144,271</w:t>
            </w:r>
          </w:p>
        </w:tc>
      </w:tr>
      <w:tr>
        <w:trPr>
          <w:trHeight w:val="207"/>
        </w:trPr>
        <w:tc>
          <w:tcPr>
            <w:tcW w:w="65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(9,485)</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 of patronage dividends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Equity in earnings of investments,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stock in Calavo Growers, Inc.</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(6,299)</w:t>
            </w:r>
          </w:p>
        </w:tc>
      </w:tr>
      <w:tr>
        <w:trPr>
          <w:trHeight w:val="21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r>
      <w:tr>
        <w:trPr>
          <w:trHeight w:val="145"/>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 (provision) benefit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(16,286)</w:t>
            </w:r>
          </w:p>
        </w:tc>
      </w:tr>
      <w:tr>
        <w:trPr>
          <w:trHeight w:val="21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w:t>
            </w:r>
          </w:p>
        </w:tc>
      </w:tr>
      <w:tr>
        <w:trPr>
          <w:trHeight w:val="21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(10,410)</w:t>
            </w:r>
          </w:p>
        </w:tc>
      </w:tr>
      <w:tr>
        <w:trPr>
          <w:trHeight w:val="21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r>
      <w:tr>
        <w:trPr>
          <w:trHeight w:val="21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Limoneira Company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(9,001)</w:t>
            </w:r>
          </w:p>
        </w:tc>
      </w:tr>
      <w:tr>
        <w:trPr>
          <w:trHeight w:val="21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dividends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23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4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4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outstanding-basic</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17,461,000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17,623,000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17,439,000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17,607,000</w:t>
            </w:r>
          </w:p>
        </w:tc>
      </w:tr>
      <w:tr>
        <w:trPr>
          <w:trHeight w:val="210"/>
        </w:trPr>
        <w:tc>
          <w:tcPr>
            <w:tcW w:w="65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outstanding-diluted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18,243,000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18,497,000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17,439,000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17,607,000</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July</w:t>
            </w:r>
          </w:p>
        </w:tc>
        <w:tc>
          <w:tcPr>
            <w:tcW w:w="23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2"/>
              </w:rPr>
              <w:t>Nine Months Ended July 31,</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8"/>
                <w:szCs w:val="18"/>
                <w:b w:val="1"/>
                <w:bCs w:val="1"/>
                <w:color w:val="auto"/>
              </w:rPr>
              <w:t>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(10,410)</w:t>
            </w:r>
          </w:p>
        </w:tc>
        <w:tc>
          <w:tcPr>
            <w:tcW w:w="0" w:type="dxa"/>
            <w:vAlign w:val="bottom"/>
          </w:tcPr>
          <w:p>
            <w:pPr>
              <w:spacing w:after="0"/>
              <w:rPr>
                <w:sz w:val="1"/>
                <w:szCs w:val="1"/>
                <w:color w:val="auto"/>
              </w:rPr>
            </w:pPr>
          </w:p>
        </w:tc>
      </w:tr>
      <w:tr>
        <w:trPr>
          <w:trHeight w:val="213"/>
        </w:trPr>
        <w:tc>
          <w:tcPr>
            <w:tcW w:w="654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166"/>
        </w:trPr>
        <w:tc>
          <w:tcPr>
            <w:tcW w:w="6540" w:type="dxa"/>
            <w:vAlign w:val="bottom"/>
          </w:tcPr>
          <w:p>
            <w:pPr>
              <w:ind w:left="20"/>
              <w:spacing w:after="0" w:line="166" w:lineRule="exact"/>
              <w:rPr>
                <w:sz w:val="20"/>
                <w:szCs w:val="20"/>
                <w:color w:val="auto"/>
              </w:rPr>
            </w:pPr>
            <w:r>
              <w:rPr>
                <w:rFonts w:ascii="Arial" w:cs="Arial" w:eastAsia="Arial" w:hAnsi="Arial"/>
                <w:sz w:val="16"/>
                <w:szCs w:val="16"/>
                <w:color w:val="auto"/>
                <w:w w:val="93"/>
              </w:rPr>
              <w:t>Minimum pension liability adjustment, net of tax of $50, $50, $150 and $150 for the three and nine</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months ended July 31, 2021 and 2020, respectively.</w:t>
            </w: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Residual state tax effects on sale of equity securities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(loss) income, net of tax</w:t>
            </w: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(10,416)</w:t>
            </w: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23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Limoneira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17,606,730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87"/>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(46,993)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89"/>
              </w:rPr>
              <w:t>Other comprehensive income, net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17,684,927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87"/>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9"/>
              </w:rPr>
              <w:t>Other comprehensive income, net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3"/>
                <w:szCs w:val="13"/>
                <w:color w:val="auto"/>
              </w:rPr>
              <w:t>Balance at April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17,685,400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163,020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(5,908)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w w:val="87"/>
              </w:rPr>
              <w:t>(3,493)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13,669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193,087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80" w:type="dxa"/>
            <w:vAlign w:val="bottom"/>
            <w:shd w:val="clear" w:color="auto" w:fill="CCEEFF"/>
          </w:tcPr>
          <w:p>
            <w:pPr>
              <w:ind w:left="20"/>
              <w:spacing w:after="0" w:line="89" w:lineRule="exact"/>
              <w:rPr>
                <w:sz w:val="20"/>
                <w:szCs w:val="20"/>
                <w:color w:val="auto"/>
              </w:rPr>
            </w:pPr>
            <w:r>
              <w:rPr>
                <w:rFonts w:ascii="Arial" w:cs="Arial" w:eastAsia="Arial" w:hAnsi="Arial"/>
                <w:sz w:val="10"/>
                <w:szCs w:val="10"/>
                <w:color w:val="auto"/>
              </w:rPr>
              <w:t>Dividends Common ($0.075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Noncontrolling interest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Other comprehensive loss, net of</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w:t>
            </w: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Arial" w:cs="Arial" w:eastAsia="Arial" w:hAnsi="Arial"/>
                <w:sz w:val="13"/>
                <w:szCs w:val="13"/>
                <w:color w:val="auto"/>
              </w:rPr>
              <w:t>Balance at July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17,685,400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163,460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27,874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(6,815)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w w:val="87"/>
              </w:rPr>
              <w:t>(3,493)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11,780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192,985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 (CONTINUED)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17,756,180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160,254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221,688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(11,314)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Other comprehensive (loss)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(1,132)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income, 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17,857,707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160,869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Noncontrolling interest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Other comprehensive (loss)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income, 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April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17,857,707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205,840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color w:val="auto"/>
              </w:rPr>
              <w:t>Dividends Common ($0.075 per</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780" w:type="dxa"/>
            <w:vAlign w:val="bottom"/>
            <w:vMerge w:val="continue"/>
          </w:tcPr>
          <w:p>
            <w:pPr>
              <w:spacing w:after="0"/>
              <w:rPr>
                <w:sz w:val="5"/>
                <w:szCs w:val="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5"/>
                <w:szCs w:val="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5"/>
                <w:szCs w:val="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5"/>
                <w:szCs w:val="5"/>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5"/>
                <w:szCs w:val="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Treasury shares</w:t>
            </w:r>
          </w:p>
        </w:tc>
        <w:tc>
          <w:tcPr>
            <w:tcW w:w="820" w:type="dxa"/>
            <w:vAlign w:val="bottom"/>
          </w:tcPr>
          <w:p>
            <w:pPr>
              <w:jc w:val="right"/>
              <w:spacing w:after="0"/>
              <w:rPr>
                <w:sz w:val="20"/>
                <w:szCs w:val="20"/>
                <w:color w:val="auto"/>
              </w:rPr>
            </w:pPr>
            <w:r>
              <w:rPr>
                <w:rFonts w:ascii="Arial" w:cs="Arial" w:eastAsia="Arial" w:hAnsi="Arial"/>
                <w:sz w:val="13"/>
                <w:szCs w:val="13"/>
                <w:color w:val="auto"/>
              </w:rPr>
              <w:t>(42,100)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ind w:left="380"/>
              <w:spacing w:after="0"/>
              <w:rPr>
                <w:sz w:val="20"/>
                <w:szCs w:val="20"/>
                <w:color w:val="auto"/>
              </w:rPr>
            </w:pPr>
            <w:r>
              <w:rPr>
                <w:rFonts w:ascii="Arial" w:cs="Arial" w:eastAsia="Arial" w:hAnsi="Arial"/>
                <w:sz w:val="13"/>
                <w:szCs w:val="13"/>
                <w:color w:val="auto"/>
                <w:w w:val="92"/>
              </w:rPr>
              <w:t>(562)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1"/>
              </w:rPr>
              <w:t>Other comprehensive loss, net of</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1,545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1,510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July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17,815,607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92"/>
              </w:rPr>
              <w:t>(562)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207,552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(In thousands)</w:t>
      </w:r>
    </w:p>
    <w:p>
      <w:pPr>
        <w:spacing w:after="0" w:line="141"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Nine Months Ended</w:t>
      </w:r>
    </w:p>
    <w:p>
      <w:pPr>
        <w:jc w:val="center"/>
        <w:ind w:left="8220"/>
        <w:spacing w:after="0"/>
        <w:rPr>
          <w:sz w:val="20"/>
          <w:szCs w:val="20"/>
          <w:color w:val="auto"/>
        </w:rPr>
      </w:pPr>
      <w:r>
        <w:rPr>
          <w:rFonts w:ascii="Arial" w:cs="Arial" w:eastAsia="Arial" w:hAnsi="Arial"/>
          <w:sz w:val="16"/>
          <w:szCs w:val="16"/>
          <w:b w:val="1"/>
          <w:bCs w:val="1"/>
          <w:color w:val="auto"/>
        </w:rPr>
        <w:t>July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(10,410)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7,555</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or loss on disposals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1,615</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Loss on stock in Calavo Growers, Inc.</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6,299</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 and receivables/other from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Cultural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(4,848)</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and growers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(2,969)</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liabilities and payables to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r>
      <w:tr>
        <w:trPr>
          <w:trHeight w:val="21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proceeds from sales of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sale of stock in Calavo Growers, Inc.</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Loan to Limoneira Lewis Community Builders, LLC</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 on loan and note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Equity investment contributions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distribution from equity 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Investments in mutual water companies and water rights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proceeds received</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(8,716)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Borrowings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69,682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94,080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(77,363)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Dividends paid – common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 preferred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Exchange of common stock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Payments of deferred financing costs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11,479</w:t>
            </w:r>
          </w:p>
        </w:tc>
      </w:tr>
      <w:tr>
        <w:trPr>
          <w:trHeight w:val="20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2"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Nine Months Ended</w:t>
      </w:r>
    </w:p>
    <w:p>
      <w:pPr>
        <w:jc w:val="center"/>
        <w:ind w:left="8220"/>
        <w:spacing w:after="0"/>
        <w:rPr>
          <w:sz w:val="20"/>
          <w:szCs w:val="20"/>
          <w:color w:val="auto"/>
        </w:rPr>
      </w:pPr>
      <w:r>
        <w:rPr>
          <w:rFonts w:ascii="Arial" w:cs="Arial" w:eastAsia="Arial" w:hAnsi="Arial"/>
          <w:sz w:val="16"/>
          <w:szCs w:val="16"/>
          <w:b w:val="1"/>
          <w:bCs w:val="1"/>
          <w:color w:val="auto"/>
        </w:rPr>
        <w:t>July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1,666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during the period for income taxes,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accrued but not paid at period-end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4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accounts and transactions have been eliminated.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accounting principles generally accepted in the United States (“GAAP”) requires management to make estimates and assumptions that affect the amounts reported. Actual results could differ materially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89" w:lineRule="exact"/>
        <w:rPr>
          <w:sz w:val="20"/>
          <w:szCs w:val="20"/>
          <w:color w:val="auto"/>
        </w:rPr>
      </w:pPr>
    </w:p>
    <w:p>
      <w:pPr>
        <w:ind w:right="7680" w:firstLine="8"/>
        <w:spacing w:after="0" w:line="485"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Comprehensive Income (Loss)</w:t>
      </w:r>
    </w:p>
    <w:p>
      <w:pPr>
        <w:spacing w:after="0" w:line="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income (loss) represents all changes in a company’s net assets, except changes resulting from transactions with stockholders. Other comprehensive income or loss primarily includes foreign currency translation items and defined benefit pension items. Accumulated other comprehensive (loss) income is reported as a component of the Company's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changes in other comprehensive (loss) income by component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ind w:left="640"/>
              <w:spacing w:after="0"/>
              <w:rPr>
                <w:sz w:val="20"/>
                <w:szCs w:val="20"/>
                <w:color w:val="auto"/>
              </w:rPr>
            </w:pPr>
            <w:r>
              <w:rPr>
                <w:rFonts w:ascii="Arial" w:cs="Arial" w:eastAsia="Arial" w:hAnsi="Arial"/>
                <w:sz w:val="16"/>
                <w:szCs w:val="16"/>
                <w:b w:val="1"/>
                <w:bCs w:val="1"/>
                <w:color w:val="auto"/>
                <w:w w:val="98"/>
              </w:rPr>
              <w:t>Three Months Ended July 31,</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3"/>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center"/>
              <w:ind w:left="344"/>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center"/>
              <w:ind w:left="326"/>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Minimum pension liability adjustments: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gain before reclassifications</w:t>
            </w: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ind w:left="324"/>
              <w:spacing w:after="0"/>
              <w:rPr>
                <w:sz w:val="20"/>
                <w:szCs w:val="20"/>
                <w:color w:val="auto"/>
              </w:rPr>
            </w:pPr>
            <w:r>
              <w:rPr>
                <w:rFonts w:ascii="Arial" w:cs="Arial" w:eastAsia="Arial" w:hAnsi="Arial"/>
                <w:sz w:val="14"/>
                <w:szCs w:val="14"/>
                <w:color w:val="auto"/>
                <w:w w:val="96"/>
              </w:rPr>
              <w:t>(50)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ind w:left="286"/>
              <w:spacing w:after="0"/>
              <w:rPr>
                <w:sz w:val="20"/>
                <w:szCs w:val="20"/>
                <w:color w:val="auto"/>
              </w:rPr>
            </w:pPr>
            <w:r>
              <w:rPr>
                <w:rFonts w:ascii="Arial" w:cs="Arial" w:eastAsia="Arial" w:hAnsi="Arial"/>
                <w:sz w:val="14"/>
                <w:szCs w:val="14"/>
                <w:color w:val="auto"/>
                <w:w w:val="96"/>
              </w:rPr>
              <w:t>(50)</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color w:val="auto"/>
                <w:w w:val="96"/>
              </w:rPr>
              <w:t>(50)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left="286"/>
              <w:spacing w:after="0"/>
              <w:rPr>
                <w:sz w:val="20"/>
                <w:szCs w:val="20"/>
                <w:color w:val="auto"/>
              </w:rPr>
            </w:pPr>
            <w:r>
              <w:rPr>
                <w:rFonts w:ascii="Arial" w:cs="Arial" w:eastAsia="Arial" w:hAnsi="Arial"/>
                <w:sz w:val="14"/>
                <w:szCs w:val="14"/>
                <w:color w:val="auto"/>
                <w:w w:val="96"/>
              </w:rPr>
              <w:t>(50)</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2"/>
              </w:rPr>
              <w:t>Nine Months Ended July 31,</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Tax Expense</w:t>
            </w:r>
          </w:p>
        </w:tc>
        <w:tc>
          <w:tcPr>
            <w:tcW w:w="100" w:type="dxa"/>
            <w:vAlign w:val="bottom"/>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Minimum pension liability adjustments: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gain before reclassifications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Available-for-sale securities: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to earnings included in "Selling, general and administrative"</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income by component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Defined Benefit</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Available-for-Sale</w:t>
            </w:r>
          </w:p>
        </w:tc>
        <w:tc>
          <w:tcPr>
            <w:tcW w:w="12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3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Translation (Loss)</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Pension Plan</w:t>
            </w: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2020</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July 31, 2021</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Defined Benefit</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Available-for-Sale</w:t>
            </w:r>
          </w:p>
        </w:tc>
        <w:tc>
          <w:tcPr>
            <w:tcW w:w="14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Accumulated Other</w:t>
            </w:r>
          </w:p>
        </w:tc>
      </w:tr>
      <w:tr>
        <w:trPr>
          <w:trHeight w:val="188"/>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Translation Loss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Pension Plan</w:t>
            </w: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Comprehensive Loss</w:t>
            </w:r>
          </w:p>
        </w:tc>
      </w:tr>
      <w:tr>
        <w:trPr>
          <w:trHeight w:val="18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(7,255)</w:t>
            </w:r>
          </w:p>
        </w:tc>
      </w:tr>
      <w:tr>
        <w:trPr>
          <w:trHeight w:val="18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 income</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1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July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2016-13, Financial Instruments - Credit Losses (Topic 326): Measurement of Credit Losses on Financial Instruments, and related ASUs</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ASU 2016-13 is effective for SEC filers for fiscal years, and interim periods within those fiscal years, beginning after December 15, 2019. The Company adopted this ASU effective November 1, 2020 and the adoption did not have a material impact on its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2020-06, Debt—Debt with Conversion and Other Options (Subtopic 470-20) and Derivatives and Hedging—Contracts in Entity’s Own Equity (Subtopic 815-40): Accounting for Convertible Instruments and Contracts in an Entity’s Own Equity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simplifies accounting for convertible instruments by removing major separation models currently required under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20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is evaluating the effect this ASU may have on its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Concentrations and Geographic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Lemons procured from third-party growers were 57% and 64% of the Company's lemon supply in the three months ended July 31, 2021 and 2020, respectively, and were 51% and 60% of the Company's lemon supply in the nine months ended July 31, 2021 and 2020, respectively, of which one third-party grower was 10% of the lemon supply for the nine months ended July 31, 2021. The Company sells the majority of its avocado production to Calavo and sells a majority of its oranges and specialty citrus to a third-party packinghouse.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Concentrations of credit risk with respect to revenues and account receivables are limited due to a large, diverse customer base. Two individual customers represented 17% and 13% of revenues, respectively, for the nine months ended July 31, 2021. No individual customer represented more than 10% of accounts receivable, net as of July 31,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July 31, 2021 and 2020, the Company had approximately $578,000 and $643,000, respectively, of total sales in Chile by Fruticola Pan de Azucar S.A. ("PDA") and Agricola San Pablo SpA ("San Pablo"). During the nine months ended July 31, 2021 and 2020, the Company had approximately $2,555,000 and $2,103,000, respectively, of total sales in Chile by PDA and San Pablo.</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2021, the Company entered into an agreement, effective March 1, 2021, to sell and license certain assets of Trapani Fresh to its 49% partner in the joint venture, FGF Trapani ("FGF"). These assets consist of packing supplies and certain intangible assets related to the packing, marketing, and selling business of Trapani Fresh. The total consideration to be received is approximately $3,900,000 over an 8-year term in 16 equal installments. Payments to be received are secured by FGF’s interest in land parcels at the Santa Clara ranch and consist of a $1,200,000 note receivable and $2,700,000 of royalty payments. There was no material gain or loss recognized on the transaction. Trapani Fresh continues to own and operate the 1,200-acre Santa Clara ranch and now sells the lemons it grows to FGF, who packs, markets, and sells the fruit to its export customers. As a result of this transaction, Trapani Fresh now recognizes lemon revenues at the market price less packinghouse charges to harvest, pack and market the fruit. During the three months ended July 31, 2021 and 2020, the Company had approximately $710,000 and $9,626,000, respectively, of total sales in Argentina by Trapani Fresh. During the nine months ended July 31, 2021 and 2020, the Company had approximately $3,265,000 and $12,105,000, respectively, of total sales in Argentina by Trapani Fresh.</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Aggregate foreign exchange transaction losses realized for our foreign subsidiaries was approximately $598,000 for the nine months ended July 31, 2021 and are included in selling, general and administrative expenses in the consolidated statements of operations. Foreign exchange transaction gains/losses were immaterial for the nine months ended July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July 31,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supplies and insurance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Note receivable and related interest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development held for sale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Sales tax receivable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 supplier advances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10,688</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July 31, 2021</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Property - East Area I</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East Area II</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or “Joint Venture”) as the development entity, contributed its East Area I property to LLCB and sold a 50% interest in LLCB to Lewis for $20,000,000.</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and the Joint Venture also entered into a Retained Property Development Agreement on the Transaction Date (the "Retained Property Agreement"). Under the terms of the Retained Property Agreement, the Joint Venture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$5,600,000 and $5,300,000 at July 31, 2021 and October 31, 2020, respectively, which is included in payables to related parties.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2018, the Joint Venture entered into a $45,000,000 unsecured Line of Credit Loan Agreement and Promissory Note (the “Loan”) with Bank of America, N.A. to fund early development activities. The Loan originally was scheduled to mature in January 2020 and was extended to February 22, 2021. In February 2021, this loan was extended to February 22, 2023 with an option to extend to February 22, 2024, subject to certain conditions. The interest rate on the Loan is LIBOR plus 2.85% and is payable monthly. The Loan contains certain customary default provisions and the Joint Venture may prepay any amounts outstanding under the Loan without penalty. The Joint Venture had an outstanding balance of zero as of July 31, 2021.</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the Joint Venture. The $1,080,000 estimated value of the guarantee was recorded in the Company’s consolidated balance sheets and is included in other long-term liabilities with a corresponding value in equity in investments. The extension had no impact on the Company's Loan guarantee value.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contributions to the Joint Venture of zero and $2,800,000 in the nine months ended July 31, 2021 and 2020,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Through July 31, 2021, the Joint Venture has closed the sales of the initial residential lots representing 556 residential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remaining real estate development parcel within the Templeton Santa Barbara, LLC project is described as Sevilla. In the first quarter of fiscal year 2020, the Company entered into an agreement to sell its Sevilla property for $2,700,000, which is expected to close in calendar year 2021. After transaction and other costs, the Company expects to receive cash proceeds of approximately $2,550,000 and recognize an immaterial gain upon closing. At July 31, 2021, the $2,543,000 carrying value of the property was classified as held for sale and included in prepaid expenses and other current assets.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extended to December 15, 2020 and the interest rate was reset to equal to the 6-month LIBOR plus 2.75% on the outstanding principal balance of the note, interest only paid monthly on the first day of each month beginning January 1, 2020. In September 2020, the promissory note was further extended to June 15, 2021 on the same terms and conditions upon making a principal paydown of $25,000, which was paid in November 2020, with an option to further extend the maturity date of the promissory note to December 15, 2021 on the same terms and conditions and upon making an additional principal paydown of $25,000. The option was exercised and the extension payment was paid in May 2021. At July 31, 2021, the net carrying value of the note was $2,600,000 and classified in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Arial" w:cs="Arial" w:eastAsia="Arial" w:hAnsi="Arial"/>
                <w:sz w:val="18"/>
                <w:szCs w:val="18"/>
                <w:b w:val="1"/>
                <w:bCs w:val="1"/>
                <w:color w:val="auto"/>
              </w:rPr>
              <w:t>6. Equity in Investments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6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July 31,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Limoneira Lewis Community Builders, LLC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57,142</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Limco Del Mar, Ltd.</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Romney Property Partnership</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nine months ended July 31, 2021, this threshold was met for the Company's equity investment in LLCB.</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unaudited summarized financial information for LLCB (in thousands):</w:t>
      </w:r>
    </w:p>
    <w:p>
      <w:pPr>
        <w:spacing w:after="0" w:line="372"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Nine Months Ended</w:t>
      </w:r>
    </w:p>
    <w:p>
      <w:pPr>
        <w:jc w:val="center"/>
        <w:ind w:left="8340"/>
        <w:spacing w:after="0"/>
        <w:rPr>
          <w:sz w:val="20"/>
          <w:szCs w:val="20"/>
          <w:color w:val="auto"/>
        </w:rPr>
      </w:pPr>
      <w:r>
        <w:rPr>
          <w:rFonts w:ascii="Arial" w:cs="Arial" w:eastAsia="Arial" w:hAnsi="Arial"/>
          <w:sz w:val="18"/>
          <w:szCs w:val="18"/>
          <w:b w:val="1"/>
          <w:bCs w:val="1"/>
          <w:color w:val="auto"/>
        </w:rPr>
        <w:t>July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Cost of land sold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21,614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Limoneira Company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Goodwill and Intangible Assets,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60" w:type="dxa"/>
            <w:vAlign w:val="bottom"/>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2"/>
              </w:rPr>
              <w:t>Goodwill</w:t>
            </w:r>
          </w:p>
        </w:tc>
        <w:tc>
          <w:tcPr>
            <w:tcW w:w="0" w:type="dxa"/>
            <w:vAlign w:val="bottom"/>
          </w:tcPr>
          <w:p>
            <w:pPr>
              <w:spacing w:after="0"/>
              <w:rPr>
                <w:sz w:val="1"/>
                <w:szCs w:val="1"/>
                <w:color w:val="auto"/>
              </w:rPr>
            </w:pPr>
          </w:p>
        </w:tc>
      </w:tr>
      <w:tr>
        <w:trPr>
          <w:trHeight w:val="175"/>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July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July 31, 2021, the Company acquired additional water rights in Chile for $186,000.</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 Net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July 31, 2021 and October 31,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July 31, 2021</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October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467"/>
        </w:trPr>
        <w:tc>
          <w:tcPr>
            <w:tcW w:w="3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3,018</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4,021</w:t>
            </w:r>
          </w:p>
        </w:tc>
        <w:tc>
          <w:tcPr>
            <w:tcW w:w="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Acquired water and mineral rights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Indefinite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totaled $210,000 and $262,000 for the three months ended July 31, 2021 and 2020, respectively. Amortization expense totaled $736,000 and $752,000 for the nine months ended July 31, 2021 and 2020,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Estimated future amortization expense of intangible assets as of July 31, 2021 are as follows (in thousands):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9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nine months ended July 31, 2021)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July 31, 2021 and October 31, 2020 were $5,990,000 and $5,563,000,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July 31,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 and orange supplier payables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July 31,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8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Farm Credit West revolving and non-revolving lines of credit: the interest rate of the revolving line of credit is</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variable based on the one-month London Interbank Offered Rate (“LIBOR”), which was 0.10% at July 31, 2021, plus</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1.75%. The interest rate for the $40.0 million outstanding balance of the non-revolving line of credit is fixed at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4.77% through July 1, 2022, 3.57% through July 1, 2025 and variable thereafter. Interest is payable monthly and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101,802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is due in full on July 1, 2026.</w:t>
            </w:r>
          </w:p>
        </w:tc>
        <w:tc>
          <w:tcPr>
            <w:tcW w:w="1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2.48%. The loan is payable in</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quarterly installments through November 2022.</w:t>
            </w: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3.24%. The loan is payable in</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installments through October 2035.</w:t>
            </w: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3.24%. The loan is payable in</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monthly installments through March 2036.</w:t>
            </w: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Farm Credit West term loan: Effective July 1, 2020 the interest rate was fixed at 2.77% until July 1, 2025, becoming</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for the remainder of the loan. The loan is payable in monthly installments through March 2036.</w:t>
            </w: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8"/>
              </w:rPr>
              <w:t>Wells Fargo term loan: the interest rate is fixed at 3.58%. The loan is payable in monthly installments through</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January 2023.</w:t>
            </w: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Banco de Chile term loan: the interest rate is fixed at 6.48%. The loan is payable in annual installments through</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6"/>
              </w:rPr>
              <w:t>Note Payable: the interest rate ranges from 5.00% to 7.00% and was 6.50% at July 31, 2021. The loan includes</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interest only monthly payments and principal is due in February 2023.</w:t>
            </w: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Banco de Chile COVID-19 loans: The interest rates are fixed at 3.48% and 2.90%. The loans are payable in monthly</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installments beginning February 2021 through September 2024.</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Subtotal</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126,024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deferred financing costs, net of accumulated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Total long-term debt,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125,848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122,571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June 2021, the Company entered into a Master Loan Agreement (the “MLA”) with Farm Credit West, PCA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fixed interest rate ("Fixed Interest Rate Agreement"). The MLA governs the terms of the Supplements. The MLA amends and restates the previous Master Loan Agreement between the Company and the Lender, dated June 19, 2017 and extends the principal repayment to July 1, 2026. Debt financing costs related to the MLA agreement were immaterial.</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2020, the Company and Farm Credit West entered into a Conversion Agreement to convert the term loans noted above to fixed interest rate loans effective July 1, 2020. No changes were made to the outstanding principal balances on the term loans and the Company made no cash repayments of principal. The rates were subject to a prepayment restriction period for a portion of the fixed rate term that expired on January 1, 2021. The Company may prepay any amounts without penalty.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Farm Credit West for a $15,000,000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Supplements and RELOC provide aggregate borrowing capacity of $130,000,000 comprised of $75,000,000 under the Revolving Credit Supplement, $40,000,000 under the Non-Revolving Credit Supplement and $15,000,000 under the RELOC. The borrowing capacity based on collateral value was $130,000,000 at July 31, 2021, of which $28,198,000 was available to borrow. For amounts outstanding under both Supplements interest will begin to be charged on the date the Lender disburses principal and will continue until the outstanding indebtedness under the Supplements is paid in full with interest.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interest rate in effect under the Revolving Credit Supplement was 1.69% per annum, and was automatically adjusted commencing July 1, 2021 and on the first day of each month thereafter. The interest rate for any amount outstanding under the Revolving Credit Supplement will be based on the one-month LIBOR rate plus or minus an applicable margin. The applicable margin will range from 1.75% to 2.35% depending on the ratio of current assets, plus the remaining available commitment divided by current liabilities. On July 1, 2022, and on each one-year anniversary thereafter, the Company has the option to convert the interest rate in use under the Revolving Credit Supplement from the preceding LIBOR-based calculation to a variable interest rate. Any amounts outstanding under the Revolving Credit Supplement will be due and payable in full on July 1, 2026. The Company may prepay any amounts outstanding under the Revolving Credit Supplement without penalty.</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initial interest rate in effect under the Non-Revolving Credit Supplement is a fixed interest rate of 4.77% per year and such rate shall continue for a period of one year and one month. Pursuant to the Fixed Interest Rate Agreement, the Non-Revolving Credit Supplement will convert to a fixed interest rate of 3.57% per year until July 1, 2025 (the “Fixed Rate Term”). Thereafter, the interest rate will convert to a variable interest rate established by the Lender corresponding to the corresponding interest rate group. Any amounts outstanding under the Non-Revolving Credit Supplement is due and payable in full on July 1, 2026.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indebtedness under the MLA and RELOC, including any indebtedness under the Supplements, is secured by a first lien on Company-owned stock or participation certificates, Company funds maintained with Lender, Lender’s unallocated surplus, and certain of the Company’s agricultural properties in Tulare and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or equal to 1.15:1.00 measured at October 31, 2021, and greater than or equal to 1.25:1 when measured at October 31, 2022, and annually thereafter. In August 2021, the Lender modified the covenant to a minimum debt service coverage ratio greater than or equal to 1.0:1.0 measured at October 31, 2021.</w:t>
      </w:r>
    </w:p>
    <w:p>
      <w:pPr>
        <w:spacing w:after="0" w:line="20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August 2021, the Company entered into an equipment finance agreement (a "FCW term loan") with Lender in the amount of $2,508,000 and used the proceeds to payoff the Wells Fargo term loan. The FCW term loan has a fixed interest rate of 3.19% and is payable in monthly installments through September 2026. There were no unamortized debt financing costs related to the Wells Fargo term loan and no capitalized financing costs related to the FCW term loan.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2020, Farm Credit West declared an annual cash patronage dividend of 1.50% of average eligible loan balances. The Company received $1,170,000 in February 2021.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$353,000 and $353,000 during the three months ended July 31, 2021 and 2020, respectively, and $661,000 and $797,000 during the nine months ended July 31, 2021 and 2020, respectively. Capitalized interest is included in property, plant and equipment and real estate development assets in the Company’s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22 years, with various renewal terms available. All of the residential rentals have month to month lease terms.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rental operations revenue consists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July 31,</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July 31,</w:t>
            </w:r>
          </w:p>
        </w:tc>
        <w:tc>
          <w:tcPr>
            <w:tcW w:w="920" w:type="dxa"/>
            <w:vAlign w:val="bottom"/>
            <w:tcBorders>
              <w:bottom w:val="single" w:sz="8" w:color="auto"/>
            </w:tcBorders>
          </w:tcPr>
          <w:p>
            <w:pPr>
              <w:spacing w:after="0"/>
              <w:rPr>
                <w:sz w:val="19"/>
                <w:szCs w:val="19"/>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revenue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agricultural land and packinghouse equipment with remaining lease terms ranging from one to 17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As of July 31, 2021, there were no material finance leases for which the Company was a lessee.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costs were $128,000 and $143,000 for the three months ended July 31, 2021 and 2020, respectively, and $406,000 and $417,000 for the nine months ended July 31, 2021 and 2020, respectively, which are primarily included in agribusiness costs and expenses in the Company’s consolidated statements of operations. Variable and short term lease costs were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2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18"/>
                <w:szCs w:val="1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July 31, 2021</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0"/>
        </w:trPr>
        <w:tc>
          <w:tcPr>
            <w:tcW w:w="616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operating lease liabilities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operating lease liabilities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auto"/>
              </w:rPr>
              <w:t>Accrued liabilities and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payables to related parties</w:t>
            </w: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-590550</wp:posOffset>
            </wp:positionV>
            <wp:extent cx="711517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-187960</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040"/>
          </w:cols>
          <w:pgMar w:left="320" w:top="369"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22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9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July 31,</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July 31,</w:t>
            </w:r>
          </w:p>
        </w:tc>
        <w:tc>
          <w:tcPr>
            <w:tcW w:w="920" w:type="dxa"/>
            <w:vAlign w:val="bottom"/>
            <w:tcBorders>
              <w:bottom w:val="single" w:sz="8" w:color="auto"/>
            </w:tcBorders>
          </w:tcPr>
          <w:p>
            <w:pPr>
              <w:spacing w:after="0"/>
              <w:rPr>
                <w:sz w:val="19"/>
                <w:szCs w:val="19"/>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112</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0"/>
        </w:trPr>
        <w:tc>
          <w:tcPr>
            <w:tcW w:w="59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Net Income (Loss) per Share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 The computations for basic and diluted net income (loss) per common share are as follows (in thousands, except per share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8"/>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60" w:type="dxa"/>
            <w:vAlign w:val="bottom"/>
            <w:tcBorders>
              <w:bottom w:val="single" w:sz="8" w:color="auto"/>
            </w:tcBorders>
          </w:tcPr>
          <w:p>
            <w:pPr>
              <w:spacing w:after="0"/>
              <w:rPr>
                <w:sz w:val="19"/>
                <w:szCs w:val="19"/>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common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 applicable to common stock</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(9,377)</w:t>
            </w: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unvested, restricted stock</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Numerator: Net income (loss) for basic EPS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w:t>
            </w: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shares-basic</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17,607</w:t>
            </w: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Basic net income (loss) per common share</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r>
      <w:tr>
        <w:trPr>
          <w:trHeight w:val="21"/>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02"/>
        </w:trPr>
        <w:tc>
          <w:tcPr>
            <w:tcW w:w="5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(loss) per common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Numerator: Net income (loss) for diluted EPS</w:t>
            </w: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(9,427)</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17,607</w:t>
            </w: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Effect of dilutive unvested, restricted stock and preferred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shares–diluted</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17,607</w:t>
            </w: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1"/>
        </w:trPr>
        <w:tc>
          <w:tcPr>
            <w:tcW w:w="5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Diluted earnings (losses)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147,000 and 225,000, unvested, restricted shares, as calculated under the treasury stock method, from its computation of diluted earnings (losses) per share for the three months ended July 31, 2021 and 2020, respectively, and 146,000 and 187,000 for the nine months ended July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transactions with various related-parties as summarized in the tables below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3"/>
                <w:szCs w:val="13"/>
                <w:b w:val="1"/>
                <w:bCs w:val="1"/>
                <w:color w:val="auto"/>
                <w:w w:val="87"/>
              </w:rPr>
              <w:t>July 31, 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6"/>
              </w:rPr>
              <w:t>October 31, 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3"/>
                <w:szCs w:val="13"/>
                <w:b w:val="1"/>
                <w:bCs w:val="1"/>
                <w:color w:val="auto"/>
                <w:w w:val="83"/>
              </w:rPr>
              <w:t>Balance Sheet</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3"/>
              </w:rPr>
              <w:t>Balance Sheet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880" w:type="dxa"/>
            <w:vAlign w:val="bottom"/>
            <w:gridSpan w:val="2"/>
            <w:vMerge w:val="restart"/>
          </w:tcPr>
          <w:p>
            <w:pPr>
              <w:ind w:left="102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Assets</w:t>
            </w: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1"/>
              </w:rPr>
              <w:t>Other Assets</w:t>
            </w: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7"/>
              </w:rPr>
              <w:t>Term</w:t>
            </w: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Cooperative association</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Calavo</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Cadiz / Fenner / WAM</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1,386</w:t>
            </w:r>
          </w:p>
        </w:tc>
        <w:tc>
          <w:tcPr>
            <w:tcW w:w="1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1,297</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1,443</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1,353</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Colorado River Growers</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3,800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980</w:t>
            </w:r>
          </w:p>
        </w:tc>
        <w:tc>
          <w:tcPr>
            <w:tcW w:w="1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2,213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LLCB</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Third party growers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(UNAUDITED) (CONTINUED)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ectPr>
          <w:pgSz w:w="11900" w:h="16838" w:orient="portrait"/>
          <w:cols w:equalWidth="0" w:num="1">
            <w:col w:w="11240"/>
          </w:cols>
          <w:pgMar w:left="320" w:top="369" w:right="339" w:bottom="1440" w:gutter="0" w:footer="0" w:header="0"/>
        </w:sectPr>
      </w:pPr>
    </w:p>
    <w:p>
      <w:pPr>
        <w:spacing w:after="0" w:line="158" w:lineRule="exact"/>
        <w:rPr>
          <w:sz w:val="20"/>
          <w:szCs w:val="20"/>
          <w:color w:val="auto"/>
        </w:rPr>
      </w:pPr>
    </w:p>
    <w:p>
      <w:pPr>
        <w:ind w:left="3720"/>
        <w:spacing w:after="0"/>
        <w:rPr>
          <w:sz w:val="20"/>
          <w:szCs w:val="20"/>
          <w:color w:val="auto"/>
        </w:rPr>
      </w:pPr>
      <w:r>
        <w:rPr>
          <w:rFonts w:ascii="Arial" w:cs="Arial" w:eastAsia="Arial" w:hAnsi="Arial"/>
          <w:sz w:val="10"/>
          <w:szCs w:val="10"/>
          <w:b w:val="1"/>
          <w:bCs w:val="1"/>
          <w:color w:val="auto"/>
        </w:rPr>
        <w:t>Three Months Ended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41275</wp:posOffset>
            </wp:positionV>
            <wp:extent cx="24174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4" w:lineRule="exact"/>
        <w:rPr>
          <w:sz w:val="20"/>
          <w:szCs w:val="20"/>
          <w:color w:val="auto"/>
        </w:rPr>
      </w:pPr>
    </w:p>
    <w:p>
      <w:pPr>
        <w:ind w:left="3260"/>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0"/>
          <w:szCs w:val="10"/>
          <w:b w:val="1"/>
          <w:bCs w:val="1"/>
          <w:color w:val="auto"/>
        </w:rPr>
        <w:t>Three Months Ended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41275</wp:posOffset>
            </wp:positionV>
            <wp:extent cx="2897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 of Operations</w:t>
      </w:r>
    </w:p>
    <w:p>
      <w:pPr>
        <w:spacing w:after="0" w:line="15" w:lineRule="exact"/>
        <w:rPr>
          <w:sz w:val="20"/>
          <w:szCs w:val="20"/>
          <w:color w:val="auto"/>
        </w:rPr>
      </w:pPr>
    </w:p>
    <w:p>
      <w:pPr>
        <w:sectPr>
          <w:pgSz w:w="11900" w:h="16838" w:orient="portrait"/>
          <w:cols w:equalWidth="0" w:num="2">
            <w:col w:w="6780" w:space="720"/>
            <w:col w:w="37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Net Revenue</w:t>
            </w: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8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Dividends</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Net Revenue</w:t>
            </w:r>
          </w:p>
        </w:tc>
        <w:tc>
          <w:tcPr>
            <w:tcW w:w="960" w:type="dxa"/>
            <w:vAlign w:val="bottom"/>
            <w:tcBorders>
              <w:top w:val="single" w:sz="8" w:color="auto"/>
            </w:tcBorders>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7"/>
              <w:spacing w:after="0" w:line="13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6"/>
              </w:rPr>
              <w:t>Dividends</w:t>
            </w:r>
          </w:p>
        </w:tc>
        <w:tc>
          <w:tcPr>
            <w:tcW w:w="0" w:type="dxa"/>
            <w:vAlign w:val="bottom"/>
          </w:tcPr>
          <w:p>
            <w:pPr>
              <w:spacing w:after="0"/>
              <w:rPr>
                <w:sz w:val="1"/>
                <w:szCs w:val="1"/>
                <w:color w:val="auto"/>
              </w:rPr>
            </w:pPr>
          </w:p>
        </w:tc>
      </w:tr>
      <w:tr>
        <w:trPr>
          <w:trHeight w:val="121"/>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30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Rental</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Income,</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Paid</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4,036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4,724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1,761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9,926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10,508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Freska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Third party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type w:val="continuous"/>
        </w:sectPr>
      </w:pPr>
    </w:p>
    <w:p>
      <w:pPr>
        <w:spacing w:after="0" w:line="391" w:lineRule="exact"/>
        <w:rPr>
          <w:sz w:val="20"/>
          <w:szCs w:val="20"/>
          <w:color w:val="auto"/>
        </w:rPr>
      </w:pPr>
    </w:p>
    <w:p>
      <w:pPr>
        <w:ind w:left="3760"/>
        <w:spacing w:after="0"/>
        <w:rPr>
          <w:sz w:val="20"/>
          <w:szCs w:val="20"/>
          <w:color w:val="auto"/>
        </w:rPr>
      </w:pPr>
      <w:r>
        <w:rPr>
          <w:rFonts w:ascii="Arial" w:cs="Arial" w:eastAsia="Arial" w:hAnsi="Arial"/>
          <w:sz w:val="10"/>
          <w:szCs w:val="10"/>
          <w:b w:val="1"/>
          <w:bCs w:val="1"/>
          <w:color w:val="auto"/>
        </w:rPr>
        <w:t>Nine Months Ended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41275</wp:posOffset>
            </wp:positionV>
            <wp:extent cx="2417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4" w:lineRule="exact"/>
        <w:rPr>
          <w:sz w:val="20"/>
          <w:szCs w:val="20"/>
          <w:color w:val="auto"/>
        </w:rPr>
      </w:pPr>
    </w:p>
    <w:p>
      <w:pPr>
        <w:ind w:left="3260"/>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Nine Months Ended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41275</wp:posOffset>
            </wp:positionV>
            <wp:extent cx="2897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6" w:lineRule="exact"/>
        <w:rPr>
          <w:sz w:val="20"/>
          <w:szCs w:val="20"/>
          <w:color w:val="auto"/>
        </w:rPr>
      </w:pPr>
    </w:p>
    <w:p>
      <w:pPr>
        <w:sectPr>
          <w:pgSz w:w="11900" w:h="16838" w:orient="portrait"/>
          <w:cols w:equalWidth="0" w:num="2">
            <w:col w:w="6780" w:space="720"/>
            <w:col w:w="37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Net Revenue</w:t>
            </w: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8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Dividends</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Net Revenue</w:t>
            </w:r>
          </w:p>
        </w:tc>
        <w:tc>
          <w:tcPr>
            <w:tcW w:w="960" w:type="dxa"/>
            <w:vAlign w:val="bottom"/>
            <w:tcBorders>
              <w:top w:val="single" w:sz="8" w:color="auto"/>
            </w:tcBorders>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7"/>
              <w:spacing w:after="0" w:line="13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6"/>
              </w:rPr>
              <w:t>Dividends</w:t>
            </w:r>
          </w:p>
        </w:tc>
        <w:tc>
          <w:tcPr>
            <w:tcW w:w="0" w:type="dxa"/>
            <w:vAlign w:val="bottom"/>
          </w:tcPr>
          <w:p>
            <w:pPr>
              <w:spacing w:after="0"/>
              <w:rPr>
                <w:sz w:val="1"/>
                <w:szCs w:val="1"/>
                <w:color w:val="auto"/>
              </w:rPr>
            </w:pPr>
          </w:p>
        </w:tc>
      </w:tr>
      <w:tr>
        <w:trPr>
          <w:trHeight w:val="121"/>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30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Rental</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Income,</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Paid</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675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6,589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688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6,296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2,772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5,337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YMIDD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3,265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2,989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12,105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12,941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Freska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Third party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0" w:firstLine="8"/>
        <w:spacing w:after="0" w:line="227" w:lineRule="auto"/>
        <w:tabs>
          <w:tab w:leader="none" w:pos="203"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rental payments due from employees at July 31, 2021 or October 31, 2020.</w:t>
      </w:r>
    </w:p>
    <w:p>
      <w:pPr>
        <w:spacing w:after="0" w:line="337" w:lineRule="exact"/>
        <w:rPr>
          <w:rFonts w:ascii="Arial" w:cs="Arial" w:eastAsia="Arial" w:hAnsi="Arial"/>
          <w:sz w:val="23"/>
          <w:szCs w:val="23"/>
          <w:color w:val="auto"/>
          <w:vertAlign w:val="superscript"/>
        </w:rPr>
      </w:pPr>
    </w:p>
    <w:p>
      <w:pPr>
        <w:jc w:val="both"/>
        <w:ind w:firstLine="8"/>
        <w:spacing w:after="0" w:line="234" w:lineRule="auto"/>
        <w:tabs>
          <w:tab w:leader="none" w:pos="209"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refer to Note 8 - Other Assets. The Company recorded capital contributions, purchased water and water delivery services and had water payments due to the mutual water companies.</w:t>
      </w:r>
    </w:p>
    <w:p>
      <w:pPr>
        <w:spacing w:after="0" w:line="229" w:lineRule="exact"/>
        <w:rPr>
          <w:rFonts w:ascii="Arial" w:cs="Arial" w:eastAsia="Arial" w:hAnsi="Arial"/>
          <w:sz w:val="23"/>
          <w:szCs w:val="23"/>
          <w:color w:val="auto"/>
          <w:vertAlign w:val="superscript"/>
        </w:rPr>
      </w:pPr>
    </w:p>
    <w:p>
      <w:pPr>
        <w:ind w:firstLine="8"/>
        <w:spacing w:after="0" w:line="267" w:lineRule="auto"/>
        <w:tabs>
          <w:tab w:leader="none" w:pos="19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201" w:lineRule="exact"/>
        <w:rPr>
          <w:rFonts w:ascii="Arial" w:cs="Arial" w:eastAsia="Arial" w:hAnsi="Arial"/>
          <w:sz w:val="21"/>
          <w:szCs w:val="21"/>
          <w:color w:val="auto"/>
          <w:vertAlign w:val="superscript"/>
        </w:rPr>
      </w:pPr>
    </w:p>
    <w:p>
      <w:pPr>
        <w:jc w:val="both"/>
        <w:ind w:firstLine="8"/>
        <w:spacing w:after="0" w:line="267" w:lineRule="auto"/>
        <w:tabs>
          <w:tab w:leader="none" w:pos="18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Calavo - The Company had an investment in Calavo through March 2020 and has representation on the board of directors and Calavo has an investment in the Company. The Company recorded dividend income on its investment in Calavo, paid dividends to Calavo and had avocado sales to Calavo. Additionally, the Company leases office space to Calavo, purchased storage services from Calavo and had immaterial amounts due to Calavo for those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pacing w:after="0" w:line="256" w:lineRule="exact"/>
        <w:rPr>
          <w:sz w:val="20"/>
          <w:szCs w:val="20"/>
          <w:color w:val="auto"/>
        </w:rPr>
      </w:pPr>
    </w:p>
    <w:p>
      <w:pPr>
        <w:jc w:val="both"/>
        <w:ind w:firstLine="8"/>
        <w:spacing w:after="0" w:line="276" w:lineRule="auto"/>
        <w:tabs>
          <w:tab w:leader="none" w:pos="18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the Company's Series B-2 convertible preferred stock. Upon the adoption of ASC 842, the Company recorded a ROU asset and corresponding lease liability.</w:t>
      </w:r>
    </w:p>
    <w:p>
      <w:pPr>
        <w:spacing w:after="0" w:line="200" w:lineRule="exact"/>
        <w:rPr>
          <w:rFonts w:ascii="Arial" w:cs="Arial" w:eastAsia="Arial" w:hAnsi="Arial"/>
          <w:sz w:val="21"/>
          <w:szCs w:val="21"/>
          <w:color w:val="auto"/>
          <w:vertAlign w:val="superscript"/>
        </w:rPr>
      </w:pPr>
    </w:p>
    <w:p>
      <w:pPr>
        <w:spacing w:after="0" w:line="219" w:lineRule="exact"/>
        <w:rPr>
          <w:rFonts w:ascii="Arial" w:cs="Arial" w:eastAsia="Arial" w:hAnsi="Arial"/>
          <w:sz w:val="21"/>
          <w:szCs w:val="21"/>
          <w:color w:val="auto"/>
          <w:vertAlign w:val="superscript"/>
        </w:rPr>
      </w:pPr>
    </w:p>
    <w:p>
      <w:pPr>
        <w:jc w:val="both"/>
        <w:ind w:firstLine="8"/>
        <w:spacing w:after="0" w:line="269" w:lineRule="auto"/>
        <w:tabs>
          <w:tab w:leader="none" w:pos="18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207" w:lineRule="exact"/>
        <w:rPr>
          <w:rFonts w:ascii="Arial" w:cs="Arial" w:eastAsia="Arial" w:hAnsi="Arial"/>
          <w:sz w:val="21"/>
          <w:szCs w:val="21"/>
          <w:color w:val="auto"/>
          <w:vertAlign w:val="superscript"/>
        </w:rPr>
      </w:pPr>
    </w:p>
    <w:p>
      <w:pPr>
        <w:ind w:firstLine="8"/>
        <w:spacing w:after="0" w:line="227" w:lineRule="auto"/>
        <w:tabs>
          <w:tab w:leader="none" w:pos="211"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229" w:lineRule="exact"/>
        <w:rPr>
          <w:rFonts w:ascii="Arial" w:cs="Arial" w:eastAsia="Arial" w:hAnsi="Arial"/>
          <w:sz w:val="23"/>
          <w:szCs w:val="23"/>
          <w:color w:val="auto"/>
          <w:vertAlign w:val="superscript"/>
        </w:rPr>
      </w:pPr>
    </w:p>
    <w:p>
      <w:pPr>
        <w:jc w:val="both"/>
        <w:ind w:firstLine="8"/>
        <w:spacing w:after="0" w:line="275" w:lineRule="auto"/>
        <w:tabs>
          <w:tab w:leader="none" w:pos="184"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the sale of packing supplies and a payable due to FGF for fruit purchases and services. Effective March 1, 2021, Trapani Fresh sells the lemons it grows to FGF, who packs, markets, and sells the fruit to its export customers. The Company also records revenue related to the licensing of intangible assets to FGF.</w:t>
      </w:r>
    </w:p>
    <w:p>
      <w:pPr>
        <w:spacing w:after="0" w:line="205"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LLCB - Refer to Note 5 - Real Estate Development.</w:t>
      </w:r>
    </w:p>
    <w:p>
      <w:pPr>
        <w:spacing w:after="0" w:line="228" w:lineRule="exact"/>
        <w:rPr>
          <w:rFonts w:ascii="Arial" w:cs="Arial" w:eastAsia="Arial" w:hAnsi="Arial"/>
          <w:sz w:val="21"/>
          <w:szCs w:val="21"/>
          <w:color w:val="auto"/>
          <w:vertAlign w:val="superscript"/>
        </w:rPr>
      </w:pPr>
    </w:p>
    <w:p>
      <w:pPr>
        <w:ind w:firstLine="8"/>
        <w:spacing w:after="0" w:line="282" w:lineRule="auto"/>
        <w:tabs>
          <w:tab w:leader="none" w:pos="247"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Freska - A member of the Company's board of directors is a majority shareholder of Freska Produce International, LLC ("Freska"). The Company had avocado sales to Freska and a corresponding receivable for such sales.</w:t>
      </w:r>
    </w:p>
    <w:p>
      <w:pPr>
        <w:spacing w:after="0" w:line="188" w:lineRule="exact"/>
        <w:rPr>
          <w:rFonts w:ascii="Arial" w:cs="Arial" w:eastAsia="Arial" w:hAnsi="Arial"/>
          <w:sz w:val="20"/>
          <w:szCs w:val="20"/>
          <w:color w:val="auto"/>
          <w:vertAlign w:val="superscript"/>
        </w:rPr>
      </w:pPr>
    </w:p>
    <w:p>
      <w:pPr>
        <w:ind w:firstLine="8"/>
        <w:spacing w:after="0" w:line="317" w:lineRule="auto"/>
        <w:tabs>
          <w:tab w:leader="none" w:pos="24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Third party growers - A member of the Company's board of directors markets lemons through the Company and the Company had payments due to the member for such lemon procurement.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effective tax rate for the nine months ended July 31, 2021 was higher than the federal statutory tax rate of 21% mainly due to foreign jurisdictions which are taxed at different rates, state taxes, and nondeductible tax items. The Company has no material uncertain tax positions as of July 31, 2021. The Company recognizes interest expense and penalties related to income tax matters as a component of income tax expense. There was no accrued interest or penalties associated with uncertain tax positions as of July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no funding contributions during the nine months ended July 31, 2021 and 2020.</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pension cost for the Plan for the three and nine months ended July 31, 2021 and 2020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5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4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July 31,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July 31,</w:t>
            </w:r>
          </w:p>
        </w:tc>
        <w:tc>
          <w:tcPr>
            <w:tcW w:w="920" w:type="dxa"/>
            <w:vAlign w:val="bottom"/>
            <w:tcBorders>
              <w:bottom w:val="single" w:sz="8" w:color="auto"/>
            </w:tcBorders>
          </w:tcPr>
          <w:p>
            <w:pPr>
              <w:spacing w:after="0"/>
              <w:rPr>
                <w:sz w:val="19"/>
                <w:szCs w:val="19"/>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1"/>
        </w:trPr>
        <w:tc>
          <w:tcPr>
            <w:tcW w:w="5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7320" w:firstLine="8"/>
        <w:spacing w:after="0" w:line="534"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Treasury Stock Stock-based Compensation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There were no shares of common stock granted to management under the Stock Plan for fiscal year 2020 performance because the financial performance and other criteria were not met.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These grants generally vest over a three to five-year period as service is provided. During December 2020, the Company granted 95,000 shares of common stock with a per share price of $15.26 to key executives under the Stock Plan. The related compensation expense of approximately $1,450,000 will be recognized equally over the next three years as the shares vest.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issues shares of common stock to non-employee directors under the Stock Plan on an annual basis that vest upon grant (“Director Awards”). During January 2021 and 2020, 27,815 and 17,841 shares, respectively, of common stock were granted as Director Awards. The Company recognized $469,000 and $358,000 of stock-based compensation to non-employee directors during the nine months ended July 31, 2021 and 2020,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ind w:right="6400" w:firstLine="8"/>
        <w:spacing w:after="0" w:line="534"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Treasury Stock (continued) Stock-based Compensation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 (continued)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2021 and 2020, members of management exchanged 46,993 and 11,314 shares, respectively, of common stock with fair values of $701,000 and $213,000, respectively, at the date of the exchanges, for the payment of payroll taxes associated with the vesting of shares under the Company’s stock-based compensation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12, 2020, the Board of Directors of the Company approved a share repurchase program authorizing the Company to repurchase up to $10,000,000 of its outstanding shares of common stock through March 2021. During fiscal year 2020, the Company repurchased 250,977 shares under the share repurchase program for approximately $3,493,000. This program expired in March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related to rental operations are included in “Corporate and Other.” Other agribusiness revenues consisted of oranges of $1,981,000 and $4,476,000 and specialty citrus and other crops of $1,065,000 and $4,089,000 for the three and nine months ended July 31, 2021, respectively. Other agribusiness revenues consisted of oranges of $2,232,000 and $7,171,000 and specialty citrus and other crops of $788,000 and $3,832,000 for the three and nine months ended July 31, 2020, respectively.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49,125</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36,295</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47,954</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49,125</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31,846</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9,279</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(7,192)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2,708</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1,956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38,597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4,717</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43,314</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4,449</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(3,889)</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3"/>
                <w:szCs w:val="13"/>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3"/>
                <w:szCs w:val="13"/>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53,559</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(16,330)</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52,387</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53,559</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39,694</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15,988</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(16,330)</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2,537</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2,666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44,555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4,633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49,188</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(3,747)</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3"/>
                <w:szCs w:val="13"/>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3"/>
                <w:szCs w:val="13"/>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98,195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132,532</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23,159</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(23,159)</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98,195</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129,080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132,532</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89,982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29,684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(23,159)</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6,832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107,480</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17,444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124,924</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6,591</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7,490</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8,213</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2020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3"/>
                <w:szCs w:val="13"/>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3"/>
                <w:szCs w:val="13"/>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100,231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131,309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134,786</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31,889</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(31,889)</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100,231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43,641</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8,323</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131,309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134,786</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101,006</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34,925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(31,889)</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9,990</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118,603</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18,113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136,716</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6,715</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7,555</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(15,476)</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43"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The Company has evaluated events subsequent to July 31, 2021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6,000 acres of lemons, 900 acres of avocados, 1,400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comprising 256 completed rental units and another approximately 930 units in various stages of planning and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Summary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and sell lemons directly to our food service, wholesale and retail customers throughout the United States, Canada, Asia, Australia and certain other international markets. We are one of the largest growers of lemons and avocados in the United States. We sell a majority of our avocados to Calavo. Additionally, we sell our oranges and specialty citrus to Sunkist-licensed and other third-party packinghouses, our pistachios to a roaster, packager and marketer of nuts, and our wine grapes to various wine producers.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Summary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rental operations division includes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Summary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Following our acquisition of Associated Citrus Packers, Inc. ("Associated"), we began using federal project water in Arizona from the Colorado River through the YMIDD. We also have acquired water rights in Chile related to our acquisitions of PDA and San Pablo.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California has experienced below average precipitation since 2018 and according to the U.S. Drought Monitor, California is experiencing exceptional drought conditions as of July 31, 2021. In May 2021, the California Governor declared a drought state of emergency for 41 of the 58 counties. Federal officials who oversee the Central Valley Project, California’s largest water delivery system, allocated 5% of the contracted amount of water to San Joaquin Valley farmers in 2021, compared to 100% in 2017 through 2020. We are assessing the impact these reductions may have on our California orchards.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the U.S. Bureau of Reclamation declared a Level 1 Shortage Condition at Lake Mead in the Lower Colorado River Basin for the first time ever, requiring shortage reductions and water savings contributions for states in the southwest. Beginning January 1, 2022, Arizona will see water releases from Lake Mead reduced by approximately 18% of the state’s annual apportionment. We are assessing the impact these reductions may have on our Arizona orchards.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equal partners in a joint venture with The Lewis Group of Companies (“Lewis”) for the residential development of our East Area I real estate development project. To consummate the transaction, we formed Limoneira Lewis Community Builders, LLC (the "LLCB" or "Joint Venture") as the development entity. The first phase of the project broke ground to commence mass grading in November 2017. The Joint Venture has closed on lot sales representing 556 units from inception through July 31, 2021, including 202 units in fiscal year 2021. For further information see Note 5 – Real Estate Development of the notes to consolidated financial statements included in this Quarterly Report on Form 10-Q.</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12, 2020, the Board of Directors of our Company approved a share repurchase program authorizing us to repurchase up to $10.0 million of our outstanding shares of common stock through March 2021. During fiscal year 2020, we purchased 250,977 shares under the share repurchase program for approximately $3.5 million. This program expired in March 2021.</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December 2020, we received $5.0 million of federal income tax refunds related to the Coronavirus Aid Relief and Economic Security Act and received an additional $0.9 million of California state refunds in the third quarter of fiscal year 2021.</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2021, we entered into an agreement, effective March 1, 2021, to sell and license certain assets of Trapani Fresh to our 49% partner in the joint venture, FGF. These assets consist of packing supplies and certain intangible assets related to the packing, marketing, and selling business of Trapani Fresh. The total consideration to be received is approximately $3.9 million over an 8-year term in 16 equal installments. There was no material gain or loss recognized on the transaction. Trapani Fresh continues to own and operate the 1,200-acre Santa Clara ranch and now sells the lemons it grows to FGF, who packs, markets, and sells the fruit to its export customers. As a result of this transaction, Trapani Fresh now recognizes lemon revenues at the market price less packinghouse charges to harvest, pack and market the fruit.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2021, we entered into a Master Loan Agreement (the “MLA”) with Farm Credit West, PCA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fixed interest rate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20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 August 2021, we entered into an equipment finance agreement (a "FCW term loan") with Lender in the amount of $2.5 million and used the proceeds to payoff the Wells Fargo term loan. The FCW term loan has a fixed interest rate of 3.19% and is payable in monthly installments through September 2026.</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22, 2021, we declared a cash dividend of $0.075 per common share paid on July 16, 2021, in the aggregate amount of $1.3 million to stockholders of record as of July 6, 2021. During the nine months ended July 31, 2021, we have paid cash dividends of $0.225 per common share in the aggregate amount of $4.0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spread of the novel coronavirus (COVID-19) in the past year has negatively impacted the global economy, disrupted global supply chains and created significant volatility and disruption of financial markets. The impact of this pandemic has created significant uncertainty in the global economy and has affected our business, employees, suppliers and customers.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has had an adverse impact on the industries and markets in which we conduct business. In particular, the United States lemon market has seen a significant decline in volume, with lemon demand falling since wide spread shelter in place orders were issued in mid-March 2020, resulting in a significant market oversupply. The export market for fresh product has also significantly declined due to COVID-19 impacts.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decline in demand for our products beginning the second quarter of fiscal year 2020, which we believe was a result of the COVID-19 pandemic, negatively impacted our sales and profitability for the last three quarters of fiscal year 2020 and in the first three quarters of fiscal year 2021. We also expect an adverse impact on our sales and profitability in future periods. These impacts are expected to be material. However, the duration of these trends and the magnitude of such impacts cannot be precisely estimated at this time, as they are affected by a number of factors, many of which are outside management’s control, including, but not limited, to those presented in Item 1A. Risk Factors of our Annual Report on Form 10-K for the year ended October 31, 2020. Although subject to unforeseen changes that may arise as the COVID-19 pandemic continues to unfold, we currently expect improvement in fiscal year 2022.</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took proactive actions early on to protect the health of our employees and their families, including curtailing business travel and encouraging video conferencing whenever possible. In addition, as the COVID-19 pandemic worsened throughout the spring of 2020, we allowed personnel to work remotely to the extent possible. While we believe we have responded appropriately to mitigate the impacts of the COVID-19 pandemic, as the situation evolves, we will continue to analyze additional mitigation measures that may be needed to preserve the health and safety of our workforce and our customers and the ongoing continuity of our business operations. Those measures might include modifying workspaces, continuing social distancing policies, implementing new personal protective equipment or health screening policies at our facilities, or such other industry best practices needed to continue to maintain a healthy and safe environment for our employees amidst the COVID-19 pandemic. In addition, in February 2021 the COVID-19 vaccine was offered to our employees.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economic uncertainty as a result of the COVID-19 pandemic over the past year, we have taken actions to improve our current liquidity position, including temporarily postponing capital expenditures, selling equity securities to increase cash, reducing operating costs, and substantially reducing discretionary spending.</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one of the largest growers of lemons and avocados in the United States and maintain our country's food chain infrastructure and thus are considered an essential business and permitted to remain open during the ongoing pandemic, be it at reduced volumes, in order to fulfill our customers' needs. However, there is significant uncertainty around the breadth and duration of our business disruptions related to the COVID-19 pandemic, as well as its impact on the U.S. economy, the ongoing business operations of our clients and our results of operations and financial condition. While our management team is actively monitoring the impacts of the COVID-19 pandemic and may take further actions altering our business operations that we determine are in the best interests of our employees and clients or as required by federal, state, or local authorities, the full impact of the COVID-19 pandemic on our results of operations, financial condition, or liquidity for the fourth quarter of fiscal year 2021 and beyond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4700" w:type="dxa"/>
            <w:vAlign w:val="bottom"/>
          </w:tcPr>
          <w:p>
            <w:pPr>
              <w:spacing w:after="0"/>
              <w:rPr>
                <w:sz w:val="22"/>
                <w:szCs w:val="22"/>
                <w:color w:val="auto"/>
              </w:rPr>
            </w:pPr>
          </w:p>
        </w:tc>
        <w:tc>
          <w:tcPr>
            <w:tcW w:w="332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2"/>
                <w:szCs w:val="22"/>
                <w:color w:val="auto"/>
              </w:rPr>
            </w:pPr>
          </w:p>
        </w:tc>
        <w:tc>
          <w:tcPr>
            <w:tcW w:w="29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Nine Months Ended July 31,</w:t>
            </w:r>
          </w:p>
        </w:tc>
      </w:tr>
      <w:tr>
        <w:trPr>
          <w:trHeight w:val="223"/>
        </w:trPr>
        <w:tc>
          <w:tcPr>
            <w:tcW w:w="47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47,954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52,387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129,080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131,309</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49,125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134,786</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40,691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125,318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(15,557)</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(9,485)</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Equity in earnings of investments, net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stock in Calavo Growers, Inc.</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(16,286)</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(10,410)</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gain or loss on stock in Calavo and sale and disposal of property assets when applicable, is an important measure to evaluate our results of operations between periods on a more comparable basis. Adjusted EBITDA in previous periods also excluded LLCB earnings in equity investment which is no longer excluded due to management’s anticipation of future cash distributions related to the investment in LLCB.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02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 July 31,</w:t>
            </w:r>
          </w:p>
        </w:tc>
        <w:tc>
          <w:tcPr>
            <w:tcW w:w="320" w:type="dxa"/>
            <w:vAlign w:val="bottom"/>
          </w:tcPr>
          <w:p>
            <w:pPr>
              <w:spacing w:after="0"/>
              <w:rPr>
                <w:sz w:val="20"/>
                <w:szCs w:val="20"/>
                <w:color w:val="auto"/>
              </w:rPr>
            </w:pPr>
          </w:p>
        </w:tc>
        <w:tc>
          <w:tcPr>
            <w:tcW w:w="29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Nine Months Ended July 31,</w:t>
            </w:r>
          </w:p>
        </w:tc>
      </w:tr>
      <w:tr>
        <w:trPr>
          <w:trHeight w:val="223"/>
        </w:trPr>
        <w:tc>
          <w:tcPr>
            <w:tcW w:w="49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(5,876)</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EBITDA</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7,840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(6,233)</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stock in Calavo Growers, Inc.</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loss on sale and disposal of property assets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2021 Compared to the Three Months Ended July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Total net revenues for the third quarter of fiscal year 2021 were $49.1 million compared to $53.6 million for the same period of fiscal year 2020. The 8% decrease of $4.4 million was primarily the result of decreased agribusiness revenues in lemons and avocados, as detailed below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540" w:type="dxa"/>
            <w:vAlign w:val="bottom"/>
            <w:tcBorders>
              <w:bottom w:val="single" w:sz="8" w:color="auto"/>
            </w:tcBorders>
            <w:gridSpan w:val="9"/>
          </w:tcPr>
          <w:p>
            <w:pPr>
              <w:ind w:left="940"/>
              <w:spacing w:after="0"/>
              <w:rPr>
                <w:sz w:val="20"/>
                <w:szCs w:val="20"/>
                <w:color w:val="auto"/>
              </w:rPr>
            </w:pPr>
            <w:r>
              <w:rPr>
                <w:rFonts w:ascii="Arial" w:cs="Arial" w:eastAsia="Arial" w:hAnsi="Arial"/>
                <w:sz w:val="18"/>
                <w:szCs w:val="18"/>
                <w:b w:val="1"/>
                <w:bCs w:val="1"/>
                <w:color w:val="auto"/>
              </w:rPr>
              <w:t>Agribusiness Revenues for the Three Months Ended July 31,</w:t>
            </w:r>
          </w:p>
        </w:tc>
      </w:tr>
      <w:tr>
        <w:trPr>
          <w:trHeight w:val="223"/>
        </w:trPr>
        <w:tc>
          <w:tcPr>
            <w:tcW w:w="4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40,835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43,234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(2,399)</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4"/>
              </w:rPr>
              <w:t>(6)%</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Avocados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(2,060)</w:t>
            </w: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(34)%</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(251)</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(11)%</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 crops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277</w:t>
            </w:r>
          </w:p>
        </w:tc>
        <w:tc>
          <w:tcPr>
            <w:tcW w:w="11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8"/>
              </w:rPr>
              <w:t>35%</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47,954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52,387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(4,433)</w:t>
            </w:r>
          </w:p>
        </w:tc>
        <w:tc>
          <w:tcPr>
            <w:tcW w:w="116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340" w:hanging="332"/>
        <w:spacing w:after="0" w:line="255"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Lemons: The decrease in the third quarter of fiscal year 2021 was primarily the result of decreased volume of fresh lemons sold partially offset by higher prices and increased other lemon sales related to brokered fruit compared to the same period of fiscal year 2020. During the third quarter of fiscal years 2021 and 2020, fresh lemon sales were $24.4 million and $35.4 million on, in aggregate, 1,144,000 and 1,979,000 cartons of lemons sold at average per carton prices of $21.34 and $17.91, respectively. Lemon revenues in the third quarter of fiscal years 2021 and 2020 included $4.5 million and $3.8 million shipping and handling, $0.6 million and $1.1 million lemon by-products and $11.2 million and $2.9 million other lemon sales, respectively.</w:t>
      </w:r>
    </w:p>
    <w:p>
      <w:pPr>
        <w:spacing w:after="0" w:line="30"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Avocados: The decrease in the third quarter of fiscal year 2021 was primarily the result of decreased volume of avocados sold partially offset by higher prices compared to the same period of fiscal year 2020. During the third quarter of fiscal years 2021 and 2020, 3,513,000 and 6,138,000 pounds of avocados were sold at an average per pound price of $1.16 and $1.00, respectively.</w:t>
      </w:r>
    </w:p>
    <w:p>
      <w:pPr>
        <w:spacing w:after="0" w:line="21"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Oranges: During the third quarter of fiscal years 2021 and 2020, we sold 259,000 and 184,000 40-pound carton equivalents of oranges at an average per carton price of $7.65 and $12.13, respectively.</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Specialty citrus and other crops: During the third quarter of fiscal years 2021 and 2020, we sold 45,000 and 72,000 40-pound carton equivalents of specialty citrus at an average per carton price of $14.04 and $10.94,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third quarter of fiscal year 2021 was similar to the same period of fiscal year 2020.</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total costs and expenses in the third quarter of fiscal year 2021 were $45.8 million compared to $51.7 million in the same period of fiscal year 2020. The 12% decrease of $6.0 million was primarily attributable to decreased packing costs and harvest costs, partially offset by increased growing costs and third-party grower costs. Costs and expenses associated with our agribusiness division include packing costs, harvest costs, growing costs, costs related to the fruit we procure and sell for third-party growers and depreciation and amortization expense, as detailed below ($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820" w:type="dxa"/>
            <w:vAlign w:val="bottom"/>
            <w:tcBorders>
              <w:bottom w:val="single" w:sz="8" w:color="auto"/>
            </w:tcBorders>
            <w:gridSpan w:val="9"/>
          </w:tcPr>
          <w:p>
            <w:pPr>
              <w:ind w:left="700"/>
              <w:spacing w:after="0"/>
              <w:rPr>
                <w:sz w:val="20"/>
                <w:szCs w:val="20"/>
                <w:color w:val="auto"/>
              </w:rPr>
            </w:pPr>
            <w:r>
              <w:rPr>
                <w:rFonts w:ascii="Arial" w:cs="Arial" w:eastAsia="Arial" w:hAnsi="Arial"/>
                <w:sz w:val="18"/>
                <w:szCs w:val="18"/>
                <w:b w:val="1"/>
                <w:bCs w:val="1"/>
                <w:color w:val="auto"/>
                <w:w w:val="99"/>
              </w:rPr>
              <w:t>Agribusiness Costs and Expenses for the Three Months Ended July 31,</w:t>
            </w:r>
          </w:p>
        </w:tc>
      </w:tr>
      <w:tr>
        <w:trPr>
          <w:trHeight w:val="223"/>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200" w:type="dxa"/>
            <w:vAlign w:val="bottom"/>
            <w:tcBorders>
              <w:bottom w:val="single" w:sz="8" w:color="auto"/>
            </w:tcBorders>
          </w:tcPr>
          <w:p>
            <w:pPr>
              <w:spacing w:after="0"/>
              <w:rPr>
                <w:sz w:val="19"/>
                <w:szCs w:val="19"/>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(7,129)</w:t>
            </w:r>
          </w:p>
        </w:tc>
        <w:tc>
          <w:tcPr>
            <w:tcW w:w="120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(42)%</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(3,315)</w:t>
            </w:r>
          </w:p>
        </w:tc>
        <w:tc>
          <w:tcPr>
            <w:tcW w:w="1200" w:type="dxa"/>
            <w:vAlign w:val="bottom"/>
          </w:tcPr>
          <w:p>
            <w:pPr>
              <w:jc w:val="center"/>
              <w:ind w:right="350"/>
              <w:spacing w:after="0"/>
              <w:rPr>
                <w:sz w:val="20"/>
                <w:szCs w:val="20"/>
                <w:color w:val="auto"/>
              </w:rPr>
            </w:pPr>
            <w:r>
              <w:rPr>
                <w:rFonts w:ascii="Arial" w:cs="Arial" w:eastAsia="Arial" w:hAnsi="Arial"/>
                <w:sz w:val="18"/>
                <w:szCs w:val="18"/>
                <w:color w:val="auto"/>
                <w:w w:val="91"/>
              </w:rPr>
              <w:t>(49)%</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1,285</w:t>
            </w:r>
          </w:p>
        </w:tc>
        <w:tc>
          <w:tcPr>
            <w:tcW w:w="120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88"/>
              </w:rPr>
              <w:t>21%</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Third-party grower costs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17,828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3,201</w:t>
            </w:r>
          </w:p>
        </w:tc>
        <w:tc>
          <w:tcPr>
            <w:tcW w:w="1200" w:type="dxa"/>
            <w:vAlign w:val="bottom"/>
          </w:tcPr>
          <w:p>
            <w:pPr>
              <w:jc w:val="center"/>
              <w:ind w:right="350"/>
              <w:spacing w:after="0"/>
              <w:rPr>
                <w:sz w:val="20"/>
                <w:szCs w:val="20"/>
                <w:color w:val="auto"/>
              </w:rPr>
            </w:pPr>
            <w:r>
              <w:rPr>
                <w:rFonts w:ascii="Arial" w:cs="Arial" w:eastAsia="Arial" w:hAnsi="Arial"/>
                <w:sz w:val="18"/>
                <w:szCs w:val="18"/>
                <w:color w:val="auto"/>
                <w:w w:val="88"/>
              </w:rPr>
              <w:t>22%</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(177)</w:t>
            </w:r>
          </w:p>
        </w:tc>
        <w:tc>
          <w:tcPr>
            <w:tcW w:w="120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(8)%</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40,691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(6,135)</w:t>
            </w:r>
          </w:p>
        </w:tc>
        <w:tc>
          <w:tcPr>
            <w:tcW w:w="12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1"/>
              </w:rPr>
              <w:t>(13)%</w:t>
            </w:r>
          </w:p>
        </w:tc>
      </w:tr>
      <w:tr>
        <w:trPr>
          <w:trHeight w:val="21"/>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hanging="332"/>
        <w:spacing w:after="0" w:line="25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In the third quarter of fiscal years 2021 and 2020, lemon packing costs were $9.3 million and $15.9 million, respectively. During the third quarter of fiscal years 2021 and 2020, we packed and sold 1,144,000 and 1,979,000 cartons of lemons at average per carton costs of $8.11 and $8.05, respectively. Additionally, in the third quarter of fiscal years 2021 and 2020, packing costs included $0.6 million and $1.1 million of shipping costs, respectively.</w:t>
      </w:r>
    </w:p>
    <w:p>
      <w:pPr>
        <w:spacing w:after="0" w:line="25" w:lineRule="exact"/>
        <w:rPr>
          <w:rFonts w:ascii="Arial" w:cs="Arial" w:eastAsia="Arial" w:hAnsi="Arial"/>
          <w:sz w:val="18"/>
          <w:szCs w:val="18"/>
          <w:color w:val="auto"/>
        </w:rPr>
      </w:pPr>
    </w:p>
    <w:p>
      <w:pPr>
        <w:ind w:left="340" w:hanging="332"/>
        <w:spacing w:after="0" w:line="298"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Harvest costs: The decrease in the third quarter of fiscal year 2021 was primarily the result of decreased volume of lemons, avocados and specialty citrus harvested, partially offset by increased volume of oranges harvested compared to the same period of fiscal year 2020.</w:t>
      </w:r>
    </w:p>
    <w:p>
      <w:pPr>
        <w:jc w:val="both"/>
        <w:ind w:left="340" w:hanging="332"/>
        <w:spacing w:after="0" w:line="26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Growing costs: Also referred to as cultural costs, consist of orchard maintenance costs such as cultivation, fertilization and soil amendments, pest control, pruning and irrigation. The increase in the third quarter of fiscal year 2021 was primarily due to farm management decisions based on weather, harvest timing and crop conditions.</w:t>
      </w:r>
    </w:p>
    <w:p>
      <w:pPr>
        <w:spacing w:after="0" w:line="21"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Third-party grower costs: We sell lemons that we grow and lemons that we procure from other growers. The cost of procuring lemons from other growers is referred to as third-party grower costs. The increase in the third quarter of fiscal year 2021 was primarily due to higher prices partially offset by decreased volume of third party grower fruit sold compared to the same period of fiscal year 2020. Of the 1,144,000 and 1,979,000 cartons of lemons packed and sold during the third quarter of fiscal years 2021 and 2020, 655,000 (57%) and 1,269,000 (64%) were procured from third-party growers at average per carton prices of $14.88 and $8.78, respectively. Additionally, in the third quarter of fiscal years 2021 and 2020 we incurred $8.1 million and $3.5 million, respectively, of costs for purchased, packed fruit for resale.</w:t>
      </w:r>
    </w:p>
    <w:p>
      <w:pPr>
        <w:spacing w:after="0" w:line="15"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third quarter of fiscal year 2021 was approximately $0.2 million lower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$1.0 million in the third quarter of both fiscal years 2021 and 2020.</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Selling, general and administrative costs and expenses were $4.0 million in the third quarter of fiscal year 2021 compared to $3.9 million in the third quarter of fiscal year 2020. The 3% increase of $0.1 million primarily consisted of the following:</w:t>
      </w:r>
    </w:p>
    <w:p>
      <w:pPr>
        <w:spacing w:after="0" w:line="25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Lemon selling expenses for the third quarter of fiscal year 2021 were $0.3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Labor, benefits and incentive compensation for the third quarter of fiscal year 2021 were $0.6 million lower than the same period of fiscal year 2020.</w:t>
      </w:r>
    </w:p>
    <w:p>
      <w:pPr>
        <w:spacing w:after="0" w:line="86"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and administrative expenses, including certain corporate overhead expenses, for the third quarter of fiscal year 2021 were $0.4 million higher than the same period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 the third quarter of fiscal year 2021 was comprised primarily of $1.5 million of equity in earnings of investments and $0.4 million of net interest expense. Other income in the third quarter of fiscal year 2020 was comprised primarily of $0.8 million of equity in earnings of investments and $0.1 million of net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an estimated income tax provision of $1.3 million and $0.8 million in the third quarter of fiscal years 2021 and 2020, respectively, on pre-tax income of $4.5 million and $2.6 million, respectively. The tax provision recorded for the third quarter of fiscal year 2021 differs from the U.S. federal statutory tax rate of 21.0% due primarily to foreign jurisdictions which are taxed at different rates, state taxes, and nondeductible tax items. Our projected annual effective blended tax rate for fiscal year 2021, excluding discrete items, is approximately 24.8%.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and 49% of the net losses of PDA and Trapani Fresh,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 2021 Compared to the Nine Months Ended July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revenues for the nine months ended July 31, 2021 were $132.5 million compared to $134.8 million for the nine months ended July 31, 2020. The 2% decrease of $2.3 million was primarily the result of decreased avocados and oranges agribusiness revenues partially offset by increased lemons agribusiness revenues, as detailed below ($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gridSpan w:val="8"/>
          </w:tcPr>
          <w:p>
            <w:pPr>
              <w:ind w:left="620"/>
              <w:spacing w:after="0"/>
              <w:rPr>
                <w:sz w:val="20"/>
                <w:szCs w:val="20"/>
                <w:color w:val="auto"/>
              </w:rPr>
            </w:pPr>
            <w:r>
              <w:rPr>
                <w:rFonts w:ascii="Arial" w:cs="Arial" w:eastAsia="Arial" w:hAnsi="Arial"/>
                <w:sz w:val="18"/>
                <w:szCs w:val="18"/>
                <w:b w:val="1"/>
                <w:bCs w:val="1"/>
                <w:color w:val="auto"/>
              </w:rPr>
              <w:t>Agribusiness Revenues for the Nine Months Ended July 31,</w:t>
            </w:r>
          </w:p>
        </w:tc>
      </w:tr>
      <w:tr>
        <w:trPr>
          <w:trHeight w:val="223"/>
        </w:trPr>
        <w:tc>
          <w:tcPr>
            <w:tcW w:w="4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1,752</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2"/>
              </w:rPr>
              <w:t>2%</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Avocados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(1,543)</w:t>
            </w: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(19)%</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(2,695)</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(38)%</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 crops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257</w:t>
            </w:r>
          </w:p>
        </w:tc>
        <w:tc>
          <w:tcPr>
            <w:tcW w:w="11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2"/>
              </w:rPr>
              <w:t>7%</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(2,229)</w:t>
            </w:r>
          </w:p>
        </w:tc>
        <w:tc>
          <w:tcPr>
            <w:tcW w:w="116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340" w:hanging="332"/>
        <w:spacing w:after="0" w:line="255"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Lemons: The increase in the first nine months of fiscal year 2021 was primarily the result of increases in other lemon sales related to brokered fruit and shipping and handling, partially offset by decreased volume of fresh lemons sold compared to the same period of fiscal year 2020. During the first nine months of fiscal years 2021 and 2020, fresh lemon sales were $78.1 million and $87.8 million on, in aggregate, 3,992,000 and 4,734,000 cartons of lemons sold at average per carton prices of $19.56 and $18.54, respectively. Lemon revenues in the first nine months of fiscal years 2021 and 2020 included $15.5 million and $11.8 million shipping and handling, $3.1 million and $3.7 million lemon by-products and $17.0 million and $8.8 million other lemon sales, respectively.</w:t>
      </w:r>
    </w:p>
    <w:p>
      <w:pPr>
        <w:spacing w:after="0" w:line="30"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Avocados: The decrease in the first nine months of fiscal year 2021 was primarily the result of decreased volume of avocados sold partially offset by higher prices compared to the same period of fiscal year 2020. During the first nine months of fiscal years 2021 and 2020, 5,655,000 and 7,497,000 pounds of avocados were sold at an average per pound price of $1.20 and $1.11, respectively.</w:t>
      </w:r>
    </w:p>
    <w:p>
      <w:pPr>
        <w:spacing w:after="0" w:line="21" w:lineRule="exact"/>
        <w:rPr>
          <w:rFonts w:ascii="Arial" w:cs="Arial" w:eastAsia="Arial" w:hAnsi="Arial"/>
          <w:sz w:val="18"/>
          <w:szCs w:val="18"/>
          <w:color w:val="auto"/>
        </w:rPr>
      </w:pPr>
    </w:p>
    <w:p>
      <w:pPr>
        <w:jc w:val="both"/>
        <w:ind w:left="340" w:right="2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Oranges: The decrease in the first nine months of fiscal year 2021 was primarily the result of decreased volume and lower prices of oranges sold compared to the same period of fiscal year 2020. In the first nine months of fiscal years 2021 and 2020, we sold 533,000 and 736,000 40-pound carton equivalents of oranges at an average per carton price of $8.40 and $9.74, respectively.</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Specialty citrus and other crops: Revenues during the first nine months of fiscal year 2021 were similar to the same period of fiscal year 2020. During the first nine months of fiscal years 2021 and 2020, we sold 289,000 and 328,000 40-pound carton equivalents of specialty citrus at an average per carton price of $12.40 and $11.68,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first nine months of fiscal year 2021 was similar to the same period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costs and expenses in the first nine months of fiscal year 2021 were $132.4 million compared to $144.3 million in the same period of fiscal year 2020. The 8% decrease of $11.9 million was primarily attributable to decreases in our packing costs, harvest costs and third-party grower costs. Costs and expenses associated with our agribusiness division include packing costs, harvest costs, growing costs, costs related to the fruit we procure and sell for third-party growers and depreciation and amortization expense, as detailed below ($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820" w:type="dxa"/>
            <w:vAlign w:val="bottom"/>
            <w:tcBorders>
              <w:bottom w:val="single" w:sz="8" w:color="auto"/>
            </w:tcBorders>
            <w:gridSpan w:val="9"/>
          </w:tcPr>
          <w:p>
            <w:pPr>
              <w:ind w:left="740"/>
              <w:spacing w:after="0"/>
              <w:rPr>
                <w:sz w:val="20"/>
                <w:szCs w:val="20"/>
                <w:color w:val="auto"/>
              </w:rPr>
            </w:pPr>
            <w:r>
              <w:rPr>
                <w:rFonts w:ascii="Arial" w:cs="Arial" w:eastAsia="Arial" w:hAnsi="Arial"/>
                <w:sz w:val="18"/>
                <w:szCs w:val="18"/>
                <w:b w:val="1"/>
                <w:bCs w:val="1"/>
                <w:color w:val="auto"/>
              </w:rPr>
              <w:t>Agribusiness Costs and Expenses for the Nine Months Ended July 31,</w:t>
            </w:r>
          </w:p>
        </w:tc>
      </w:tr>
      <w:tr>
        <w:trPr>
          <w:trHeight w:val="223"/>
        </w:trPr>
        <w:tc>
          <w:tcPr>
            <w:tcW w:w="44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200" w:type="dxa"/>
            <w:vAlign w:val="bottom"/>
            <w:tcBorders>
              <w:bottom w:val="single" w:sz="8" w:color="auto"/>
            </w:tcBorders>
          </w:tcPr>
          <w:p>
            <w:pPr>
              <w:spacing w:after="0"/>
              <w:rPr>
                <w:sz w:val="19"/>
                <w:szCs w:val="19"/>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(5,385)</w:t>
            </w:r>
          </w:p>
        </w:tc>
        <w:tc>
          <w:tcPr>
            <w:tcW w:w="120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(14)%</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(3,724)</w:t>
            </w:r>
          </w:p>
        </w:tc>
        <w:tc>
          <w:tcPr>
            <w:tcW w:w="1200" w:type="dxa"/>
            <w:vAlign w:val="bottom"/>
          </w:tcPr>
          <w:p>
            <w:pPr>
              <w:jc w:val="center"/>
              <w:ind w:right="350"/>
              <w:spacing w:after="0"/>
              <w:rPr>
                <w:sz w:val="20"/>
                <w:szCs w:val="20"/>
                <w:color w:val="auto"/>
              </w:rPr>
            </w:pPr>
            <w:r>
              <w:rPr>
                <w:rFonts w:ascii="Arial" w:cs="Arial" w:eastAsia="Arial" w:hAnsi="Arial"/>
                <w:sz w:val="18"/>
                <w:szCs w:val="18"/>
                <w:color w:val="auto"/>
                <w:w w:val="91"/>
              </w:rPr>
              <w:t>(21)%</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(480)</w:t>
            </w:r>
          </w:p>
        </w:tc>
        <w:tc>
          <w:tcPr>
            <w:tcW w:w="120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4"/>
              </w:rPr>
              <w:t>(2)%</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Third-party grower costs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(1,534)</w:t>
            </w:r>
          </w:p>
        </w:tc>
        <w:tc>
          <w:tcPr>
            <w:tcW w:w="1200" w:type="dxa"/>
            <w:vAlign w:val="bottom"/>
          </w:tcPr>
          <w:p>
            <w:pPr>
              <w:jc w:val="center"/>
              <w:ind w:right="350"/>
              <w:spacing w:after="0"/>
              <w:rPr>
                <w:sz w:val="20"/>
                <w:szCs w:val="20"/>
                <w:color w:val="auto"/>
              </w:rPr>
            </w:pPr>
            <w:r>
              <w:rPr>
                <w:rFonts w:ascii="Arial" w:cs="Arial" w:eastAsia="Arial" w:hAnsi="Arial"/>
                <w:sz w:val="18"/>
                <w:szCs w:val="18"/>
                <w:color w:val="auto"/>
                <w:w w:val="94"/>
              </w:rPr>
              <w:t>(4)%</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(124)</w:t>
            </w:r>
          </w:p>
        </w:tc>
        <w:tc>
          <w:tcPr>
            <w:tcW w:w="120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(2)%</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114,071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125,318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(11,247)</w:t>
            </w:r>
          </w:p>
        </w:tc>
        <w:tc>
          <w:tcPr>
            <w:tcW w:w="12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4"/>
              </w:rPr>
              <w:t>(9)%</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hanging="332"/>
        <w:spacing w:after="0" w:line="25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In the first nine months of fiscal years 2021 and 2020, lemon packing costs were $29.7 million and $34.9 million, respectively. During the first nine months of fiscal years 2021 and 2020, we packed and sold 3,992,000 and 4,734,000 cartons of lemons at average per carton costs of $7.44 and $7.38, respectively. Additionally, in the first nine months of fiscal years 2021 and 2020, packing costs included $2.2 million and $2.4 million of shipping costs, respectively.</w:t>
      </w:r>
    </w:p>
    <w:p>
      <w:pPr>
        <w:spacing w:after="0" w:line="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Harvest costs: The decrease in the first nine months of fiscal year 2021 was primarily the result of decreased volume of lemons, oranges and avocados harvested compared to the same period in fiscal year 2020.</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Growing costs: Also referred to as cultural costs, consist of orchard maintenance costs such as cultivation, fertilization and soil amendments, pest control, pruning and irrigation. The decrease in the first nine months of fiscal year 2021 was primarily due to farm management decisions based on weather, harvest timing and crop conditions.</w:t>
      </w:r>
    </w:p>
    <w:p>
      <w:pPr>
        <w:spacing w:after="0" w:line="21"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Third-party grower costs: We sell lemons that we grow and lemons that we procure from other growers. The cost of procuring lemons from other growers is referred to as third-party grower costs. The decrease in the first nine months of fiscal year 2021 was primarily due to decreased volume of third-party grower lemons sold partially offset by higher prices compared to the same period of fiscal year 2020. Of the 3,992,000 and 4,734,000 cartons of lemons packed and sold during the first nine months of fiscal years 2021 and 2020, 2,048,000 (51%) and 2,856,000 (60%) were procured from third-party growers at average per carton prices of $14.08 and $11.61, respectively. Additionally, in the first nine months of fiscal years 2021 and 2020 we incurred $10.6 million and $7.8 million, respectively, of costs for purchased, packed fruit for resale.</w:t>
      </w:r>
    </w:p>
    <w:p>
      <w:pPr>
        <w:spacing w:after="0" w:line="15"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first nine months of fiscal year 2021 was approximately $0.1 million lower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$3.2 million and $3.4 million in the first nine months of fiscal years 2021 and 2020, respectively.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costs and expenses were $15.2 million in the first nine months of fiscal year 2021 compared to $15.6 million in the first nine months of fiscal year 2020. The 3% decrease of $0.4 million primarily consisted of the following:</w:t>
      </w:r>
    </w:p>
    <w:p>
      <w:pPr>
        <w:spacing w:after="0" w:line="25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Lemon selling expenses for the first nine months of fiscal year 2021 were $0.3 million lower than the same period of fiscal year 2020.</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Training, depreciation and other costs associated with an ERP software implementation for the first nine months of fiscal year 2021 were $0.3 million lower than the same period of fiscal year 2020.</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administrative expenses, including certain corporate overhead expenses, for the first nine months of fiscal year 2021 were $0.2 million higher than the same period of fiscal year 2020.</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 the first nine months of fiscal year 2021 was comprised primarily of $2.5 million of equity in earnings of investments and $0.8 million of net interest expense. Other expense in the first nine months of fiscal year 2020 was comprised primarily of $6.3 million loss on stock in Calavo Growers, Inc. and $1.1 million of net interest expense, partially offset by $0.3 million of equity in earnings of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an estimated income tax (provision) benefit of $(1.1) million and $5.9 million in the first nine months of fiscal years 2021 and 2020 on pre-tax income (loss) of $1.9 million and $(16.3) million, respectively. The tax provision recorded for the first nine months of fiscal year 2021 differs from the U.S. federal statutory tax rate of 21.0% due primarily to foreign jurisdictions which are taxed at different rates, state taxes, and nondeductible tax items. Our projected annual effective blended tax rate for fiscal year 2021, excluding discrete items, is approximately 24.8%.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and 49% of the net losses of PDA and Trapani Fresh,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18 - Segment Information of the notes to consolidated financial statements included in this Quarterly Report on Form 10-Q for additional information regarding our operating segments.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2021 Compared to the Three Months Ended July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49,125</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36,295</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(7,192)</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47,954</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49,125</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31,846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9,279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(7,192)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38,597</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4,717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43,314</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4,449</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(3,889)</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53,559</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(16,330)</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39,459</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(16,330)</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52,387</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53,559</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39,694</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15,988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(16,330)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2,537</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44,555</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4,633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49,188</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(3,747)</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purchased, packed fruit for resale. For the third quarter of fiscal years 2021 and 2020, our fresh lemons segment total net revenues were $36.3 million and $39.5 million, respectively. The 8% decrease of $3.2 million was primarily due to decreases in fresh lemon carton and lemon by-products sales of $11.5 million partially offset by an increase in brokered fruit and other lemon sales of $8.3 million.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lemons we procure from third-party growers. For the third quarter of fiscal years 2021 and 2020, our fresh lemons segment costs and expenses were $31.8 million and $39.7 million, respectively. The 20% decrease of $7.8 million primarily consisted of the following:</w:t>
      </w:r>
    </w:p>
    <w:p>
      <w:pPr>
        <w:spacing w:after="0" w:line="238"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Harvest costs for the third quarter of fiscal year 2021 were $3.0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2021 were $1.1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grower costs for the third quarter of fiscal year 2021 were $3.6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costs for the third quarter of fiscal year 2021 were $0.5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Intersegment costs and expenses for the third quarter of fiscal year 2021 were $9.1 million lower than the same period of fiscal year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third quarter of fiscal years 2021 and 2020, our lemon packing segment total net revenues were $11.7 million and $20.1 million, respectively. The 42% decrease of $8.4 million was primarily due to decreased volume of lemons packed and sold.</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Costs and expenses associated with our lemon packing segment consist of the cost to pack lemons for sale such as labor and benefits, cardboard cartons, fruit treatments, packing and shipping supplies and facility operating costs. For the third quarter of fiscal years 2021 and 2020, our lemon packing costs and expenses were $9.3 million and $16.0 million, respectively. The 42% decrease of $6.7 million was primarily due to decreased volume of lemons packed.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fiscal years 2021 and 2020, lemon packing segment operating income per carton sold was $2.14 and $2.08,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fiscal years 2021 and 2020, the lemon packing segment included $7.2 million and $16.3 million, respectively, of intersegment revenues that were charged to the fresh lemons segment to pack lemons for sale. Such intersegment revenues and expenses are eliminated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years 2021 and 2020, our avocados segment had total revenues of $4.1 million and $6.1 million,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avocados segment include harvest and growing costs. For the third quarter of fiscal years 2021 and 2020, our avocados segment costs and expenses were $2.7 million and $2.5 million, respectively. The 7% increase of $0.2 million primarily consisted of growing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third quarter of fiscal years 2021 and 2020, our other agribusiness segment total net revenues were similar at $3.0 million, which consisted of the following:</w:t>
      </w:r>
    </w:p>
    <w:p>
      <w:pPr>
        <w:spacing w:after="0" w:line="22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Orange revenues for the third quarter of fiscal year 2021 were $0.3 million lower than the same period of fiscal year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6" w:name="page37"/>
    <w:bookmarkEnd w:id="36"/>
    <w:p>
      <w:pPr>
        <w:ind w:left="34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citrus and other crops revenues for the third quarter of fiscal year 2021 were $0.3 million higher compared to the same period of fiscal year 2020.</w:t>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third quarter of fiscal years 2021 and 2020, our other agribusiness costs and expenses were $2.0 million and $2.7 million, respectively. The 27% decrease of $0.7 million primarily consisted of the following:</w:t>
      </w:r>
    </w:p>
    <w:p>
      <w:pPr>
        <w:spacing w:after="0" w:line="26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Harvest costs for the third quarter of fiscal year 2021 were $0.1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2021 were $0.4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Purchased fruit costs for the third quarter of fiscal year 2021 were $0.4 million lower than the same period of fiscal year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third quarter of fiscal year 2021 were $0.2 million lower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corporate and other operations had revenues of $1.2 million for the third quarter of both fiscal years 2021 and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in our corporate and other operations for the third quarter of fiscal years 2021 and 2020 were $4.7 million and $4.6 million, respectively, and include selling, general and administrative costs and expenses not allocated to the operating segments. Depreciation and amortization expenses for the third quarter of fiscal years 2021 and 2020 were similar at approximately $0.3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 2021 Compared to the Nine Months Ended July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98,195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132,532</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(23,159)</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98,195</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129,080</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132,532</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89,982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29,684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(23,159)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6,832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107,480</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17,444</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124,924</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6,591</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7,490</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8,213</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(14,891)</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100,231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131,309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134,786</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31,889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(31,889)</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100,231</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43,641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131,309</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134,786</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101,006</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34,925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(31,889)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9,990</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118,603</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18,113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136,716</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6,715</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7,555</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(15,476)</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purchased, packed fruit for resale. For the first nine months of fiscal years 2021 and 2020, our fresh lemons segment total net revenues were $98.2 million and $100.2 million, respectively. The 2% decrease of $2.0 million was primarily due to decreases in fresh lemon carton and lemon by-products sales of $10.2 million, partially offset by an increase in brokered fruit and other lemon sales of $8.2 million.</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7" w:name="page38"/>
    <w:bookmarkEnd w:id="37"/>
    <w:p>
      <w:pPr>
        <w:jc w:val="both"/>
        <w:ind w:right="20"/>
        <w:spacing w:after="0" w:line="263"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lemons we procure from third-party growers. For the first nine months of fiscal years 2021 and 2020, our fresh lemons segment costs and expenses were $90.0 million and $101.0 million, respectively. The 11% decrease of $11.0 million primarily consisted of the following:</w:t>
      </w:r>
    </w:p>
    <w:p>
      <w:pPr>
        <w:spacing w:after="0" w:line="23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Harvest costs for the first nine months of fiscal year 2021 were $2.9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Growing costs for the first nine months of fiscal year 2021 were $0.5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grower costs for the first nine months of fiscal year 2021 were $0.3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Transportation costs for the first nine months of fiscal year 2021 were $0.1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Intersegment costs and expenses for the first nine months of fiscal year 2021 were $8.7 million lower than the same period of fiscal year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nine months of fiscal years 2021 and 2020, our lemon packing segment total net revenues were $38.7 million and $43.6 million, respectively. The 11% decrease of $4.9 million was primarily due to decreased volume of lemons packed and sold.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nine months of fiscal years 2021 and 2020, our lemon packing costs and expenses were $29.7 million and $34.9 million, respectively. The 15% decrease of $5.2 million was primarily due to decreased volume of lemons packed.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the first nine months of fiscal years 2021 and 2020, lemon packing segment operating income per carton sold was $2.26 and $1.84, respectively.</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first nine months of fiscal years 2021 and 2020, the lemon packing segment included $23.2 million and $31.9 million, respectively, of intersegment revenues that were charged to the fresh lemons segment to pack lemons for sale. Such intersegment revenues and expenses are eliminated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first nine months of fiscal years 2021 and 2020, our avocados segment had total revenues of $6.8 million and $8.3 million,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avocados segment include harvest and growing costs. For the first nine months of fiscal years 2021 and 2020, our avocados segment costs and expenses were $4.1 million and $4.6 million, respectively. The 9% decrease of $0.4 million primarily consisted of harvest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fiscal years 2021 and 2020, our other agribusiness segment total net revenues were $8.6 million and $11.0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22% decrease of $2.4 million primarily consisted of the following:</w:t>
      </w:r>
    </w:p>
    <w:p>
      <w:pPr>
        <w:spacing w:after="0" w:line="265"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Orange revenues for the first nine months of fiscal year 2021 were $2.7 million lower than the same period of fiscal year 2020.</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Specialty citrus and other crops revenues for the first nine months of fiscal year 2021 were $0.3 million higher compared to the same period of fiscal year 2020.</w:t>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first nine months of fiscal years 2021 and 2020, our other agribusiness costs and expenses were $6.8 million and $10.0 million, respectively. The 32% decrease of $3.2 million primarily consisted of the following:</w:t>
      </w:r>
    </w:p>
    <w:p>
      <w:pPr>
        <w:spacing w:after="0" w:line="26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Harvest costs for the first nine months of fiscal year 2021 were $0.5 million lower than the same period of fiscal year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8" w:name="page39"/>
    <w:bookmarkEnd w:id="38"/>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Growing costs for the first nine months of fiscal year 2021 were $0.9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Purchased fruit costs for the first nine months of fiscal year 2021 were $1.8 million lower than the same period of fiscal year 2020.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agribusiness depreciation and amortization expenses for the first nine months of fiscal year 2021 were $0.1 million lower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corporate and other operations had revenues of $3.5 million for the first nine months of both fiscal years 2021 and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in our corporate and other operations for the first nine months of fiscal years 2021 and 2020 were approximately $17.4 million and $18.1 million, respectively, and include selling, general and administrative costs and expenses not allocated to the operating segments. Depreciation and amortization expenses for the first nine months of fiscal years 2021 and 2020 were $0.9 million and $0.8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July 31, 2021 and 2020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4"/>
          </w:tcPr>
          <w:p>
            <w:pPr>
              <w:jc w:val="right"/>
              <w:ind w:right="50"/>
              <w:spacing w:after="0" w:line="202" w:lineRule="exact"/>
              <w:rPr>
                <w:sz w:val="20"/>
                <w:szCs w:val="20"/>
                <w:color w:val="auto"/>
              </w:rPr>
            </w:pPr>
            <w:r>
              <w:rPr>
                <w:rFonts w:ascii="Arial" w:cs="Arial" w:eastAsia="Arial" w:hAnsi="Arial"/>
                <w:sz w:val="18"/>
                <w:szCs w:val="18"/>
                <w:b w:val="1"/>
                <w:bCs w:val="1"/>
                <w:color w:val="auto"/>
                <w:w w:val="91"/>
              </w:rPr>
              <w:t>Trailing Twelve Months Ended</w:t>
            </w:r>
          </w:p>
        </w:tc>
      </w:tr>
      <w:tr>
        <w:trPr>
          <w:trHeight w:val="230"/>
        </w:trPr>
        <w:tc>
          <w:tcPr>
            <w:tcW w:w="8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July 31,</w:t>
            </w:r>
          </w:p>
        </w:tc>
        <w:tc>
          <w:tcPr>
            <w:tcW w:w="920" w:type="dxa"/>
            <w:vAlign w:val="bottom"/>
            <w:tcBorders>
              <w:bottom w:val="single" w:sz="8" w:color="auto"/>
            </w:tcBorders>
          </w:tcPr>
          <w:p>
            <w:pPr>
              <w:spacing w:after="0"/>
              <w:rPr>
                <w:sz w:val="19"/>
                <w:szCs w:val="19"/>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157,708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166,604</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171,262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146,034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158,949</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Loss (gain) on sale and disposal of property assets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21,908</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184,354</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Interest expense, net of patronage dividends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investments,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Loss on stock in Calavo Growers, Inc.</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(6,343)</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(20,380)</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6,757</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79" w:lineRule="exact"/>
        <w:rPr>
          <w:sz w:val="20"/>
          <w:szCs w:val="20"/>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revenues decreased $9.0 million in the twelve months ended July 31, 2021 compared to the twelve months ended July 31, 2020 primarily due to decreased agribusiness revenues, consisting of decreased lemon, avocado and orange sales.</w:t>
      </w:r>
    </w:p>
    <w:p>
      <w:pPr>
        <w:spacing w:after="0" w:line="8"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costs and expenses decreased $12.6 million in the twelve months ended July 31, 2021 compared to the twelve months ended July 31, 2020, primarily due to decreases in our agribusiness costs and selling, general and administrative expenses, partially offset by an increase in the loss on sale and disposal of property assets. The decrease in agribusiness costs is primarily attributable to decreased packing costs, harvest costs and the cost of third-party grower fruit and the decrease in selling, general and administrative expenses is primarily attributable to decreased corporate expenses associated with our strategic initiatives.</w:t>
      </w:r>
    </w:p>
    <w:p>
      <w:pPr>
        <w:spacing w:after="0" w:line="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other income increased $8.4 million in the twelve months ended July 31, 2021 compared to the twelve months ended July 31, 2020 primarily due to increased equity in earnings of investments and decreased loss on stock in Calavo.</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tax benefit decreased $5.3 million in the twelve months ended July 31, 2021 compared to the twelve months ended July 31, 2020 primarily due to the decrease in pre-tax loss of $12.1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July 31, 2021, net cash provided by operating activities was $16.8 million compared to net cash used in operating activities of $11.4 million for the nine months ended July 31, 2020. The significant components of our cash flows provided by (used in) operating activities were as follows:</w:t>
      </w:r>
    </w:p>
    <w:p>
      <w:pPr>
        <w:spacing w:after="0" w:line="238" w:lineRule="exact"/>
        <w:rPr>
          <w:sz w:val="20"/>
          <w:szCs w:val="20"/>
          <w:color w:val="auto"/>
        </w:rPr>
      </w:pPr>
    </w:p>
    <w:p>
      <w:pPr>
        <w:jc w:val="both"/>
        <w:ind w:left="340" w:hanging="332"/>
        <w:spacing w:after="0" w:line="305"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income for the nine months ended July 31, 2021 was $0.8 million compared to net loss of $10.4 million for the nine months ended July 31, 2020. The components of net income in the nine months ended July 31, 2021 compared to the net loss in the same period in fiscal year 2020 consist of a decrease in operating loss of $9.6 million, an increase in total other income of $8.6 million and a decrease in income tax benefit of $7.0 million.</w:t>
      </w:r>
    </w:p>
    <w:p>
      <w:pPr>
        <w:jc w:val="both"/>
        <w:ind w:left="340" w:hanging="332"/>
        <w:spacing w:after="0" w:line="26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adjustments to reconcile net income (loss) to net cash provided by (used in) operating activities provided $8.7 million of cash in the nine months ended July 31, 2021 compared to providing $15.4 million of cash in the same period in fiscal year 2020, primarily due to significant changes in deferred income taxes, loss on stock in Calavo and equity in earnings of investments.</w:t>
      </w:r>
    </w:p>
    <w:p>
      <w:pPr>
        <w:spacing w:after="0" w:line="21" w:lineRule="exact"/>
        <w:rPr>
          <w:rFonts w:ascii="Arial" w:cs="Arial" w:eastAsia="Arial" w:hAnsi="Arial"/>
          <w:sz w:val="18"/>
          <w:szCs w:val="18"/>
          <w:color w:val="auto"/>
        </w:rPr>
      </w:pPr>
    </w:p>
    <w:p>
      <w:pPr>
        <w:jc w:val="both"/>
        <w:ind w:left="340" w:right="20" w:hanging="332"/>
        <w:spacing w:after="0" w:line="26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changes in operating assets and liabilities provided $7.3 million of operating cash in the nine months ended July 31, 2021 compared to using $16.4 million of operating cash in the same period of fiscal year 2020, primarily due to significant changes in accounts receivable and receivables/other from related parties, income taxes receivable and accounts payable and growers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July 31, 2021 and 2020, net cash used in investing activities was $8.7 million compared to net cash provided by investing activities of $0.3 million, respectively.</w:t>
      </w:r>
    </w:p>
    <w:p>
      <w:pPr>
        <w:spacing w:after="0" w:line="224" w:lineRule="exact"/>
        <w:rPr>
          <w:sz w:val="20"/>
          <w:szCs w:val="20"/>
          <w:color w:val="auto"/>
        </w:rPr>
      </w:pPr>
    </w:p>
    <w:p>
      <w:pPr>
        <w:ind w:left="340" w:right="2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were $8.3 million in the nine months ended July 31, 2021, comprised of $8.0 million for property, plant and equipment primarily related to orchard and vineyard development and $0.3 million for real estate development projects.</w:t>
      </w:r>
    </w:p>
    <w:p>
      <w:pPr>
        <w:spacing w:after="0" w:line="8"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were $8.2 million in the nine months ended July 31, 2020, comprised of $7.9 million for property, plant and equipment primarily related to orchard and vineyard development and $0.3 million for real estate development projects. Additionally, in the nine months ended July 31, 2020, we received proceeds from sale of stock in Calavo of $11.0 million and contributed $2.8 million to the Joint Venture for the development of our East Area I real estate development project.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July 31, 2021 and 2020, net cash used in financing activities was $7.8 million compared to net cash provided by financing activities of $11.5 million, respectively.</w:t>
      </w:r>
    </w:p>
    <w:p>
      <w:pPr>
        <w:spacing w:after="0" w:line="224" w:lineRule="exact"/>
        <w:rPr>
          <w:sz w:val="20"/>
          <w:szCs w:val="20"/>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$7.8 million of cash used in financing activities during the nine months ended July 31, 2021 was primarily comprised of net repayments of long-term debt in the amount of $2.8 million and common and preferred dividends, in aggregate, of $4.4 million.</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$11.5 million of cash provided by financing activities during the nine months ended July 31, 2020 was primarily comprised of net borrowings of long-term debt in the amount of $16.7 million partially offset by common and preferred dividends, in aggregate, of $4.4 million and purchases of shares of our common stock of $0.6 million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3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June 2021, we entered into the MLA with the Lender dated June 1, 2021, together with the Supplements and a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2020, we entered into a Conversion Agreement with Farm Credit West to convert term loans to fixed interest rates effective July 1, 2020. No changes were made to the outstanding principal balances on the term loans and no cash repayments of principal were made by us. The rates were subject to a prepayment restriction period for a portion of the fixed rate term that expired on January 1, 2021, after which we may prepay any amounts without penalty.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Supplements and RELOC provide aggregate borrowing capacity of $130.0 million comprised of $75.0 million under the Revolving Credit Supplement, $40.0 million under the Non-Revolving Credit Supplement and $15.0 million under the RELOC. The borrowing capacity based on collateral value was $130.0 million at July 31, 2021. For amounts outstanding under both Supplements interest will begin to be charged on the date the Lender disburses principal and will continue until the outstanding indebtedness under the Supplements is paid in full with interest.</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interest rate in effect under the Revolving Credit Supplement was 1.69% per annum, and was automatically adjusted commencing July 1, 2021 and on the first day of each month thereafter. The interest rate for any amount outstanding under the Revolving Credit Supplement will be based on the one-month LIBOR rate plus or minus an applicable margin. The applicable margin will range from 1.75% to 2.35% depending on the ratio of current assets, plus the remaining available commitment divided by current liabilities. On July 1, 2022, and on each one-year anniversary thereafter, we have the option to convert the interest rate in use under the Revolving Credit Supplement from the preceding LIBOR-based calculation to a variable interest rate. Any amounts outstanding under the Revolving Credit Supplement is due and payable in full on July 1, 2026. The Company may prepay any amounts outstanding under the Revolving Credit Supplement without penalty.</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interest rate in effect under the Non-Revolving Credit Supplement is a fixed interest rate of 4.77% per year and such rate shall continue for a period of one year and one month. Pursuant to the Fixed Interest Rate Agreement, the Non-Revolving Credit Supplement will convert to a fixed interest rate of 3.57% per year until July 1, 2025 (the “Fixed Rate Term”). Thereafter, the interest rate will convert to a variable interest rate established by the Lender corresponding to the corresponding interest rate group. Any amounts outstanding under the Non-Revolving Credit Supplement is due and payable in full on July 1, 2026. We may not prepay any amounts under the outstanding Non-Revolving Credit Supplement during the Fixed Rate Term. Thereafter, we may prepay any amounts outstanding under the Non-Revolving Credit Supplement, provided that a fee equal to 0.50% of the amount prepaid and any other cost or loss suffered by the Lender must be paid with any prepayment.</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indebtedness under the MLA and RELOC, including any indebtedness under the Supplements, is secured by a first lien on Company-owned stock or participation certificates, Company funds maintained with Lender, Lender’s unallocated surplus, and certain of the Company’s agricultural properties in Tulare and Ventura counties in California and certain of the Company’s building fixtures and improvements and investments in mutual water companies associated with the pledged agricultural properties. The MLA includes customary default provisions that provide that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or equal to 1.15:1.00 measured at October 31, 2021, and greater than or equal to 1.25:1 when measured at October 31, 2022, and annually thereafter. In August 2021, the Lender modified the covenant to a minimum debt service coverage ratio greater than or equal to 1.0:1.0 measured at October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In August 2021, we entered into a FCW term loan with Lender in the amount of $2.5 million and used the proceeds to payoff the Wells Fargo term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FCW term loan has a fixed interest rate of 3.19% and is payable in monthly installments through September 2026.</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February 2021, we received an annual patronage dividend of $1.2 million from Farm Credit West, of which $0.8 million was recorded as a reduction in interest expense and $0.4 million reduced our real estate development assets.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which includes the MLA, Supplements and RELOC. In addition, we have the Farm Credit West term loans, Wells Fargo term loan, Banco de Chile term loan and COVID-19 loans, and a note payable to the sellers of a land parcel. Additional information regarding the Farm Credit West Credit Facility, Farm Credit West term loans, Wells Fargo term loan, Banco de Chile term loan and COVID-19 loans and the note payable can be found in the notes to consolidated financial statements included in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contractual obligations as disclosed in our fiscal year 2020 Annual Report on Form 10-K, except as follows:</w:t>
      </w: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2018, the Joint Venture entered into a $45.0 million unsecured Line of Credit Loan Agreement and Promissory Note (the “Loan”) with Bank of America, N.A. to fund early development activities. The Loan originally matured in January 2020 and was extended to February 22, 2021. In February 2021, this loan was extended to February 22, 2023 with an option to extend to February 22, 2024, subject to certain conditions. The interest rate on the Loan is LIBOR plus 2.85% and is payable monthly. The Loan contains certain customary default provisions and the Joint Venture may prepay any amounts outstanding under the Loan without penalty. The Joint Venture had an outstanding balance of zero as of July 31, 2021 related to this Loan. The obligations under the Loan are guaranteed by certain principals from Lewis and by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Details of amounts included in long-term debt can be found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7 – Real Estate Development and Note 8 – Equity in Investments of the notes to consolidated financial statements included in our fiscal year 2020 Annual Report on Form 10-K, we have investments in joint ventures and partnerships that are accounted for using the equity method of accounting.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core principle of the guidance is that an entity should recognize revenue to depict the transfer of promised goods or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an amount that reflects the consideration to which the entity expects to be entitled in exchange for those goods or services. To achieve that core principle, an entity should apply the following steps:</w:t>
      </w:r>
    </w:p>
    <w:p>
      <w:pPr>
        <w:spacing w:after="0" w:line="21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determined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majority of our revenue at a point in time when we satisfy a performance obligation and transfer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Agribusiness revenue </w:t>
      </w:r>
      <w:r>
        <w:rPr>
          <w:rFonts w:ascii="Arial" w:cs="Arial" w:eastAsia="Arial" w:hAnsi="Arial"/>
          <w:sz w:val="18"/>
          <w:szCs w:val="18"/>
          <w:color w:val="auto"/>
        </w:rPr>
        <w:t>- Revenue from lemon sales is generally recognized at a point in time when the customer takes control of the fruit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avocados, oranges, specialty citrus and other specialty crops are packed and sold by Calavo and other third-party packinghouses. Our arrangements with our third-party packinghouses are such that we are the producer and supplier of the product and the third-party packinghouses are our customers. We control the product until it is delivered to the third-party packinghouses at which time control of the product is transferred to the third-party packinghouses and revenue is recognized.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Operations Revenue </w:t>
      </w:r>
      <w:r>
        <w:rPr>
          <w:rFonts w:ascii="Arial" w:cs="Arial" w:eastAsia="Arial" w:hAnsi="Arial"/>
          <w:sz w:val="18"/>
          <w:szCs w:val="18"/>
          <w:color w:val="auto"/>
        </w:rPr>
        <w:t>- Minimum rental revenues are generally recognized on a straight-line basis over the respective initial lease term.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revenues 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Real Estate Development Costs </w:t>
      </w:r>
      <w:r>
        <w:rPr>
          <w:rFonts w:ascii="Arial" w:cs="Arial" w:eastAsia="Arial" w:hAnsi="Arial"/>
          <w:sz w:val="16"/>
          <w:szCs w:val="16"/>
          <w:color w:val="auto"/>
        </w:rPr>
        <w:t>- We capitalize the planning, entitlement, construction and development costs associated with our various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Financing and payment </w:t>
      </w:r>
      <w:r>
        <w:rPr>
          <w:rFonts w:ascii="Arial" w:cs="Arial" w:eastAsia="Arial" w:hAnsi="Arial"/>
          <w:sz w:val="16"/>
          <w:szCs w:val="16"/>
          <w:color w:val="auto"/>
        </w:rPr>
        <w:t>- Our payment terms vary by the type and location of our customer and the products or services offered. Payment terms differ by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 Taxes collected from customers and remitted to government authorities and that are related to the sales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excluded from revenues.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PDA and San Pablo’s functional currency is the Chilean Peso. Their balance sheets are translated to U.S. dollars at</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Combinations.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circumstances indicate the carrying value of these assets may not be recoverable.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Defined Benefit Retirement Plan </w:t>
      </w:r>
      <w:r>
        <w:rPr>
          <w:rFonts w:ascii="Arial" w:cs="Arial" w:eastAsia="Arial" w:hAnsi="Arial"/>
          <w:sz w:val="16"/>
          <w:szCs w:val="16"/>
          <w:color w:val="auto"/>
        </w:rPr>
        <w:t>- As discussed in the notes to our consolidated financial statements, we sponsor a defined benefit retirement plan that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frozen in June 2004, and no future benefits have accrued subsequent to that time. Ongoing accounting for this plan under FASB ASC 715,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Retirement Benefits</w:t>
      </w:r>
      <w:r>
        <w:rPr>
          <w:rFonts w:ascii="Arial" w:cs="Arial" w:eastAsia="Arial" w:hAnsi="Arial"/>
          <w:sz w:val="16"/>
          <w:szCs w:val="16"/>
          <w:color w:val="auto"/>
        </w:rPr>
        <w:t>, provides guidance as to, among other things, future estimated pension expense, pension liability and minimum funding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information is provided to us by third-party actuarial consultants. In developing this data, certain estimates and assumptions are used, including among other things, discount rate, long-term rate of return on assets and mortality tables. During 2020, the Society of Actuaries (SOA) released a new mortality improvement scale table, referred to as MP-2020, which is believed to better reflect mortality improvements and is to be used in calculating defined benefit pension obligations. In addition, during fiscal year 2020, the assumed discount rate to measure the pension obligation decreased to 2.5%. We used the latest mortality tables released by the SOA through October 2020 to measure our pension obligation as of October 31, 2020 and combined with the assumed discount rate and other demographic assumptions, our pension liability increased by approximately $0.5 million as of October 31, 2020. Further changes in any of these estimates could materially affect the amounts recorded that are related to our defined benefit retirement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2020 as filed with the SEC on January 14,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July 31, 2021, we conducted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previously disclosed in our Annual Report on Form 10-K for the fiscal year ended October 31, 2020, although there were no material errors that resulted from control deficiencies, we identified a material weakness in our internal control over financial reporting related to the inadequate design and operating effectiveness of certain controls in the areas of journal entries and agribusiness revenues and expenses related to an acquired foreign subsidiary in the first year the subsidiary was included in management’s evaluation of the effectiveness of the Company’s internal control over financial reporting.</w:t>
      </w:r>
    </w:p>
    <w:p>
      <w:pPr>
        <w:spacing w:after="0" w:line="18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have remediated this material weakness by implementing new policies and procedures to enhance (a) the design of our process level controls over the recording of journal entries and controls over revenues and expenses at the foreign subsidiary where we identified the control deficiencies and (b) management’s review controls over financial information of the foreign subsidiary. Our implementation of the new policies and procedures included the hiring of new resources, establishment of clear responsibilities to comply with the new policies and procedures, and testing sufficient occurrences of these newly designed and implemented controls to evaluate its operating effectiveness. The remediation measures have strengthened the design and operating effectiveness of our internal control over financial reporting.</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assessed the impact of the remediated material weakness to the consolidated financial statements to ensure that the Company’s consolidated financial statements were prepared in accordance with generally accepted accounting principles and accurately reflect its financial position and results of operation for the quarter ended July 31, 2021. As a result, management concluded that the consolidated financial statements included in this Form 10-Q present fairly, in all material respects, the Company’s financial position, results of operations and cash flows for the periods presented in conformity with accounting principles generally accepted in the United States of America.</w:t>
      </w:r>
    </w:p>
    <w:p>
      <w:pPr>
        <w:spacing w:after="0" w:line="16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material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this Quarterly Report on Form 10-Q or, to our knowledge, in other factors that have materially affected, or are reasonably likely to materially affect, our internal control over financial reporting, except for the remediation steps taken to address the material weakness in internal control over financial reporting described above.</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changes in the disclosures discussed in the section entitled “Risk Factors” in Part I, Item 1A of our Annual Report on Form 10-K for the fiscal year ended October 31, 2020, as filed with the SEC on January 14,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960" w:type="dxa"/>
            <w:vAlign w:val="bottom"/>
            <w:gridSpan w:val="26"/>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960" w:type="dxa"/>
            <w:vAlign w:val="bottom"/>
            <w:tcBorders>
              <w:bottom w:val="single" w:sz="8" w:color="auto"/>
            </w:tcBorders>
            <w:gridSpan w:val="2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9960" w:type="dxa"/>
            <w:vAlign w:val="bottom"/>
            <w:gridSpan w:val="26"/>
          </w:tcPr>
          <w:p>
            <w:pPr>
              <w:spacing w:after="0" w:line="182" w:lineRule="exact"/>
              <w:rPr>
                <w:rFonts w:ascii="Arial" w:cs="Arial" w:eastAsia="Arial" w:hAnsi="Arial"/>
                <w:sz w:val="18"/>
                <w:szCs w:val="18"/>
                <w:color w:val="0000FF"/>
                <w:w w:val="98"/>
              </w:rPr>
            </w:pPr>
            <w:hyperlink r:id="rId66">
              <w:r>
                <w:rPr>
                  <w:rFonts w:ascii="Arial" w:cs="Arial" w:eastAsia="Arial" w:hAnsi="Arial"/>
                  <w:sz w:val="18"/>
                  <w:szCs w:val="18"/>
                  <w:color w:val="0000FF"/>
                  <w:w w:val="98"/>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3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8"/>
              </w:rPr>
            </w:pPr>
            <w:hyperlink r:id="rId67">
              <w:r>
                <w:rPr>
                  <w:rFonts w:ascii="Arial" w:cs="Arial" w:eastAsia="Arial" w:hAnsi="Arial"/>
                  <w:sz w:val="18"/>
                  <w:szCs w:val="18"/>
                  <w:color w:val="0000FF"/>
                  <w:w w:val="98"/>
                </w:rPr>
                <w:t>Certificate of Merger of Limoneira Company and The Samuel Edwards Associates into Limoneira Company, dated October 31,</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9800" w:type="dxa"/>
            <w:vAlign w:val="bottom"/>
            <w:tcBorders>
              <w:top w:val="single" w:sz="8" w:color="0000FF"/>
            </w:tcBorders>
            <w:gridSpan w:val="18"/>
          </w:tcPr>
          <w:p>
            <w:pPr>
              <w:spacing w:after="0" w:line="156" w:lineRule="exact"/>
              <w:rPr>
                <w:rFonts w:ascii="Arial" w:cs="Arial" w:eastAsia="Arial" w:hAnsi="Arial"/>
                <w:sz w:val="18"/>
                <w:szCs w:val="18"/>
                <w:color w:val="0000FF"/>
                <w:w w:val="96"/>
              </w:rPr>
            </w:pPr>
            <w:hyperlink r:id="rId67">
              <w:r>
                <w:rPr>
                  <w:rFonts w:ascii="Arial" w:cs="Arial" w:eastAsia="Arial" w:hAnsi="Arial"/>
                  <w:sz w:val="18"/>
                  <w:szCs w:val="18"/>
                  <w:color w:val="0000FF"/>
                  <w:w w:val="96"/>
                </w:rPr>
                <w:t>1990 (Incorporated by reference to exhibit 3.2 to the Company’s Registration Statement on Form 10, and amendments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6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declared effective April 13, 2010 (File No. 000-53885))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8"/>
              </w:rPr>
            </w:pPr>
            <w:hyperlink r:id="rId68">
              <w:r>
                <w:rPr>
                  <w:rFonts w:ascii="Arial" w:cs="Arial" w:eastAsia="Arial" w:hAnsi="Arial"/>
                  <w:sz w:val="18"/>
                  <w:szCs w:val="18"/>
                  <w:color w:val="0000FF"/>
                  <w:w w:val="98"/>
                </w:rPr>
                <w:t>Certificate of Merger of McKevett Corporation into Limoneira Company dated December 31, 1994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99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exhibit 3.3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Agreement of Merger Between Ronald Michaelis Ranches, Inc. and Limoneira Company, dated June 24, 1997 (Incorporated by</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978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reference to exhibit 3.6 to the Company’s Registration Statement on Form 10, and amendments thereto, declared effective April 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6"/>
              </w:rPr>
            </w:pPr>
            <w:hyperlink r:id="rId70">
              <w:r>
                <w:rPr>
                  <w:rFonts w:ascii="Arial" w:cs="Arial" w:eastAsia="Arial" w:hAnsi="Arial"/>
                  <w:sz w:val="18"/>
                  <w:szCs w:val="18"/>
                  <w:color w:val="0000FF"/>
                  <w:w w:val="96"/>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3.5</w:t>
            </w:r>
          </w:p>
        </w:tc>
        <w:tc>
          <w:tcPr>
            <w:tcW w:w="98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exhibit 3.7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4"/>
              </w:rPr>
            </w:pPr>
            <w:hyperlink r:id="rId71">
              <w:r>
                <w:rPr>
                  <w:rFonts w:ascii="Arial" w:cs="Arial" w:eastAsia="Arial" w:hAnsi="Arial"/>
                  <w:sz w:val="18"/>
                  <w:szCs w:val="18"/>
                  <w:color w:val="0000FF"/>
                  <w:w w:val="94"/>
                </w:rPr>
                <w:t>Certificate of Amendment of Certificate of Incorporation of Limoneira Company, dated March 24, 2010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97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exhibit 3.9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3.7</w:t>
            </w:r>
          </w:p>
        </w:tc>
        <w:tc>
          <w:tcPr>
            <w:tcW w:w="9960" w:type="dxa"/>
            <w:vAlign w:val="bottom"/>
            <w:gridSpan w:val="26"/>
          </w:tcPr>
          <w:p>
            <w:pPr>
              <w:spacing w:after="0"/>
              <w:rPr>
                <w:rFonts w:ascii="Arial" w:cs="Arial" w:eastAsia="Arial" w:hAnsi="Arial"/>
                <w:sz w:val="18"/>
                <w:szCs w:val="18"/>
                <w:color w:val="0000FF"/>
                <w:w w:val="94"/>
              </w:rPr>
            </w:pPr>
            <w:hyperlink r:id="rId72">
              <w:r>
                <w:rPr>
                  <w:rFonts w:ascii="Arial" w:cs="Arial" w:eastAsia="Arial" w:hAnsi="Arial"/>
                  <w:sz w:val="18"/>
                  <w:szCs w:val="18"/>
                  <w:color w:val="0000FF"/>
                  <w:w w:val="94"/>
                </w:rPr>
                <w:t>Certificate of Amendment of Certificate of Incorporation of Limoneira Company, dated March 29, 2017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74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exhibit 3.1 to the Company’s Current Report on Form 8-K, filed March 31, 2017 (File No. 001-34755))</w:t>
              </w:r>
            </w:hyperlink>
          </w:p>
        </w:tc>
        <w:tc>
          <w:tcPr>
            <w:tcW w:w="226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w:t>
            </w:r>
          </w:p>
        </w:tc>
        <w:tc>
          <w:tcPr>
            <w:tcW w:w="9960" w:type="dxa"/>
            <w:vAlign w:val="bottom"/>
            <w:gridSpan w:val="26"/>
          </w:tcPr>
          <w:p>
            <w:pPr>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Amended and Restated Bylaws of Limoneira Company (Incorporated by reference to exhibit 3.10 to the Company’s Annual Report</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4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on Form 10-K, filed January 14, 2013 (File No. 001-34755))</w:t>
              </w:r>
            </w:hyperlink>
          </w:p>
        </w:tc>
        <w:tc>
          <w:tcPr>
            <w:tcW w:w="55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3.8.1</w:t>
            </w:r>
          </w:p>
        </w:tc>
        <w:tc>
          <w:tcPr>
            <w:tcW w:w="9960" w:type="dxa"/>
            <w:vAlign w:val="bottom"/>
            <w:gridSpan w:val="26"/>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9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Current Report on Form 8-K, filed September 25, 2013 (File No. 001-34755))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3.8.2</w:t>
            </w:r>
          </w:p>
        </w:tc>
        <w:tc>
          <w:tcPr>
            <w:tcW w:w="9960" w:type="dxa"/>
            <w:vAlign w:val="bottom"/>
            <w:gridSpan w:val="26"/>
          </w:tcPr>
          <w:p>
            <w:pPr>
              <w:spacing w:after="0"/>
              <w:rPr>
                <w:rFonts w:ascii="Arial" w:cs="Arial" w:eastAsia="Arial" w:hAnsi="Arial"/>
                <w:sz w:val="18"/>
                <w:szCs w:val="18"/>
                <w:color w:val="0000FF"/>
                <w:w w:val="96"/>
              </w:rPr>
            </w:pPr>
            <w:hyperlink r:id="rId75">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Current Report on Form 8-K, filed December 18, 2014 (File No. 001-34755))</w:t>
              </w:r>
            </w:hyperlink>
          </w:p>
        </w:tc>
        <w:tc>
          <w:tcPr>
            <w:tcW w:w="428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3.8.3</w:t>
            </w:r>
          </w:p>
        </w:tc>
        <w:tc>
          <w:tcPr>
            <w:tcW w:w="9960" w:type="dxa"/>
            <w:vAlign w:val="bottom"/>
            <w:gridSpan w:val="26"/>
          </w:tcPr>
          <w:p>
            <w:pPr>
              <w:spacing w:after="0"/>
              <w:rPr>
                <w:rFonts w:ascii="Arial" w:cs="Arial" w:eastAsia="Arial" w:hAnsi="Arial"/>
                <w:sz w:val="18"/>
                <w:szCs w:val="18"/>
                <w:color w:val="0000FF"/>
                <w:w w:val="96"/>
              </w:rPr>
            </w:pPr>
            <w:hyperlink r:id="rId76">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Current Report on Form 8-K, filed January 25, 2017 (File No. 001-34755))</w:t>
              </w:r>
            </w:hyperlink>
          </w:p>
        </w:tc>
        <w:tc>
          <w:tcPr>
            <w:tcW w:w="448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3.8.4</w:t>
            </w:r>
          </w:p>
        </w:tc>
        <w:tc>
          <w:tcPr>
            <w:tcW w:w="9960" w:type="dxa"/>
            <w:vAlign w:val="bottom"/>
            <w:gridSpan w:val="26"/>
          </w:tcPr>
          <w:p>
            <w:pPr>
              <w:spacing w:after="0"/>
              <w:rPr>
                <w:rFonts w:ascii="Arial" w:cs="Arial" w:eastAsia="Arial" w:hAnsi="Arial"/>
                <w:sz w:val="18"/>
                <w:szCs w:val="18"/>
                <w:color w:val="0000FF"/>
                <w:w w:val="96"/>
              </w:rPr>
            </w:pPr>
            <w:hyperlink r:id="rId77">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1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Current Report on Form 8-K, filed July 26, 2017 (File No. 001-34755))</w:t>
              </w:r>
            </w:hyperlink>
          </w:p>
        </w:tc>
        <w:tc>
          <w:tcPr>
            <w:tcW w:w="47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9960" w:type="dxa"/>
            <w:vAlign w:val="bottom"/>
            <w:gridSpan w:val="26"/>
          </w:tcPr>
          <w:p>
            <w:pPr>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 xml:space="preserve">Specimen Certificate representing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(Incorporated by reference to exhibit 4.1 to the</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48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rPr>
            </w:pPr>
            <w:hyperlink r:id="rId79">
              <w:r>
                <w:rPr>
                  <w:rFonts w:ascii="Arial" w:cs="Arial" w:eastAsia="Arial" w:hAnsi="Arial"/>
                  <w:sz w:val="18"/>
                  <w:szCs w:val="18"/>
                  <w:color w:val="0000FF"/>
                </w:rPr>
                <w:t>Rights  Agreement  dated  December  20,  2006  between  Limoneira  Company  and  The  Bank  of  New  York,  as  Rights</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98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6"/>
              </w:rPr>
            </w:pPr>
            <w:hyperlink r:id="rId79">
              <w:r>
                <w:rPr>
                  <w:rFonts w:ascii="Arial" w:cs="Arial" w:eastAsia="Arial" w:hAnsi="Arial"/>
                  <w:sz w:val="18"/>
                  <w:szCs w:val="18"/>
                  <w:color w:val="0000FF"/>
                  <w:w w:val="96"/>
                </w:rPr>
                <w:t>Agent (Incorporated by reference to exhibit 4.2 to the Company’s Registration Statement on Form 10, and amendments thereto,</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940" w:type="dxa"/>
            <w:vAlign w:val="bottom"/>
            <w:gridSpan w:val="25"/>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declared effective April 13, 2010 (File No. 000-53885))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9"/>
              </w:rPr>
            </w:pPr>
            <w:hyperlink r:id="rId80">
              <w:r>
                <w:rPr>
                  <w:rFonts w:ascii="Arial" w:cs="Arial" w:eastAsia="Arial" w:hAnsi="Arial"/>
                  <w:sz w:val="18"/>
                  <w:szCs w:val="18"/>
                  <w:color w:val="0000FF"/>
                  <w:w w:val="99"/>
                </w:rPr>
                <w:t xml:space="preserve">Certificate of Designation, Preferences and Rights of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 xml:space="preserve">8.75 Voting Preferred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100.00 Par Value, Series B of Limoneira</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6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Company, dated May 21, 1997 (Incorporated by reference to exhibit 3.4 to the Company’s Registration Statement on Form 10, and</w:t>
              </w:r>
            </w:hyperlink>
          </w:p>
        </w:tc>
        <w:tc>
          <w:tcPr>
            <w:tcW w:w="80" w:type="dxa"/>
            <w:vAlign w:val="bottom"/>
            <w:tcBorders>
              <w:bottom w:val="single" w:sz="8" w:color="0000FF"/>
            </w:tcBorders>
            <w:gridSpan w:val="4"/>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760" w:type="dxa"/>
            <w:vAlign w:val="bottom"/>
            <w:gridSpan w:val="16"/>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amendments thereto, declared effective April 13, 2010 (File No. 000-53885))</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35" w:right="7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88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880" w:type="dxa"/>
            <w:vAlign w:val="bottom"/>
            <w:tcBorders>
              <w:bottom w:val="single" w:sz="8" w:color="auto"/>
            </w:tcBorders>
            <w:gridSpan w:val="2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9880" w:type="dxa"/>
            <w:vAlign w:val="bottom"/>
            <w:gridSpan w:val="22"/>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 xml:space="preserve">Amended Certificate of Designation, Preferences and Rights of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 xml:space="preserve">8.75 Voting Preferred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100.00 Par Value, Series B of</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96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Limoneira Company, dated May 21, 1997 (Incorporated by reference to exhibit 3.5 to the Company’s Registration Statement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40" w:type="dxa"/>
            <w:vAlign w:val="bottom"/>
            <w:gridSpan w:val="15"/>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10, and amendments thereto, declared effective April 13, 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984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and amendments thereto, declared effective April 13, 2010 (File No. 000-53885))</w:t>
              </w:r>
            </w:hyperlink>
          </w:p>
        </w:tc>
        <w:tc>
          <w:tcPr>
            <w:tcW w:w="38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 xml:space="preserve">Certificate of Designation, Preferences and Rights of 4% Voting Preferred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100.00 Par Value, Series B-2 of Limoneira</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4.6</w:t>
            </w:r>
          </w:p>
        </w:tc>
        <w:tc>
          <w:tcPr>
            <w:tcW w:w="9840" w:type="dxa"/>
            <w:vAlign w:val="bottom"/>
            <w:tcBorders>
              <w:top w:val="single" w:sz="8" w:color="0000FF"/>
            </w:tcBorders>
            <w:gridSpan w:val="20"/>
          </w:tcPr>
          <w:p>
            <w:pPr>
              <w:spacing w:after="0" w:line="156" w:lineRule="exact"/>
              <w:rPr>
                <w:rFonts w:ascii="Arial" w:cs="Arial" w:eastAsia="Arial" w:hAnsi="Arial"/>
                <w:sz w:val="18"/>
                <w:szCs w:val="18"/>
                <w:color w:val="0000FF"/>
                <w:w w:val="97"/>
              </w:rPr>
            </w:pPr>
            <w:hyperlink r:id="rId84">
              <w:r>
                <w:rPr>
                  <w:rFonts w:ascii="Arial" w:cs="Arial" w:eastAsia="Arial" w:hAnsi="Arial"/>
                  <w:sz w:val="18"/>
                  <w:szCs w:val="18"/>
                  <w:color w:val="0000FF"/>
                  <w:w w:val="97"/>
                </w:rPr>
                <w:t>Company, dated March 20, 2014 (Incorporated by reference to exhibit 3.1 to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8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March 24, 2014 (File No. 001-34755))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9880" w:type="dxa"/>
            <w:vAlign w:val="bottom"/>
            <w:gridSpan w:val="22"/>
          </w:tcPr>
          <w:p>
            <w:pPr>
              <w:spacing w:after="0"/>
              <w:rPr>
                <w:rFonts w:ascii="Arial" w:cs="Arial" w:eastAsia="Arial" w:hAnsi="Arial"/>
                <w:sz w:val="18"/>
                <w:szCs w:val="18"/>
                <w:color w:val="0000FF"/>
                <w:w w:val="97"/>
              </w:rPr>
            </w:pPr>
            <w:hyperlink r:id="rId85">
              <w:r>
                <w:rPr>
                  <w:rFonts w:ascii="Arial" w:cs="Arial" w:eastAsia="Arial" w:hAnsi="Arial"/>
                  <w:sz w:val="18"/>
                  <w:szCs w:val="18"/>
                  <w:color w:val="0000FF"/>
                  <w:w w:val="97"/>
                </w:rPr>
                <w:t>Master Loan Agreement, dated June 1, 2021, between Limoneira Company and Farm West, PCA (Incorporated by reference to</w:t>
              </w:r>
            </w:hyperlink>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8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exhibit 10.1 to the Company’s Current Report on Form 8-K, filed June 17, 2021 (File No. 001-34755))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7"/>
              </w:rPr>
            </w:pPr>
            <w:hyperlink r:id="rId86">
              <w:r>
                <w:rPr>
                  <w:rFonts w:ascii="Arial" w:cs="Arial" w:eastAsia="Arial" w:hAnsi="Arial"/>
                  <w:sz w:val="18"/>
                  <w:szCs w:val="18"/>
                  <w:color w:val="0000FF"/>
                  <w:w w:val="97"/>
                </w:rPr>
                <w:t>Promissory Note and Revolving Credit Facility Supplement to Master Loan Agreement, dated June 1, 2021, between Limoneira</w:t>
              </w:r>
            </w:hyperlink>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976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Company and Farm West, PCA (Incorporated by reference to exhibit 10.2 to the Company’s Current Report on Form 8-K, filed June</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8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17, 2021 (File No. 001-34755))</w:t>
              </w:r>
            </w:hyperlink>
          </w:p>
        </w:tc>
        <w:tc>
          <w:tcPr>
            <w:tcW w:w="51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Promissory Note and Non-Revolving Credit Facility Supplement to Master Loan Agreement, dated June 1, 2021, between Limoneira</w:t>
              </w:r>
            </w:hyperlink>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9840" w:type="dxa"/>
            <w:vAlign w:val="bottom"/>
            <w:tcBorders>
              <w:top w:val="single" w:sz="8" w:color="0000FF"/>
            </w:tcBorders>
            <w:gridSpan w:val="20"/>
          </w:tcPr>
          <w:p>
            <w:pPr>
              <w:spacing w:after="0" w:line="169"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Company and Farm West, PCA (Incorporated by reference to exhibit 10.3 to the Company’s Current Report on Form 8-K, filed June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17, 2021 (File No. 001-34755))</w:t>
              </w:r>
            </w:hyperlink>
          </w:p>
        </w:tc>
        <w:tc>
          <w:tcPr>
            <w:tcW w:w="5160" w:type="dxa"/>
            <w:vAlign w:val="bottom"/>
            <w:tcBorders>
              <w:top w:val="single" w:sz="8" w:color="0000FF"/>
            </w:tcBorders>
            <w:gridSpan w:val="5"/>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8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9880" w:type="dxa"/>
            <w:vAlign w:val="bottom"/>
            <w:gridSpan w:val="22"/>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Agreement to Convert to Fixed Rate, dated June 8, 2021, between Limoneira Company and Farm West, PCA (Incorporated by</w:t>
              </w:r>
            </w:hyperlink>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3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reference to exhibit 10.4 to the Company’s Current Report on Form 8-K, filed June 17, 2021 (File No. 001-34755))</w:t>
              </w:r>
            </w:hyperlink>
          </w:p>
        </w:tc>
        <w:tc>
          <w:tcPr>
            <w:tcW w:w="1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75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of the Principal Executive Officer pursuant to Exchange Act Rule 13a-14(a) and 15d-14(a)</w:t>
              </w:r>
            </w:hyperlink>
          </w:p>
        </w:tc>
        <w:tc>
          <w:tcPr>
            <w:tcW w:w="23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9880" w:type="dxa"/>
            <w:vAlign w:val="bottom"/>
            <w:gridSpan w:val="2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of the Principal Financial Officer pursuant to Exchange Act Rule 13a-14(a) and 15d-14(a)</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360" w:type="dxa"/>
            <w:vAlign w:val="bottom"/>
            <w:gridSpan w:val="6"/>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9880" w:type="dxa"/>
            <w:vAlign w:val="bottom"/>
            <w:gridSpan w:val="22"/>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Certification of the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2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Sarbanes-Oxley Act of 2002</w:t>
              </w:r>
            </w:hyperlink>
          </w:p>
        </w:tc>
        <w:tc>
          <w:tcPr>
            <w:tcW w:w="774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9880" w:type="dxa"/>
            <w:vAlign w:val="bottom"/>
            <w:gridSpan w:val="22"/>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Certification of the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Sarbanes-Oxley Act of 2002</w:t>
              </w:r>
            </w:hyperlink>
          </w:p>
        </w:tc>
        <w:tc>
          <w:tcPr>
            <w:tcW w:w="7600" w:type="dxa"/>
            <w:vAlign w:val="bottom"/>
            <w:tcBorders>
              <w:top w:val="single" w:sz="8" w:color="0000FF"/>
            </w:tcBorders>
            <w:gridSpan w:val="10"/>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988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988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988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988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988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988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40" w:hanging="1114"/>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cover page for the Company's Quarterly Report on Form 10-Q for the quarter ended July 31, 2021 has been formatted in Inline</w:t>
      </w:r>
    </w:p>
    <w:p>
      <w:pPr>
        <w:spacing w:after="0" w:line="7"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45" w:right="739" w:bottom="1440" w:gutter="0" w:footer="0" w:header="0"/>
        </w:sectPr>
      </w:pPr>
    </w:p>
    <w:bookmarkStart w:id="49" w:name="page50"/>
    <w:bookmarkEnd w:id="49"/>
    <w:p>
      <w:pPr>
        <w:ind w:left="480" w:hanging="48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52" w:lineRule="exact"/>
        <w:rPr>
          <w:rFonts w:ascii="Arial" w:cs="Arial" w:eastAsia="Arial" w:hAnsi="Arial"/>
          <w:sz w:val="18"/>
          <w:szCs w:val="18"/>
          <w:color w:val="auto"/>
        </w:rPr>
      </w:pPr>
    </w:p>
    <w:p>
      <w:pPr>
        <w:jc w:val="both"/>
        <w:ind w:left="480"/>
        <w:spacing w:after="0" w:line="214"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980" w:top="976" w:right="7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LIMONEIRA COMPANY</w:t>
      </w:r>
    </w:p>
    <w:p>
      <w:pPr>
        <w:spacing w:after="0" w:line="252"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Mark Palamountain</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ind w:left="5840"/>
        <w:spacing w:after="0"/>
        <w:rPr>
          <w:sz w:val="20"/>
          <w:szCs w:val="20"/>
          <w:color w:val="auto"/>
        </w:rPr>
      </w:pPr>
      <w:r>
        <w:rPr>
          <w:rFonts w:ascii="Arial" w:cs="Arial" w:eastAsia="Arial" w:hAnsi="Arial"/>
          <w:sz w:val="18"/>
          <w:szCs w:val="18"/>
          <w:color w:val="auto"/>
        </w:rPr>
        <w:t>Treasurer and Corporate Secretary</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6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63"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right="20" w:hanging="412"/>
        <w:spacing w:after="0" w:line="308" w:lineRule="auto"/>
        <w:tabs>
          <w:tab w:leader="none" w:pos="37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September 8, 2021</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55" w:lineRule="auto"/>
        <w:tabs>
          <w:tab w:leader="none" w:pos="8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60" w:right="20" w:hanging="412"/>
        <w:spacing w:after="0" w:line="290" w:lineRule="auto"/>
        <w:tabs>
          <w:tab w:leader="none" w:pos="37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September 8, 2021</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2021 (the “Report”) of Limoneira Company (the “Registrant”), as filed with the Securities and Exchange Commission on the date hereof, I, Harold S. Edwards, hereby certify that:</w:t>
      </w:r>
    </w:p>
    <w:p>
      <w:pPr>
        <w:spacing w:after="0" w:line="49" w:lineRule="exact"/>
        <w:rPr>
          <w:sz w:val="20"/>
          <w:szCs w:val="20"/>
          <w:color w:val="auto"/>
        </w:rPr>
      </w:pPr>
    </w:p>
    <w:p>
      <w:pPr>
        <w:ind w:left="880" w:hanging="386"/>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September 8, 2021</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2021 (the “Report”) of Limoneira Company (the “Registrant”), as filed with the Securities and Exchange Commission on the date hereof, I, Mark Palamountain, hereby certify that:</w:t>
      </w:r>
    </w:p>
    <w:p>
      <w:pPr>
        <w:spacing w:after="0" w:line="49" w:lineRule="exact"/>
        <w:rPr>
          <w:sz w:val="20"/>
          <w:szCs w:val="20"/>
          <w:color w:val="auto"/>
        </w:rPr>
      </w:pPr>
    </w:p>
    <w:p>
      <w:pPr>
        <w:ind w:left="880" w:hanging="386"/>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140" w:val="left"/>
        </w:tabs>
        <w:rPr>
          <w:sz w:val="20"/>
          <w:szCs w:val="20"/>
          <w:color w:val="auto"/>
        </w:rPr>
      </w:pPr>
      <w:r>
        <w:rPr>
          <w:rFonts w:ascii="Arial" w:cs="Arial" w:eastAsia="Arial" w:hAnsi="Arial"/>
          <w:sz w:val="18"/>
          <w:szCs w:val="18"/>
          <w:color w:val="auto"/>
        </w:rPr>
        <w:t>September 8, 2021</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17"/>
    </w:lvl>
  </w:abstractNum>
  <w:abstractNum w:abstractNumId="8">
    <w:nsid w:val="333AB105"/>
    <w:multiLevelType w:val="hybridMultilevel"/>
    <w:lvl w:ilvl="0">
      <w:lvlJc w:val="left"/>
      <w:lvlText w:val="%1."/>
      <w:numFmt w:val="decimal"/>
      <w:start w:val="17"/>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04"/>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1"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66" Type="http://schemas.openxmlformats.org/officeDocument/2006/relationships/hyperlink" Target="http://www.sec.gov/Archives/edgar/data/1342423/000114420410007241/v173157_ex3-1.htm" TargetMode="External"/><Relationship Id="rId67" Type="http://schemas.openxmlformats.org/officeDocument/2006/relationships/hyperlink" Target="http://www.sec.gov/Archives/edgar/data/1342423/000114420410007241/v173157_ex3-2.htm" TargetMode="External"/><Relationship Id="rId68" Type="http://schemas.openxmlformats.org/officeDocument/2006/relationships/hyperlink" Target="http://www.sec.gov/Archives/edgar/data/1342423/000114420410007241/v173157_ex3-3.htm" TargetMode="External"/><Relationship Id="rId69" Type="http://schemas.openxmlformats.org/officeDocument/2006/relationships/hyperlink" Target="http://www.sec.gov/Archives/edgar/data/1342423/000114420410007241/v173157_ex3-6.htm" TargetMode="External"/><Relationship Id="rId70" Type="http://schemas.openxmlformats.org/officeDocument/2006/relationships/hyperlink" Target="http://www.sec.gov/Archives/edgar/data/1342423/000114420410007241/v173157_ex3-7.htm" TargetMode="External"/><Relationship Id="rId71" Type="http://schemas.openxmlformats.org/officeDocument/2006/relationships/hyperlink" Target="http://www.sec.gov/Archives/edgar/data/1342423/000114420410017415/v178900_ex3-9.htm" TargetMode="External"/><Relationship Id="rId72" Type="http://schemas.openxmlformats.org/officeDocument/2006/relationships/hyperlink" Target="http://www.sec.gov/Archives/edgar/data/1342423/000114420417018212/v463210_ex3-1.htm" TargetMode="External"/><Relationship Id="rId73" Type="http://schemas.openxmlformats.org/officeDocument/2006/relationships/hyperlink" Target="http://www.sec.gov/Archives/edgar/data/1342423/000114420413002202/v330368_ex3-10.htm" TargetMode="External"/><Relationship Id="rId74" Type="http://schemas.openxmlformats.org/officeDocument/2006/relationships/hyperlink" Target="http://www.sec.gov/Archives/edgar/data/1342423/000114420413052234/v354983_ex3-1.htm" TargetMode="External"/><Relationship Id="rId75" Type="http://schemas.openxmlformats.org/officeDocument/2006/relationships/hyperlink" Target="http://www.sec.gov/Archives/edgar/data/1342423/000114420414074732/v396904_ex3-1.htm" TargetMode="External"/><Relationship Id="rId76" Type="http://schemas.openxmlformats.org/officeDocument/2006/relationships/hyperlink" Target="http://www.sec.gov/Archives/edgar/data/1342423/000114420417003812/v457525_ex3-1.htm" TargetMode="External"/><Relationship Id="rId77" Type="http://schemas.openxmlformats.org/officeDocument/2006/relationships/hyperlink" Target="http://www.sec.gov/Archives/edgar/data/1342423/000114420417038316/v471546_ex3-1.htm" TargetMode="External"/><Relationship Id="rId78" Type="http://schemas.openxmlformats.org/officeDocument/2006/relationships/hyperlink" Target="http://www.sec.gov/Archives/edgar/data/1342423/000114420410007241/v173157_ex4-1.htm" TargetMode="External"/><Relationship Id="rId79" Type="http://schemas.openxmlformats.org/officeDocument/2006/relationships/hyperlink" Target="http://www.sec.gov/Archives/edgar/data/1342423/000114420410007241/v173157_ex4-2.htm" TargetMode="External"/><Relationship Id="rId80" Type="http://schemas.openxmlformats.org/officeDocument/2006/relationships/hyperlink" Target="http://www.sec.gov/Archives/edgar/data/1342423/000114420410007241/v173157_ex3-4.htm" TargetMode="External"/><Relationship Id="rId82" Type="http://schemas.openxmlformats.org/officeDocument/2006/relationships/hyperlink" Target="http://www.sec.gov/Archives/edgar/data/1342423/000114420410007241/v173157_ex3-5.htm" TargetMode="External"/><Relationship Id="rId83" Type="http://schemas.openxmlformats.org/officeDocument/2006/relationships/hyperlink" Target="http://www.sec.gov/Archives/edgar/data/1342423/000114420410007241/v173157_ex3-8.htm" TargetMode="External"/><Relationship Id="rId84" Type="http://schemas.openxmlformats.org/officeDocument/2006/relationships/hyperlink" Target="http://www.sec.gov/Archives/edgar/data/1342423/000114420414017379/v372494_ex3-1.htm" TargetMode="External"/><Relationship Id="rId85" Type="http://schemas.openxmlformats.org/officeDocument/2006/relationships/hyperlink" Target="http://www.sec.gov/Archives/edgar/data/1342423/000110465921082346/tm2119967d1_ex10-1.htm" TargetMode="External"/><Relationship Id="rId86" Type="http://schemas.openxmlformats.org/officeDocument/2006/relationships/hyperlink" Target="http://www.sec.gov/Archives/edgar/data/1342423/000110465921082346/tm2119967d1_ex10-2.htm" TargetMode="External"/><Relationship Id="rId87" Type="http://schemas.openxmlformats.org/officeDocument/2006/relationships/hyperlink" Target="http://www.sec.gov/Archives/edgar/data/1342423/000110465921082346/tm2119967d1_ex10-3.htm" TargetMode="External"/><Relationship Id="rId88" Type="http://schemas.openxmlformats.org/officeDocument/2006/relationships/hyperlink" Target="http://www.sec.gov/Archives/edgar/data/1342423/000110465921082346/tm2119967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2021-09-08T15:06:32Z</dcterms:created>
  <dcterms:modified xsi:type="dcterms:W3CDTF">2021-09-08T15:06:32Z</dcterms:modified>
</cp:coreProperties>
</file>