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 SECURITIES AND EXCHANGE COMMISSION</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26670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-195580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75"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1" w:lineRule="exact"/>
        <w:rPr>
          <w:sz w:val="24"/>
          <w:szCs w:val="24"/>
          <w:color w:val="auto"/>
        </w:rPr>
      </w:pPr>
    </w:p>
    <w:p>
      <w:pPr>
        <w:ind w:left="300"/>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-6350</wp:posOffset>
            </wp:positionV>
            <wp:extent cx="905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001-34755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-289560</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00"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5600" w:type="dxa"/>
            <w:vAlign w:val="bottom"/>
          </w:tcPr>
          <w:p>
            <w:pPr>
              <w:jc w:val="center"/>
              <w:ind w:right="87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77-0260692</w:t>
            </w:r>
          </w:p>
        </w:tc>
      </w:tr>
      <w:tr>
        <w:trPr>
          <w:trHeight w:val="238"/>
        </w:trPr>
        <w:tc>
          <w:tcPr>
            <w:tcW w:w="5600" w:type="dxa"/>
            <w:vAlign w:val="bottom"/>
          </w:tcPr>
          <w:p>
            <w:pPr>
              <w:jc w:val="center"/>
              <w:ind w:right="872"/>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342"/>
        </w:trPr>
        <w:tc>
          <w:tcPr>
            <w:tcW w:w="5600" w:type="dxa"/>
            <w:vAlign w:val="bottom"/>
          </w:tcPr>
          <w:p>
            <w:pPr>
              <w:jc w:val="center"/>
              <w:ind w:right="872"/>
              <w:spacing w:after="0"/>
              <w:rPr>
                <w:sz w:val="20"/>
                <w:szCs w:val="20"/>
                <w:color w:val="auto"/>
              </w:rPr>
            </w:pPr>
            <w:r>
              <w:rPr>
                <w:rFonts w:ascii="Times New Roman" w:cs="Times New Roman" w:eastAsia="Times New Roman" w:hAnsi="Times New Roman"/>
                <w:sz w:val="16"/>
                <w:szCs w:val="16"/>
                <w:b w:val="1"/>
                <w:bCs w:val="1"/>
                <w:color w:val="auto"/>
              </w:rPr>
              <w:t>1141 Cummings Road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Santa Paula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CA</w:t>
            </w:r>
          </w:p>
        </w:tc>
        <w:tc>
          <w:tcPr>
            <w:tcW w:w="372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38"/>
        </w:trPr>
        <w:tc>
          <w:tcPr>
            <w:tcW w:w="5600" w:type="dxa"/>
            <w:vAlign w:val="bottom"/>
          </w:tcPr>
          <w:p>
            <w:pPr>
              <w:jc w:val="center"/>
              <w:ind w:right="852"/>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00" w:lineRule="exact"/>
        <w:rPr>
          <w:sz w:val="24"/>
          <w:szCs w:val="24"/>
          <w:color w:val="auto"/>
        </w:rPr>
      </w:pP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525-5541</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81" w:right="339" w:bottom="1440" w:gutter="0" w:footer="0" w:header="0"/>
        </w:sectPr>
      </w:pPr>
    </w:p>
    <w:p>
      <w:pPr>
        <w:spacing w:after="0" w:line="1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12"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2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LMNR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Name of Each Exchange of Which Registered The </w:t>
      </w:r>
      <w:r>
        <w:rPr>
          <w:rFonts w:ascii="Times New Roman" w:cs="Times New Roman" w:eastAsia="Times New Roman" w:hAnsi="Times New Roman"/>
          <w:sz w:val="16"/>
          <w:szCs w:val="16"/>
          <w:color w:val="auto"/>
        </w:rPr>
        <w:t>NASDAQ</w:t>
      </w:r>
      <w:r>
        <w:rPr>
          <w:rFonts w:ascii="Times New Roman" w:cs="Times New Roman" w:eastAsia="Times New Roman" w:hAnsi="Times New Roman"/>
          <w:sz w:val="18"/>
          <w:szCs w:val="18"/>
          <w:color w:val="auto"/>
        </w:rPr>
        <w:t xml:space="preserve"> Stock Market LLC (NASDAQ Global Select Market)</w:t>
      </w:r>
    </w:p>
    <w:p>
      <w:pPr>
        <w:spacing w:after="0" w:line="200" w:lineRule="exact"/>
        <w:rPr>
          <w:sz w:val="24"/>
          <w:szCs w:val="24"/>
          <w:color w:val="auto"/>
        </w:rPr>
      </w:pPr>
    </w:p>
    <w:p>
      <w:pPr>
        <w:sectPr>
          <w:pgSz w:w="11900" w:h="16838" w:orient="portrait"/>
          <w:cols w:equalWidth="0" w:num="3">
            <w:col w:w="4320" w:space="720"/>
            <w:col w:w="1500" w:space="720"/>
            <w:col w:w="3980"/>
          </w:cols>
          <w:pgMar w:left="320" w:top="1181" w:right="339" w:bottom="1440" w:gutter="0" w:footer="0" w:header="0"/>
          <w:type w:val="continuous"/>
        </w:sectPr>
      </w:pPr>
    </w:p>
    <w:p>
      <w:pPr>
        <w:spacing w:after="0" w:line="2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1" w:right="339" w:bottom="1440" w:gutter="0" w:footer="0" w:header="0"/>
          <w:type w:val="continuous"/>
        </w:sectPr>
      </w:pPr>
    </w:p>
    <w:p>
      <w:pPr>
        <w:spacing w:after="0" w:line="13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57"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1181" w:right="339" w:bottom="1440" w:gutter="0" w:footer="0" w:header="0"/>
          <w:type w:val="continuous"/>
        </w:sectPr>
      </w:pPr>
    </w:p>
    <w:p>
      <w:pPr>
        <w:ind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May 31, 2022, there were 17,721,551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Financial Statements (Unaudited)</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 April 30, 2022 and October 31,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 three and six months ended April 30,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(Loss) – three and six months ended April 30,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and Temporary Equity – three and six months ended April 30,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108"/>
        </w:trPr>
        <w:tc>
          <w:tcPr>
            <w:tcW w:w="11040" w:type="dxa"/>
            <w:vAlign w:val="bottom"/>
            <w:tcBorders>
              <w:top w:val="single" w:sz="8" w:color="CCEEFF"/>
            </w:tcBorders>
            <w:gridSpan w:val="2"/>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 six months ended April 30,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 OTHER INFORMATION</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8"/>
              </w:rPr>
              <w:t>SIGNATURES</w:t>
            </w:r>
          </w:p>
        </w:tc>
        <w:tc>
          <w:tcPr>
            <w:tcW w:w="9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9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ON FORWARD-LOOKING STATEMENTS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related to the COVID-19 pandemic and the effectiveness of our Company's responses to the pandemic;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rules, quotas, tariffs, and import laws;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responses to industry volume pressures;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from disease, insects and other pests;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water supplies or changes in water allocations;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global supply chain;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raw materials supplies and pricing;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supply and pricing;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for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for residential and commercial real estate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and economic crises;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strikes, shortages or work stoppages;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rate movements;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covenants under our loan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important intellectual property rights;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our public filings with the Securities and Exchange Commission (the "SEC").</w:t>
      </w:r>
    </w:p>
    <w:p>
      <w:pPr>
        <w:spacing w:after="0" w:line="2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These forward-looking statements involve risks and uncertainties that we have identified as having the potential to cause actual results to differ materially from those contemplated herein. We have described in Part I, Item 1A-“Risk Factors” in our Annual Report on Form 10-K for the fiscal year ended October 31, 2021 additional factors that could cause our actual results to differ from our projections or estimates, especially relating to the COVID-19 pandemic.</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these risks and uncertainties are currently amplified by, and will continue to be amplified by, or in the future may be amplified by, the COVID-19 pandemic. It is not possible to predict or identify all such risks.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2021.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 references to “we,” "us," “our,” “our Company,” "the Company" or "Limoneira" in this Quarterly Report on Form 10-Q mean Limoneira Company, a Delaware corporation, and its consolidated subsidiaries.</w:t>
      </w:r>
    </w:p>
    <w:p>
      <w:pPr>
        <w:sectPr>
          <w:pgSz w:w="11900" w:h="16838" w:orient="portrait"/>
          <w:cols w:equalWidth="0" w:num="1">
            <w:col w:w="11240"/>
          </w:cols>
          <w:pgMar w:left="320" w:top="9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(UNAUDITED)</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2022</w:t>
            </w:r>
          </w:p>
        </w:tc>
        <w:tc>
          <w:tcPr>
            <w:tcW w:w="1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129"/>
        </w:trPr>
        <w:tc>
          <w:tcPr>
            <w:tcW w:w="88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85"/>
        </w:trPr>
        <w:tc>
          <w:tcPr>
            <w:tcW w:w="88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Cultural costs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10,709</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Receivables/other from related parties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w:t>
            </w:r>
          </w:p>
        </w:tc>
        <w:tc>
          <w:tcPr>
            <w:tcW w:w="0" w:type="dxa"/>
            <w:vAlign w:val="bottom"/>
          </w:tcPr>
          <w:p>
            <w:pPr>
              <w:spacing w:after="0"/>
              <w:rPr>
                <w:sz w:val="1"/>
                <w:szCs w:val="1"/>
                <w:color w:val="auto"/>
              </w:rPr>
            </w:pPr>
          </w:p>
        </w:tc>
      </w:tr>
      <w:tr>
        <w:trPr>
          <w:trHeight w:val="207"/>
        </w:trPr>
        <w:tc>
          <w:tcPr>
            <w:tcW w:w="8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42,089</w:t>
            </w:r>
          </w:p>
        </w:tc>
        <w:tc>
          <w:tcPr>
            <w:tcW w:w="0" w:type="dxa"/>
            <w:vAlign w:val="bottom"/>
          </w:tcPr>
          <w:p>
            <w:pPr>
              <w:spacing w:after="0"/>
              <w:rPr>
                <w:sz w:val="1"/>
                <w:szCs w:val="1"/>
                <w:color w:val="auto"/>
              </w:rPr>
            </w:pPr>
          </w:p>
        </w:tc>
      </w:tr>
      <w:tr>
        <w:trPr>
          <w:trHeight w:val="97"/>
        </w:trPr>
        <w:tc>
          <w:tcPr>
            <w:tcW w:w="8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242,420</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22,828</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64,072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11,011</w:t>
            </w:r>
          </w:p>
        </w:tc>
        <w:tc>
          <w:tcPr>
            <w:tcW w:w="0" w:type="dxa"/>
            <w:vAlign w:val="bottom"/>
          </w:tcPr>
          <w:p>
            <w:pPr>
              <w:spacing w:after="0"/>
              <w:rPr>
                <w:sz w:val="1"/>
                <w:szCs w:val="1"/>
                <w:color w:val="auto"/>
              </w:rPr>
            </w:pPr>
          </w:p>
        </w:tc>
      </w:tr>
      <w:tr>
        <w:trPr>
          <w:trHeight w:val="212"/>
        </w:trPr>
        <w:tc>
          <w:tcPr>
            <w:tcW w:w="8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392,276</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88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Growers and suppliers payable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10,371</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130,353</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0" w:type="dxa"/>
            <w:vAlign w:val="bottom"/>
          </w:tcPr>
          <w:p>
            <w:pPr>
              <w:spacing w:after="0"/>
              <w:rPr>
                <w:sz w:val="1"/>
                <w:szCs w:val="1"/>
                <w:color w:val="auto"/>
              </w:rPr>
            </w:pPr>
          </w:p>
        </w:tc>
      </w:tr>
      <w:tr>
        <w:trPr>
          <w:trHeight w:val="207"/>
        </w:trPr>
        <w:tc>
          <w:tcPr>
            <w:tcW w:w="8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193,031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16)</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8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 April 30,</w:t>
            </w:r>
          </w:p>
        </w:tc>
        <w:tc>
          <w:tcPr>
            <w:tcW w:w="3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and October 31, 2021) (8.75% coupon rate)</w:t>
            </w:r>
          </w:p>
        </w:tc>
        <w:tc>
          <w:tcPr>
            <w:tcW w:w="3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 April</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30, 2022 and October 31, 2021) (4% dividend rate on liquidation value of $1,000 per share)</w:t>
            </w:r>
          </w:p>
        </w:tc>
        <w:tc>
          <w:tcPr>
            <w:tcW w:w="3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8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April 30,</w:t>
            </w:r>
          </w:p>
        </w:tc>
        <w:tc>
          <w:tcPr>
            <w:tcW w:w="3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2022 and October 31, 2021)</w:t>
            </w:r>
          </w:p>
        </w:tc>
        <w:tc>
          <w:tcPr>
            <w:tcW w:w="3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 $0.01 par value (39,000,000 shares authorized: 17,972,528 and 17,936,377 shares issued and 17,721,551 and</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17,685,400 shares outstanding at April 30, 2022 and October 31, 2021, respectively)</w:t>
            </w: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163,965</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250,977 shares at April 30, 2022 and October 31, 2021</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11,965</w:t>
            </w:r>
          </w:p>
        </w:tc>
        <w:tc>
          <w:tcPr>
            <w:tcW w:w="0" w:type="dxa"/>
            <w:vAlign w:val="bottom"/>
          </w:tcPr>
          <w:p>
            <w:pPr>
              <w:spacing w:after="0"/>
              <w:rPr>
                <w:sz w:val="1"/>
                <w:szCs w:val="1"/>
                <w:color w:val="auto"/>
              </w:rPr>
            </w:pPr>
          </w:p>
        </w:tc>
      </w:tr>
      <w:tr>
        <w:trPr>
          <w:trHeight w:val="207"/>
        </w:trPr>
        <w:tc>
          <w:tcPr>
            <w:tcW w:w="8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188,435</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392,276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r>
      <w:tr>
        <w:trPr>
          <w:trHeight w:val="210"/>
        </w:trPr>
        <w:tc>
          <w:tcPr>
            <w:tcW w:w="5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81,126</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83,407</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73,380</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disposal of assets,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11,111</w:t>
            </w:r>
          </w:p>
        </w:tc>
      </w:tr>
      <w:tr>
        <w:trPr>
          <w:trHeight w:val="20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44,164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92,996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86,663</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 of patronage dividends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3"/>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145"/>
        </w:trPr>
        <w:tc>
          <w:tcPr>
            <w:tcW w:w="5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 (expense) benefit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Limoneira Company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dividends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4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4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17,511,000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17,461,000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17,461,000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17,429,000</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17,511,000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17,461,000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17,461,000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17,429,000</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(LOSS)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Minimum pension liability adjustment, net of tax of $27, $50, $54 and $100 for the three</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and six months ended April 30, 2022 and 2021, respectively.</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Limoneira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17,685,400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163,965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17,700,038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164,061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02"/>
        </w:trPr>
        <w:tc>
          <w:tcPr>
            <w:tcW w:w="17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Dividends Common ($0.075 per</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April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17,721,551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17,606,730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(7,548)</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17,684,927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(6,619)</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01"/>
        </w:trPr>
        <w:tc>
          <w:tcPr>
            <w:tcW w:w="17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Dividends Common ($0.075 per</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April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17,685,400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163,020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193,087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distributions from equity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 and receivables/other from related parties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Cultural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growers and suppliers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liabilities and payables to related parties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21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(5,409)</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 on note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Investments in mutual water companies and water rights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48,185</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(42,675)</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paid on finance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 common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 preferred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 of common stock</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amounts capitalized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 income taxes,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accrued but not paid at period-end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0"/>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contribution obligation of investment in water company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40" w:firstLine="8"/>
        <w:spacing w:after="0" w:line="53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Business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markets and sells citrus directly to food service, wholesale and retail customers throughout the United States, Canada, Asia, Europe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fiscal year 2021, the Company sold the majority of its avocado production to Calavo Growers, Inc. (“Calavo”), a packing and marketing company listed on the NASDAQ Global Select Market under the symbol CVGW. In February 2022, the Company terminated its Avocado Marketing Agreement and the associated Letter Agreement Regarding Fruit Commitment with Calavo to pursue opportunities with other packing and marketing companies.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Preparation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217" w:lineRule="exact"/>
        <w:rPr>
          <w:sz w:val="20"/>
          <w:szCs w:val="20"/>
          <w:color w:val="auto"/>
        </w:rPr>
      </w:pPr>
    </w:p>
    <w:p>
      <w:pPr>
        <w:ind w:right="7680" w:firstLine="8"/>
        <w:spacing w:after="0" w:line="534"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Comprehensive Income (Loss)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represents all changes in a company’s net assets, except changes resulting from transactions with stockholders. Other comprehensive income or loss primarily includes foreign currency translation items and defined benefit pension items. Accumulated other comprehensive loss is reported as a component of the Company's stockholders' equity.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comprehensive (loss) income by component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Pre-tax</w:t>
            </w: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center"/>
              <w:ind w:left="364"/>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center"/>
              <w:ind w:left="34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gain before reclassifications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44"/>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06"/>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ind w:right="6740" w:firstLine="8"/>
        <w:spacing w:after="0" w:line="418"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Comprehensive Income (Loss)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Pre-tax</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80" w:type="dxa"/>
            <w:vAlign w:val="bottom"/>
          </w:tcPr>
          <w:p>
            <w:pPr>
              <w:spacing w:after="0"/>
              <w:rPr>
                <w:sz w:val="11"/>
                <w:szCs w:val="11"/>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Pre-tax</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center"/>
              <w:ind w:left="326"/>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gain before reclassifications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06"/>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by component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4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80" w:type="dxa"/>
            <w:vAlign w:val="bottom"/>
          </w:tcPr>
          <w:p>
            <w:pPr>
              <w:spacing w:after="0"/>
              <w:rPr>
                <w:sz w:val="13"/>
                <w:szCs w:val="13"/>
                <w:color w:val="auto"/>
              </w:rPr>
            </w:pPr>
          </w:p>
        </w:tc>
        <w:tc>
          <w:tcPr>
            <w:tcW w:w="16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6"/>
        </w:trPr>
        <w:tc>
          <w:tcPr>
            <w:tcW w:w="5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(Loss) Gain</w:t>
            </w:r>
          </w:p>
        </w:tc>
        <w:tc>
          <w:tcPr>
            <w:tcW w:w="14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0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r>
      <w:tr>
        <w:trPr>
          <w:trHeight w:val="19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w:t>
            </w:r>
          </w:p>
        </w:tc>
      </w:tr>
      <w:tr>
        <w:trPr>
          <w:trHeight w:val="22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30, 2022</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4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80" w:type="dxa"/>
            <w:vAlign w:val="bottom"/>
          </w:tcPr>
          <w:p>
            <w:pPr>
              <w:spacing w:after="0"/>
              <w:rPr>
                <w:sz w:val="13"/>
                <w:szCs w:val="13"/>
                <w:color w:val="auto"/>
              </w:rPr>
            </w:pP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5"/>
        </w:trPr>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(Loss) Gain</w:t>
            </w:r>
          </w:p>
        </w:tc>
        <w:tc>
          <w:tcPr>
            <w:tcW w:w="14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6"/>
                <w:szCs w:val="16"/>
                <w:color w:val="auto"/>
              </w:rPr>
            </w:pPr>
          </w:p>
        </w:tc>
        <w:tc>
          <w:tcPr>
            <w:tcW w:w="1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01"/>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2020</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(3,069)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center"/>
              <w:ind w:left="1088"/>
              <w:spacing w:after="0"/>
              <w:rPr>
                <w:sz w:val="20"/>
                <w:szCs w:val="20"/>
                <w:color w:val="auto"/>
              </w:rPr>
            </w:pPr>
            <w:r>
              <w:rPr>
                <w:rFonts w:ascii="Times New Roman" w:cs="Times New Roman" w:eastAsia="Times New Roman" w:hAnsi="Times New Roman"/>
                <w:sz w:val="14"/>
                <w:szCs w:val="14"/>
                <w:color w:val="auto"/>
              </w:rPr>
              <w:t>(7,548)</w:t>
            </w:r>
          </w:p>
        </w:tc>
      </w:tr>
      <w:tr>
        <w:trPr>
          <w:trHeight w:val="19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left="1028"/>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left="1108"/>
              <w:spacing w:after="0"/>
              <w:rPr>
                <w:sz w:val="20"/>
                <w:szCs w:val="20"/>
                <w:color w:val="auto"/>
              </w:rPr>
            </w:pPr>
            <w:r>
              <w:rPr>
                <w:rFonts w:ascii="Times New Roman" w:cs="Times New Roman" w:eastAsia="Times New Roman" w:hAnsi="Times New Roman"/>
                <w:sz w:val="14"/>
                <w:szCs w:val="14"/>
                <w:color w:val="auto"/>
              </w:rPr>
              <w:t>1,640</w:t>
            </w:r>
          </w:p>
        </w:tc>
      </w:tr>
      <w:tr>
        <w:trPr>
          <w:trHeight w:val="22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30, 2021</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center"/>
              <w:ind w:left="1088"/>
              <w:spacing w:after="0"/>
              <w:rPr>
                <w:sz w:val="20"/>
                <w:szCs w:val="20"/>
                <w:color w:val="auto"/>
              </w:rPr>
            </w:pPr>
            <w:r>
              <w:rPr>
                <w:rFonts w:ascii="Times New Roman" w:cs="Times New Roman" w:eastAsia="Times New Roman" w:hAnsi="Times New Roman"/>
                <w:sz w:val="14"/>
                <w:szCs w:val="14"/>
                <w:color w:val="auto"/>
              </w:rPr>
              <w:t>(5,908)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uncertainty around the breadth and duration of the Company's business disruptions related to the COVID-19 pandemic. The decline in demand for the Company's products beginning the second quarter of fiscal year 2020, which it believes was due to the COVID-19 pandemic, negatively impacted its sales and profitability for the last three quarters of fiscal year 2020, all of fiscal year 2021, and the first two quarters of fiscal year 2022. The Company also expects COVID-19 to impact its sales and profitability in future periods. The duration of these trends and the magnitude of such impacts are uncertain and therefore cannot be estimated at this time, as they are influenced by a number of factors, many of which are outside management’s control. The full impact of the COVID-19 pandemic on the Company's results of operations, financial condition, and liquidity, including its ability to comply with debt covenants, for fiscal year 2022 and beyond, is driven by estimates that contain uncertainties.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Financial Accounting Standards Board ("FASB") Accounting Standards Update ("ASU") 2020-06, Debt—Debt with Conversion and Other Options (Subtopic 470-20) and Derivatives and Hedging—Contracts in Entity’s Own Equity (Subtopic 815-40): Accounting for Convertible Instruments and Contracts in an Entity’s Own Equity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simplifies accounting for convertible instruments by removing major separation models currently required under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adopted this ASU effective November 1, 2021 and the adoption did not have a material impact on its consolidated financial statements.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Concentrations and Geographic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Concentrations of credit risk with respect to revenues and trade receivable are limited due to a large, diverse customer base. Two customers represented 13% and 11% of revenue, respectively, for the six months ended April 30, 2022. One individual customer represented 11% of revenues for the six months ended April 30, 2021. One individual customer represented 11% of accounts receivable, net as of April 30, 2022. No individual customer represented more than 10% of accounts receivable, net as of October 31, 2021.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Lemons procured from third-party growers were 51% and 50% of the Company's lemon supply for the three months ended April 30, 2022 and 2021, respectively, and were 54% and 49% of the Company's lemon supply for the six months ended April 30, 2022 and 2021, respectively. One third-party grower was 13% and 19% of the lemon supply for the six months ended April 30, 2022 and 2021, respectively.</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2022 and 2021, the Company had approximately $2,503,000 and $950,000, respectively, of total sales in Chile by Fruticola Pan de Azucar S.A. ("PDA") and Agricola San Pablo SpA ("San Pablo"). During the six months ended April 30, 2022 and 2021, the Company had approximately $2,711,000 and $1,977,000, respectively, of total sales in Chile by PDA and San Pablo.</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2022, the Company signed an agreement to lease Finca Santa Clara, its 1,200-acre lemon ranch in Argentina, to FGF Trapani ("FGF"), its 49% partner in Trapani Fresh Consorcio de Cooperacion ("Trapani Fresh"). The lease is retroactive beginning November 1, 2021, with a term of 14 months at a fixed sum of $400,000, payable in five equal, monthly installments beginning August 2022 until December 2022. During the three and six months ended April 30, 2022, the Company had approximately $171,000 of lease income by Trapani Fresh included in other operations revenue. During the three and six months ended April 30, 2021, the Company had approximately $884,000 and $2,555,000, respectively, of total agribusiness sales in Argentina by Trapani Fresh.</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 foreign exchange transaction losses realized for our foreign subsidiaries was approximately $107,000 and $551,000 for the six months ended April 30, 2022 and 2021, respectively, and were included in selling, general and administrative expenses in the consolidated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1"/>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6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 and related interest</w:t>
            </w:r>
          </w:p>
        </w:tc>
        <w:tc>
          <w:tcPr>
            <w:tcW w:w="2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 held for sale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supplier advances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development assets are comprised primarily of land and land development costs and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Area I - Retained Property</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East Area II</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9,493</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Development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in LLCB to Lewis for $20,000,000.</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$5,771,000 at April 30, 2022 and October 31, 2021, which is included in payables to related parties.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2018, LLCB entered into a $45,000,000 unsecured Line of Credit Loan Agreement and Promissory Note (the “Loan”) with Bank of America, N.A. to fund early development activities. The Loan, as modified and extended, matures February 22, 2023. The interest rate on the Loan is LIBOR plus 2.85% and is payable monthly. The Loan contains certain customary default provisions and LLCB may prepay any amounts outstanding under the Loan without penalty. The joint venture had an outstanding balance of $1,000,000 as of April 30, 2022. The Loan has a one year extension option through February 22, 2024 subject to terms and conditions as defined in the agreement, with the maximum borrowing amount reduced to $35,000,000 during the extension period.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2018, the Company and certain principals from Lewis guaranteed the obligations under the Loan. The guarantee shall continue in effect until all of the Loan obligations are fully paid and the guarantors are jointly and severally liable for all Loan obligations in the event of default by LLCB.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April 30, 2022, LLCB has closed sales of initial residential lots representing 586 residential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Development Projects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real estate development parcel within the Templeton Santa Barbara, LLC project is described as Sevilla. In fiscal year 2020, the Company entered into an agreement to sell its Sevilla property for $2,700,000, which is expected to close in fiscal year 2022. After transaction and other costs, the Company expects to receive cash proceeds of approximately $2,550,000 and recognize an immaterial gain upon closing. At April 30, 2022 and October 31, 2021, the $2,543,000 carrying value of the property was classified as held for sale and included in prepaid expenses and other current assets.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periodically extended with principal payments totaling $400,000 received through October 31, 2021. In November 2021, the promissory note was further extended to June 30, 2022 upon making a principal paydown of $250,000, which was paid in November 2021, and revising the interest rate to 4.00% per annum. In April 2022, the $2,350,000 net carrying value of the promissory note was paid in full and the deferred gain of $161,000 was recognized in the second quarter of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Equity in Investments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investments consist of the following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6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60,216</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Limco Del Mar, Ltd.</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Rosales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Romney Property Partnership</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amounts due (to) from Rosales were $(23,000) and $1,570,000 at April 30, 2022 and October 31, 2021, respectively, and are included in receivables/other from related parties and payables to related parties.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six months ended April 30, 2021, this threshold was met for the Company's equity investment in LLCB.</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unaudited summarized financial information for LLCB (in thousands):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19"/>
                <w:szCs w:val="19"/>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19,827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land sold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Limoneira Company</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7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Goodwill Carrying</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6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2022</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impairment charges recorded against goodwill as of April 30,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April 30, 2021, the Company acquired additional water rights in Chile for $186,000.</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Indefinite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totaled $180,000 and $263,000 for the three months ended April 30, 2022 and 2021, respectively. Amortization expense totaled $361,000 and $526,000 for the six months ended April 30, 2022 and 2021,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April 30, 2022 is as follows (in thousands):</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(excluding the six months ended April 30, 2022)</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23"/>
        </w:trPr>
        <w:tc>
          <w:tcPr>
            <w:tcW w:w="954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0"/>
        </w:trPr>
        <w:tc>
          <w:tcPr>
            <w:tcW w:w="9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As of April 30, 2022 and October 31, 2021, $6,484,000 and $5,994,000, respectively, were included in other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60" w:type="dxa"/>
            <w:vAlign w:val="bottom"/>
          </w:tcPr>
          <w:p>
            <w:pPr>
              <w:spacing w:after="0"/>
              <w:rPr>
                <w:sz w:val="22"/>
                <w:szCs w:val="22"/>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8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6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48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Long-Term Debt</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 (in thousands):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2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3"/>
        </w:trPr>
        <w:tc>
          <w:tcPr>
            <w:tcW w:w="870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5"/>
        </w:trPr>
        <w:tc>
          <w:tcPr>
            <w:tcW w:w="87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Farm Credit West revolving and non-revolving lines of credit: the interest rate of the revolving line of credit is</w:t>
            </w:r>
          </w:p>
        </w:tc>
        <w:tc>
          <w:tcPr>
            <w:tcW w:w="3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variable based on the one-month London Interbank Offered Rate (“LIBOR”), which was 0.45% at April 30, 2022, plus</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1.75%. The interest rate for the $40.0 million outstanding balance of the non-revolving line of credit is fixed at 4.77%</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through July 1, 2022, 3.57% through July 1, 2025 and variable thereafter. Interest is payable monthly and the principal</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 due in full on July 1, 2026.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111,293</w:t>
            </w: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revolving equity line of credit: the interest rate is variable based on the Lender's variable interest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rate plan, which was 2.75% at April 30, 2022. The loan is payable in interest-only monthly payments through April</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and monthly principal and interest payments thereafter, through February 2043.</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The interest rate is fixed at 2.48%. The loan is payable in quarterly installments through</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175"/>
        </w:trPr>
        <w:tc>
          <w:tcPr>
            <w:tcW w:w="8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The interest rate is fixed at 3.24%. The loan is payable in monthly installments through</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2035.</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The interest rate is fixed at 3.24%. The loan is payable in monthly installments through</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2036.</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The interest rate is fixed at 2.77% until July 1, 2025, becoming variable for the remainder</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loan. The loan is payable in monthly installments through March 2036.</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0" w:type="dxa"/>
            <w:vAlign w:val="bottom"/>
          </w:tcPr>
          <w:p>
            <w:pPr>
              <w:spacing w:after="0"/>
              <w:rPr>
                <w:sz w:val="1"/>
                <w:szCs w:val="1"/>
                <w:color w:val="auto"/>
              </w:rPr>
            </w:pPr>
          </w:p>
        </w:tc>
      </w:tr>
      <w:tr>
        <w:trPr>
          <w:trHeight w:val="176"/>
        </w:trPr>
        <w:tc>
          <w:tcPr>
            <w:tcW w:w="8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Farm Credit West term loan: Effective August 2, 2021, the interest rate was fixed at 3.19%. The loan is payable in</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 installments through September 2026.</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term loan: the interest rate is fixed at 6.48%. The loan is payable in annual installments through</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Note Payable: the interest rate ranges from 5.00% to 7.00% and was 7.00% at April 30, 2022. The loan includes</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only monthly payments and principal is due in February 2023.</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The loans are payable in monthly installments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through September 2024.</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and 4.26%. The loans are payable in monthly</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installments through September 2026.</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deferred financing costs, net of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130,353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 Master Loan Agreement (the “MLA”) with Farm Credit West, PCA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fixed interest rate for a period of time as described in the table above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matures in 2043 and features a 3-year draw period followed by 20 years of fully amortized loan payments.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$130,000,000 comprised of $75,000,000 under the Revolving Credit Supplement, $40,000,000 under the Non-Revolving Credit Supplement and $15,000,000 under the RELOC.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2022, the Company's outstanding borrowings under the Supplements and RELOC were $119,102,000 and it had $10,898,000 available to borrow.</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in effect under the Revolving Credit Supplement automatically adjusted commencing July 1, 2021 and on the first day of each month thereafter. The interest rate for any amount outstanding under the Revolving Credit Supplement will be based on the one-month LIBOR rate plus or minus an applicable margin. The applicable margin will range from 1.75% to 2.35% depending on the ratio of current assets, plus the remaining available commitment divided by current liabilities. On July 1, 2022, and on each one-year anniversary thereafter, the Company has the option to convert the interest rate in use under the Revolving Credit Supplement from the preceding LIBOR-based calculation to a variable interest rate. The Company may prepay any amounts outstanding under the Revolving Credit Supplement without penalty.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interest rate in effect under the Non-Revolving Credit Supplement is a fixed interest rate of 4.77% through July 1, 2022 and then will convert to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in effect under the RELOC is a variable interest rate established by the Lender corresponding to the applicable interest rate group, which was 2.75% as of April 30, 2022. The interest rate may be adjusted automatically under the provisions of the Lender's variable interest rate plan. The Company may prepay any amounts outstanding under the RELOC without penalty.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indebtedness under the MLA and RELOC, including any indebtedness under the Supplements, is secured by a first lien on Company-owned stock or participation certificates, Company funds maintained with the Lender, the Lender’s unallocated surplus, and certain of the Company’s agricultural properties in Tulare and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greater than or equal to 1.25:1 when measured at October 31, 2022 and annually thereafter.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Lender declared an annual cash patronage dividend of 1.25% of average eligible loan balances and the Company received the aggregate of $1,582,000 in March and April 2022. In December 2020, Farm Credit West declared an annual cash patronage dividend of 1.50% of average eligible loan balances and the Company received $1,170,000 in February 2021.</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zero and $308,000 during the three months ended April 30, 2022 and 2021, respectively, and zero and $308,000 during the six months ended April 30, 2022 and 2021, respectively. Capitalized interest is included in property, plant and equipment and real estate development assets in the Company’s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21 years, with various renewal terms available. All of the residential rentals have month-to-month lease terms.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r>
      <w:tr>
        <w:trPr>
          <w:trHeight w:val="225"/>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classified as either operating or finance leases. The Company’s lease contracts are generally for agricultural land and packinghouse and farming equipment with remaining lease terms ranging from one to 16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costs were $135,000 and $136,000 for the three months ended April 30, 2022 and 2021, respectively, and $258,000 and $278,000 for the six months ended April 30, 2022 and 2021, respectively, which are primarily included in agribusiness costs and expenses in the Company’s consolidated statements of operations. Finance lease costs were $98,000 and zero for the three months ended April 30, 2022 and 2021, respectively, and $156,000 and zero for the six months ended April 30, 2022 and 2021, respectively, which are primarily included in agribusiness costs and expenses in the Company’s consolidated statements of operations. Variable and short term lease costs were immaterial.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338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payables to related parties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2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consists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8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r>
      <w:tr>
        <w:trPr>
          <w:trHeight w:val="225"/>
        </w:trPr>
        <w:tc>
          <w:tcPr>
            <w:tcW w:w="58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Basic and Diluted Net Income (Loss) per Share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unvested, restricted stock and conversion of preferred stock. The computations for basic and diluted net loss per common share are as follows (in thousands, except per share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restricted stock</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basic EPS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for basic EPS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unvested, restricted stock and preferred stock</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diluted EPS</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unvested, restricted stock and preferred stock</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net income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per common share was calculated under the two-class method for the three and six months ended April 30, 2022. The Company excluded 178,000, unvested, restricted shares, as calculated under the treasury stock method, from its computation of diluted net loss per common share for the three months ended April 30, 2021 and 185,000 for the six months ended April 30, 2021.</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transactions with equity method investments and various related parties summarized in Note 6 - Equity in Investments and in the tables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April 30, 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October 31, 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Balance Sheet</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Receivable/Other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7"/>
              </w:rPr>
              <w:t>Other Long-</w:t>
            </w:r>
          </w:p>
        </w:tc>
        <w:tc>
          <w:tcPr>
            <w:tcW w:w="10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Receivable/Other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7"/>
              </w:rPr>
              <w:t>Other Long-</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from Related</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from Related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0" w:type="dxa"/>
            <w:vAlign w:val="bottom"/>
          </w:tcPr>
          <w:p>
            <w:pPr>
              <w:spacing w:after="0"/>
              <w:rPr>
                <w:sz w:val="1"/>
                <w:szCs w:val="1"/>
                <w:color w:val="auto"/>
              </w:rPr>
            </w:pPr>
          </w:p>
        </w:tc>
      </w:tr>
      <w:tr>
        <w:trPr>
          <w:trHeight w:val="183"/>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Ref</w:t>
            </w:r>
          </w:p>
        </w:tc>
        <w:tc>
          <w:tcPr>
            <w:tcW w:w="2880" w:type="dxa"/>
            <w:vAlign w:val="bottom"/>
            <w:gridSpan w:val="2"/>
          </w:tcPr>
          <w:p>
            <w:pPr>
              <w:ind w:left="102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Parties</w:t>
            </w: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Parties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Parties</w:t>
            </w:r>
          </w:p>
        </w:tc>
        <w:tc>
          <w:tcPr>
            <w:tcW w:w="8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Other Assets</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Related Parties</w:t>
            </w:r>
          </w:p>
        </w:tc>
        <w:tc>
          <w:tcPr>
            <w:tcW w:w="100" w:type="dxa"/>
            <w:vAlign w:val="bottom"/>
          </w:tcPr>
          <w:p>
            <w:pPr>
              <w:spacing w:after="0"/>
              <w:rPr>
                <w:sz w:val="15"/>
                <w:szCs w:val="15"/>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0" w:type="dxa"/>
            <w:vAlign w:val="bottom"/>
          </w:tcPr>
          <w:p>
            <w:pPr>
              <w:spacing w:after="0"/>
              <w:rPr>
                <w:sz w:val="1"/>
                <w:szCs w:val="1"/>
                <w:color w:val="auto"/>
              </w:rPr>
            </w:pPr>
          </w:p>
        </w:tc>
      </w:tr>
      <w:tr>
        <w:trPr>
          <w:trHeight w:val="176"/>
        </w:trPr>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432</w:t>
            </w:r>
          </w:p>
        </w:tc>
        <w:tc>
          <w:tcPr>
            <w:tcW w:w="5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1,386</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1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980</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LLCB</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Third-party growers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1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Three Months Ended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27940</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Three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27940</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p>
      <w:pPr>
        <w:spacing w:after="0" w:line="17" w:lineRule="exact"/>
        <w:rPr>
          <w:sz w:val="20"/>
          <w:szCs w:val="20"/>
          <w:color w:val="auto"/>
        </w:rPr>
      </w:pPr>
    </w:p>
    <w:p>
      <w:pPr>
        <w:sectPr>
          <w:pgSz w:w="11900" w:h="16838" w:orient="portrait"/>
          <w:cols w:equalWidth="0" w:num="2">
            <w:col w:w="7200" w:space="720"/>
            <w:col w:w="3320"/>
          </w:cols>
          <w:pgMar w:left="320" w:top="365"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Net Revenue</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Agribusiness</w:t>
            </w:r>
          </w:p>
        </w:tc>
        <w:tc>
          <w:tcPr>
            <w:tcW w:w="80" w:type="dxa"/>
            <w:vAlign w:val="bottom"/>
          </w:tcPr>
          <w:p>
            <w:pPr>
              <w:spacing w:after="0"/>
              <w:rPr>
                <w:sz w:val="11"/>
                <w:szCs w:val="11"/>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9"/>
              </w:rPr>
              <w:t>Expense and</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Ref</w:t>
            </w:r>
          </w:p>
        </w:tc>
        <w:tc>
          <w:tcPr>
            <w:tcW w:w="3040" w:type="dxa"/>
            <w:vAlign w:val="bottom"/>
            <w:gridSpan w:val="2"/>
          </w:tcPr>
          <w:p>
            <w:pPr>
              <w:ind w:left="108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0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0" w:type="dxa"/>
            <w:vAlign w:val="bottom"/>
          </w:tcPr>
          <w:p>
            <w:pPr>
              <w:spacing w:after="0"/>
              <w:rPr>
                <w:sz w:val="1"/>
                <w:szCs w:val="1"/>
                <w:color w:val="auto"/>
              </w:rPr>
            </w:pPr>
          </w:p>
        </w:tc>
      </w:tr>
      <w:tr>
        <w:trPr>
          <w:trHeight w:val="176"/>
        </w:trPr>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Calavo</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YMIDD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Freska</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Third-party growers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 April 30, 2022</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Six Months Ended April 30, 2021</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Pr>
          <w:p>
            <w:pPr>
              <w:spacing w:after="0"/>
              <w:rPr>
                <w:sz w:val="10"/>
                <w:szCs w:val="10"/>
                <w:color w:val="auto"/>
              </w:rPr>
            </w:pPr>
          </w:p>
        </w:tc>
        <w:tc>
          <w:tcPr>
            <w:tcW w:w="94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100" w:type="dxa"/>
            <w:vAlign w:val="bottom"/>
          </w:tcPr>
          <w:p>
            <w:pPr>
              <w:spacing w:after="0"/>
              <w:rPr>
                <w:sz w:val="10"/>
                <w:szCs w:val="10"/>
                <w:color w:val="auto"/>
              </w:rPr>
            </w:pP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Net Revenue</w:t>
            </w:r>
          </w:p>
        </w:tc>
        <w:tc>
          <w:tcPr>
            <w:tcW w:w="120" w:type="dxa"/>
            <w:vAlign w:val="bottom"/>
          </w:tcPr>
          <w:p>
            <w:pPr>
              <w:spacing w:after="0"/>
              <w:rPr>
                <w:sz w:val="10"/>
                <w:szCs w:val="10"/>
                <w:color w:val="auto"/>
              </w:rPr>
            </w:pPr>
          </w:p>
        </w:tc>
        <w:tc>
          <w:tcPr>
            <w:tcW w:w="94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Agribusiness</w:t>
            </w:r>
          </w:p>
        </w:tc>
        <w:tc>
          <w:tcPr>
            <w:tcW w:w="80" w:type="dxa"/>
            <w:vAlign w:val="bottom"/>
          </w:tcPr>
          <w:p>
            <w:pPr>
              <w:spacing w:after="0"/>
              <w:rPr>
                <w:sz w:val="10"/>
                <w:szCs w:val="10"/>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0" w:type="dxa"/>
            <w:vAlign w:val="bottom"/>
          </w:tcPr>
          <w:p>
            <w:pPr>
              <w:spacing w:after="0"/>
              <w:rPr>
                <w:sz w:val="1"/>
                <w:szCs w:val="1"/>
                <w:color w:val="auto"/>
              </w:rPr>
            </w:pPr>
          </w:p>
        </w:tc>
      </w:tr>
      <w:tr>
        <w:trPr>
          <w:trHeight w:val="128"/>
        </w:trPr>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Ref</w:t>
            </w:r>
          </w:p>
        </w:tc>
        <w:tc>
          <w:tcPr>
            <w:tcW w:w="30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Expense and</w:t>
            </w: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0" w:type="dxa"/>
            <w:vAlign w:val="bottom"/>
            <w:gridSpan w:val="2"/>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0" w:type="dxa"/>
            <w:vAlign w:val="bottom"/>
          </w:tcPr>
          <w:p>
            <w:pPr>
              <w:spacing w:after="0"/>
              <w:rPr>
                <w:sz w:val="1"/>
                <w:szCs w:val="1"/>
                <w:color w:val="auto"/>
              </w:rPr>
            </w:pPr>
          </w:p>
        </w:tc>
      </w:tr>
      <w:tr>
        <w:trPr>
          <w:trHeight w:val="174"/>
        </w:trPr>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Calavo</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Colorado River Growers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YMIDD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Freska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Third-party growers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right="20" w:firstLine="8"/>
        <w:spacing w:after="0" w:line="229" w:lineRule="auto"/>
        <w:tabs>
          <w:tab w:leader="none" w:pos="20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 There were no rental payments due from employees at April 30, 2022 or October 31, 2021.</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20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refer to Note 8 - Other Assets. The Company recorded capital contributions, purchased water and water delivery services and had water payments due to the mutual water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 (continued)</w:t>
      </w:r>
    </w:p>
    <w:p>
      <w:pPr>
        <w:spacing w:after="0" w:line="256" w:lineRule="exact"/>
        <w:rPr>
          <w:sz w:val="20"/>
          <w:szCs w:val="20"/>
          <w:color w:val="auto"/>
        </w:rPr>
      </w:pPr>
    </w:p>
    <w:p>
      <w:pPr>
        <w:ind w:firstLine="8"/>
        <w:spacing w:after="0" w:line="229" w:lineRule="auto"/>
        <w:tabs>
          <w:tab w:leader="none" w:pos="19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51" w:lineRule="auto"/>
        <w:tabs>
          <w:tab w:leader="none" w:pos="187"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Calavo - Through January 2022, the Company had representation on the board of directors of Calavo. Calavo owns common stock of the Company and the Company pays dividends on such common stock to Calavo. Additionally, the Company leases office space to Calavo. As of February 2022, Calavo is no longer a related party.</w:t>
      </w:r>
    </w:p>
    <w:p>
      <w:pPr>
        <w:spacing w:after="0" w:line="217" w:lineRule="exact"/>
        <w:rPr>
          <w:rFonts w:ascii="Times New Roman" w:cs="Times New Roman" w:eastAsia="Times New Roman" w:hAnsi="Times New Roman"/>
          <w:sz w:val="22"/>
          <w:szCs w:val="22"/>
          <w:color w:val="auto"/>
          <w:vertAlign w:val="superscript"/>
        </w:rPr>
      </w:pPr>
    </w:p>
    <w:p>
      <w:pPr>
        <w:jc w:val="both"/>
        <w:ind w:firstLine="8"/>
        <w:spacing w:after="0" w:line="244" w:lineRule="auto"/>
        <w:tabs>
          <w:tab w:leader="none" w:pos="18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affiliate of WAM is the holder of 9,300 shares of the Company's Series B-2 convertible preferred stock. Upon the adoption of ASC 842, the Company recorded a right-of-use, or ROU asset and corresponding lease liability.</w:t>
      </w:r>
    </w:p>
    <w:p>
      <w:pPr>
        <w:spacing w:after="0" w:line="223" w:lineRule="exact"/>
        <w:rPr>
          <w:rFonts w:ascii="Times New Roman" w:cs="Times New Roman" w:eastAsia="Times New Roman" w:hAnsi="Times New Roman"/>
          <w:sz w:val="23"/>
          <w:szCs w:val="23"/>
          <w:color w:val="auto"/>
          <w:vertAlign w:val="superscript"/>
        </w:rPr>
      </w:pPr>
    </w:p>
    <w:p>
      <w:pPr>
        <w:jc w:val="both"/>
        <w:ind w:firstLine="8"/>
        <w:spacing w:after="0" w:line="251" w:lineRule="auto"/>
        <w:tabs>
          <w:tab w:leader="none" w:pos="182"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Colorado River Growers, Inc. (“CRG”) - The Company had representation on the board of directors of CRG, a non-profit cooperative association of fruit growers engaged in the agricultural harvesting business in Yuma County, Arizona. CRG was dissolved in August 2021. The Company paid harvest expense to CRG and provided harvest management and administrative services to CRG.</w:t>
      </w:r>
    </w:p>
    <w:p>
      <w:pPr>
        <w:spacing w:after="0" w:line="217" w:lineRule="exact"/>
        <w:rPr>
          <w:rFonts w:ascii="Times New Roman" w:cs="Times New Roman" w:eastAsia="Times New Roman" w:hAnsi="Times New Roman"/>
          <w:sz w:val="22"/>
          <w:szCs w:val="22"/>
          <w:color w:val="auto"/>
          <w:vertAlign w:val="superscript"/>
        </w:rPr>
      </w:pPr>
    </w:p>
    <w:p>
      <w:pPr>
        <w:ind w:firstLine="8"/>
        <w:spacing w:after="0" w:line="229" w:lineRule="auto"/>
        <w:tabs>
          <w:tab w:leader="none" w:pos="21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immaterial amounts payable to them for such purchases.</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54" w:lineRule="auto"/>
        <w:tabs>
          <w:tab w:leader="none" w:pos="184"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the sale of packing supplies and a payable due to FGF for fruit purchases and services. The Company records revenue related to the licensing of intangible assets to FGF. Effective November 1, 2021, the Company leases Finca Santa Clara to FGF and records rental revenue related to the leased land.</w:t>
      </w:r>
    </w:p>
    <w:p>
      <w:pPr>
        <w:spacing w:after="0" w:line="200" w:lineRule="exact"/>
        <w:rPr>
          <w:rFonts w:ascii="Times New Roman" w:cs="Times New Roman" w:eastAsia="Times New Roman" w:hAnsi="Times New Roman"/>
          <w:sz w:val="22"/>
          <w:szCs w:val="22"/>
          <w:color w:val="auto"/>
          <w:vertAlign w:val="superscript"/>
        </w:rPr>
      </w:pPr>
    </w:p>
    <w:p>
      <w:pPr>
        <w:spacing w:after="0" w:line="215"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LLCB - Refer to Note 5 - Real Estate Development.</w:t>
      </w:r>
    </w:p>
    <w:p>
      <w:pPr>
        <w:spacing w:after="0" w:line="224" w:lineRule="exact"/>
        <w:rPr>
          <w:rFonts w:ascii="Times New Roman" w:cs="Times New Roman" w:eastAsia="Times New Roman" w:hAnsi="Times New Roman"/>
          <w:sz w:val="22"/>
          <w:szCs w:val="22"/>
          <w:color w:val="auto"/>
          <w:vertAlign w:val="superscript"/>
        </w:rPr>
      </w:pPr>
    </w:p>
    <w:p>
      <w:pPr>
        <w:ind w:firstLine="8"/>
        <w:spacing w:after="0" w:line="272" w:lineRule="auto"/>
        <w:tabs>
          <w:tab w:leader="none" w:pos="247"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Freska - A member of the Company's board of directors is a majority shareholder of Freska Produce International, LLC ("Freska"). The Company had avocado sales to Freska and corresponding receivables for such sales.</w:t>
      </w:r>
    </w:p>
    <w:p>
      <w:pPr>
        <w:spacing w:after="0" w:line="192" w:lineRule="exact"/>
        <w:rPr>
          <w:rFonts w:ascii="Times New Roman" w:cs="Times New Roman" w:eastAsia="Times New Roman" w:hAnsi="Times New Roman"/>
          <w:sz w:val="21"/>
          <w:szCs w:val="21"/>
          <w:color w:val="auto"/>
          <w:vertAlign w:val="superscript"/>
        </w:rPr>
      </w:pPr>
    </w:p>
    <w:p>
      <w:pPr>
        <w:ind w:right="20" w:firstLine="8"/>
        <w:spacing w:after="0" w:line="272" w:lineRule="auto"/>
        <w:tabs>
          <w:tab w:leader="none" w:pos="2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Third-party growers - A member of the Company's board of directors markets lemons through the Company. The Company had payments due to the member for such lemon procurement.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April 30, 2022 was higher than the federal statutory tax rate of 21% mainly due to foreign jurisdictions that are taxed at different rates, state taxes, tax impact of stock-based compensation, and nondeductible tax items. The Company has no material uncertain tax positions as of April 30, 2022. The Company recognizes interest expense and penalties related to income tax matters as a component of income tax expense. There was no accrued interest or penalties associated with uncertain tax positions as of April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 In fiscal year 2021, the Company terminated the Plan effective December 31, 2021.</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Plans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was funded consistent with the funding requirements of federal law and regulations. There were no funding contributions during the six months ended April 30, 2022 and 2021. Plan assets are invested in a group trust consisting primarily of pooled funds, mutual funds, short-term investment funds and cash.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for the Plan for the three and six months ended April 30, 2022 and 2021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8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r>
      <w:tr>
        <w:trPr>
          <w:trHeight w:val="225"/>
        </w:trPr>
        <w:tc>
          <w:tcPr>
            <w:tcW w:w="58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
        </w:trPr>
        <w:tc>
          <w:tcPr>
            <w:tcW w:w="5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lawsuit, initiated on March 27, 2018, against Southern California Edison in Superior Court of the State of California, County of Los Angeles whereby the Company is claiming unspecified damages, attorneys' fees and other costs, as a result from the Thomas Fire in fiscal year 2018. While the outcome of this lawsuit is uncertain, the Company believes its claim for damages is valid.</w:t>
      </w:r>
    </w:p>
    <w:p>
      <w:pPr>
        <w:spacing w:after="0" w:line="199" w:lineRule="exact"/>
        <w:rPr>
          <w:sz w:val="20"/>
          <w:szCs w:val="20"/>
          <w:color w:val="auto"/>
        </w:rPr>
      </w:pPr>
    </w:p>
    <w:p>
      <w:pPr>
        <w:ind w:right="7320" w:firstLine="8"/>
        <w:spacing w:after="0" w:line="534"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Treasury Stock Stock-based Compensation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Certain restricted stock grants are made to management each December under the Stock Plan based on the achievement of certain annual financial performance and other criteria achieved during the previous fiscal year (“Performance Awards”). The Performance Awards are based on a percentage of the employee’s base salary divided by the stock price on the grant date once the performance criteria has been met, and generally vest over a two-year period as service is provided. There were no Performance Awards granted for fiscal year 2021 because the financial performance and other criteria were not met.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restricted stock grants are made to key executives under the Stock Plan (“Executive Awards”). Executive awards generally vest over a three to five-year period as service is provided. During December 2021, the Company granted 70,000 shares of common stock with a per share price of $14.96 to key executives under the Stock Plan, of which 15,000 shares were forfeited on February 1, 2022 pursuant to a key executive's severance agreement. The related compensation expense after forfeiture of approximately $823,000 will be recognized equally over the next three years as the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ind w:right="6400" w:firstLine="8"/>
        <w:spacing w:after="0" w:line="533"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Treasury Stock (continued) Stock-based Compensation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an annual basis, the Company generally issues shares of common stock to non-employee directors under the Stock Plan (“Director Awards”). During March 2022, 46,279 shares of common stock were granted as Director Awards, which vest over a one-year period from date of grant. The related stock-based compensation of approximately $627,000 will be recognized equally over the next year as the shares vest. During January 2021, 27,815 shares of common stock were granted as Director Awards that vested upon grant. The Company recognized $469,000 of stock-based compensation to non-employee directors during the six months ended 2021.</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April 30, 2022 and 2021, members of management exchanged 68,080 and 46,993 shares of common stock with fair values of $1,086,000 and $701,000, respectively, at the date of the exchanges, for the payment of payroll taxes associated with the vesting of shares under the Stock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2021, the Company's Board of Directors approved a share repurchase program authorizing the Company to repurchase up to $10,000,000 of its outstanding shares of common stock through September 2022. No shares have been repurchased under this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harvesting expenses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related to rental operations are included in “Corporate and Other.” Other agribusiness revenues consisted of oranges of $2,617,000 and $3,490,000 and specialty citrus and other crops of $1,441,000 and $2,317,000 for the three and six months ended April 30, 2022, respectively. Other agribusiness revenues consisted of oranges of $1,404,000 and $2,495,000 and specialty citrus and other crops of $1,175,000 and $3,024,000 for the three and six months ended April 30, 2021,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and suppliers. Intersegment revenues represent packing revenues related to lemons grown on the Company’s orchards.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 (continued)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April 30, 2022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46,750</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46,750</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11,662</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41,681</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April 30,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45,132</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45,132</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28,629</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40,196</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six months ended April 30, 2022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2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86,024</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86,024</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59,383</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22,218</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6,438</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88,033</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0" w:type="dxa"/>
            <w:vAlign w:val="bottom"/>
          </w:tcPr>
          <w:p>
            <w:pPr>
              <w:spacing w:after="0"/>
              <w:rPr>
                <w:sz w:val="1"/>
                <w:szCs w:val="1"/>
                <w:color w:val="auto"/>
              </w:rPr>
            </w:pPr>
          </w:p>
        </w:tc>
      </w:tr>
      <w:tr>
        <w:trPr>
          <w:trHeight w:val="20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six months ended April 30, 2021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61,900</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83,407</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83,407</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58,136</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68,883</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81,610</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(11,002)</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has evaluated events subsequent to April 30, 2022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6,100 acres of lemons, 800 acres of avocados, 1,000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of approximately 900 units in various stages of planning and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Summary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market and sell citrus directly to our food service, wholesale and retail customers throughout the United States, Canada, Asia, Australia, Europe and certain other international markets. We are one of the largest growers of lemons and avocados in the United States. In fiscal year 2021, we sold a majority of our avocados to Calavo Growers, Inc. (“Calavo”). Additionally, we sell our pistachios to a roaster, packager and marketer of nuts, and our wine grapes to various wine producers.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price are a function of global supply and demand with weather conditions, such as unusually low temperatures, typically having the most dramatic effect on the amount of lemons supplied in any individual growing season. We believe we have a</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rental operations include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Summary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and Mineral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Following our acquisition of Associated Citrus Packers, Inc. ("Associated"), we began using federal project water in Arizona from the Colorado River through the YMIDD. We also have acquired water rights in Chile related to our acquisitions of PDA and San Pablo.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California has experienced below average precipitation since 2018. According to the U.S. Drought Monitor, Ventura and San Bernardino Counties were experiencing severe drought conditions and Tulare County was experiencing extreme drought conditions as of April 30, 2022. In October 2021, the California Governor declared a drought state of emergency statewide. Federal officials who oversee the Central Valley Project, California’s largest water delivery system, allocated 0% of the contracted amount of water to San Joaquin Valley farmers in 2022 compared to 5% in 2021 and 100% in 2017 through 2020. We are assessing the impact these reductions may have on our California orchards.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the U.S. Bureau of Reclamation declared a Level 1 Shortage Condition at Lake Mead in the Lower Colorado River Basin for the first time ever, requiring shortage reductions and water savings contributions for states in the southwest. Beginning January 1, 2022, Arizona experienced water releases from Lake Mead reduced by approximately 18% of the state’s annual apportionment. We are assessing the impact these reductions may have on our Arizona orchards.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equal partners in a joint venture with The Lewis Group of Companies (“Lewis”) for the residential development of our East Area I real estate development project and formed Limoneira Lewis Community Builders, LLC ("LLCB") as the development entity. LLCB has closed on lot sales representing 586 units from inception through April 30, 2022. For further information see Note 5 – Real Estate Development of the notes to consolidated financial statements included in this Quarterly Report on Form 10-Q.</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September 2021, we signed a Memorandum of Understanding with Wileman Bros. &amp; Elliott, Inc. ("Wileman"), to form an alliance to sell their combined citrus volumes under Limoneira's One World of Citrus trademark. Wileman is a 95-year-old citrus business located in California’s Central Valley with a focus on oranges, mandarins and specialty citrus. Effective November 1, 2021, the majority of our oranges and certain specialty citrus are packed by Wileman.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2022, we terminated our Avocado Marketing Agreement and the associated Letter Agreement Regarding Fruit Commitment with Calavo to pursue opportunities with other packing and marketing companies.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January 2022, we were notified of Alex M. Teague’s decision to retire as Senior Vice President and Chief Operating Officer of our Company, effective February 1, 2022. In connection with his retirement, we entered into a separation agreement with Mr. Teague whereas, (i) Mr. Teague was paid one year of his annual base salary, which was paid in one lump sum within ninety (90) business days of January 12, 2022; (ii) twenty-three thousand nine hundred ninety-nine (23,999) shares of our common stock granted to Mr. Teague pursuant to the Limoneira Company Omnibus Incentive Plan fully vested; and (iii) Mr. Teague will receive certain other benefits as set forth in the agreement. As of April 30, 2022, we paid $0.4 million cash severance and recognized $0.3 million accelerated vesting of stock-based compensation.</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2022, we signed an agreement to lease Finca Santa Clara, our 1,200-acre lemon ranch in Argentina, to FGF Trapani ("FGF"), our 49% partner in Trapani Fresh. The lease is retroactive beginning November 1, 2021, with a term of 14 months at a fixed sum of $400,000, payable in five equal, monthly installments beginning August 2022 until December 2022.</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2022, the promissory note previously received for the sale of our Centennial property, with net a carrying value of $2,350,000, was paid in full and the deferred gain of $161,000 was recognized in the second quarter of fiscal year 2022.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2022, we declared a cash dividend of $0.075 per common share paid on April 14, 2022, in the aggregate amount of $1.3 million to stockholders of record as of April 5,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had an adverse impact on the industries and markets in which we conduct business. In particular, the United States lemon market saw a significant decline in volume, with lemon demand falling since widespread shelter in place orders were issued in March 2020, resulting in a significant market oversupply. The export market for fresh produce also significantly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declined due to the COVID-19 pandemic impacts. As of April 30, 2022, the demand within both markets is recovering but has not yet returned to pre-pandemic levels.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decline in demand for our products beginning the second quarter of fiscal year 2020, which we believe was due to the COVID-19 pandemic, negatively impacted our sales and profitability for the last three quarters of fiscal year 2020, all of fiscal year 2021, and the first two quarters of fiscal year 2022. We also expect COVID-19 to impact our sales and profitability in future periods. The duration of these trends and the magnitude of such impacts cannot be estimated at this time, as they are influenced by a number of factors, many of which are outside management’s control, including, but not limited, to those presented in Item 1A Risk Factors of our Annual Report on Form 10-K for the year ended October 31, 2021. Notwithstanding the adverse impacts and subject to unforeseen changes that may arise as the COVID-19 pandemic continues, we currently expect improvement in fiscal year 2022 compared to fiscal year 2021.</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 economic uncertainty as a result of the COVID-19 pandemic over the past two years, we have taken actions to improve our current liquidity position, including temporarily postponing capital expenditures, selling equity securities to increase cash, reducing operating costs, and substantially reducing discretionary spending.</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considered an essential business, there is significant uncertainty around the breadth and duration of our business disruptions related to the COVID-19 pandemic, as well as its impact on the U.S. economy, the ongoing business operations of our customers and our results of operations and financial condition. Our management team is actively monitoring the impacts of the COVID-19 pandemic and may take further actions altering our business operations that we determine are in the best interests of our employees and customers or as required by federal, state, or local authorities. The full impact of the COVID-19 pandemic on our results of operations, financial condition, or liquidity for fiscal year 2022 and beyond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5"/>
        </w:trPr>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3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r>
      <w:tr>
        <w:trPr>
          <w:trHeight w:val="225"/>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81,126</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83,407</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73,380</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86,663</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named executive officer severance and loss (gain) on disposal of assets,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r>
      <w:tr>
        <w:trPr>
          <w:trHeight w:val="225"/>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Named executive officer severance</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2022 Compared to the Three Months Ended April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the three months ended April 30, 2022 were $46.8 million, compared to $45.1 million for the three months ended April 30, 2021. The 4% increase of $1.6 million was primarily the result of increased avocados and oranges agribusiness revenues, partially offset by decreased lemon agribusiness revenues, as detailed below ($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Agribusiness Revenues for the Three Months Ended April 30,</w:t>
            </w:r>
          </w:p>
        </w:tc>
        <w:tc>
          <w:tcPr>
            <w:tcW w:w="108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(968)</w:t>
            </w:r>
          </w:p>
        </w:tc>
        <w:tc>
          <w:tcPr>
            <w:tcW w:w="108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869</w:t>
            </w:r>
          </w:p>
        </w:tc>
        <w:tc>
          <w:tcPr>
            <w:tcW w:w="10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1,213</w:t>
            </w:r>
          </w:p>
        </w:tc>
        <w:tc>
          <w:tcPr>
            <w:tcW w:w="10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266</w:t>
            </w:r>
          </w:p>
        </w:tc>
        <w:tc>
          <w:tcPr>
            <w:tcW w:w="10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1,380</w:t>
            </w:r>
          </w:p>
        </w:tc>
        <w:tc>
          <w:tcPr>
            <w:tcW w:w="1080" w:type="dxa"/>
            <w:vAlign w:val="bottom"/>
            <w:tcBorders>
              <w:bottom w:val="single" w:sz="8" w:color="auto"/>
            </w:tcBorders>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340" w:hanging="332"/>
        <w:spacing w:after="0" w:line="258"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the second quarter of fiscal year 2022 was primarily the result of lower prices, partially offset by higher volume of fresh lemons sold, compared to the same period of fiscal year 2021. During the second quarter of fiscal years 2022 and 2021, fresh lemon sales were $27.3 million and $28.7 million, in aggregate, on 1,552,000 and 1,528,000 cartons of lemons sold at average per carton prices of $17.57 and $18.79, respectively. Lemon revenues in the second quarter of fiscal years 2022 and 2021 included shipping and handling of $6.7 million and $6.1 million, brokered fruit and other lemon sales of $2.7 million and $2.3 million and lemon by-product sales of $1.1 million and $1.6 million, respectively.</w:t>
      </w:r>
    </w:p>
    <w:p>
      <w:pPr>
        <w:spacing w:after="0" w:line="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increase in the second quarter of fiscal year 2022 was primarily the result of higher prices, partially offset by decreased volume of avocados sold, compared to the same period of fiscal year 2021. During the second quarter of fiscal years 2022 and 2021, 1,877,000 and 2,142,000 pounds of avocados were sold at an average per pound price of $1.90 and $1.26, respectively.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in the second quarter of fiscal year 2022 was primarily the result of increased volume, partially offset by lower prices of oranges sold, compared to the same period of fiscal year 2021. In the second quarter of fiscal years 2022 and 2021, we sold 328,000 and 154,000 40-pound carton equivalents of oranges at an average per carton price of $7.98 and $9.12, respectively.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increase in the second quarter of fiscal year 2022 was primarily the result of increased volume, partially offset by lower prices of specialty citrus sold, compared to the same period of fiscal year 2021. During the second quarter of fiscal years 2022 and 2021, we sold 254,000 and 129,000 40-pound carton equivalents of specialty citrus at an average per carton price of $5.68 and $9.11,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revenue in the second quarter of fiscal years 2022 and 2021 was $1.4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costs and expenses in the second quarter of fiscal year 2022 were $44.2 million, compared to $42.7 million in the same period of fiscal year 2021. The 3% increase of $1.4 million was primarily attributable to increases in our packing costs and growing costs, partially offset by decreases in our third-party grower and supplier costs. Costs and expenses associated with our agribusiness division include packing costs, harvest costs, growing costs, costs related to the fruit we procure and sell for third-party growers and suppliers and depreciation and amortization expense, as detailed below ($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Three Months Ended April 30,</w:t>
            </w:r>
          </w:p>
        </w:tc>
      </w:tr>
      <w:tr>
        <w:trPr>
          <w:trHeight w:val="223"/>
        </w:trPr>
        <w:tc>
          <w:tcPr>
            <w:tcW w:w="4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Borders>
              <w:bottom w:val="single" w:sz="8" w:color="auto"/>
            </w:tcBorders>
          </w:tcPr>
          <w:p>
            <w:pPr>
              <w:spacing w:after="0"/>
              <w:rPr>
                <w:sz w:val="19"/>
                <w:szCs w:val="19"/>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624</w:t>
            </w:r>
          </w:p>
        </w:tc>
        <w:tc>
          <w:tcPr>
            <w:tcW w:w="12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1%</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1,284</w:t>
            </w:r>
          </w:p>
        </w:tc>
        <w:tc>
          <w:tcPr>
            <w:tcW w:w="12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(699)</w:t>
            </w:r>
          </w:p>
        </w:tc>
        <w:tc>
          <w:tcPr>
            <w:tcW w:w="12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(98)</w:t>
            </w:r>
          </w:p>
        </w:tc>
        <w:tc>
          <w:tcPr>
            <w:tcW w:w="1220" w:type="dxa"/>
            <w:vAlign w:val="bottom"/>
            <w:tcBorders>
              <w:bottom w:val="single" w:sz="8" w:color="auto"/>
            </w:tcBorders>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(4)%</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1,157</w:t>
            </w:r>
          </w:p>
        </w:tc>
        <w:tc>
          <w:tcPr>
            <w:tcW w:w="12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3%</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5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In the second quarter of fiscal years 2022 and 2021, lemon packing costs were $11.7 million and $10.9 million, respectively. During the second quarter of fiscal years 2022 and 2021, we packed and sold 1,552,000 and 1,528,000 cartons of lemons at average per carton costs of $7.51 and $7.12, respectively. The increase in average per carton cost is primarily due to costs of labor and benefits, cardboard cartons, fruit treatments and packaging and shipping supplies from inflation and supply chain issues. Additionally, in the second quarter of fiscal years 2022 and 2021, packing costs included $0.6 million and $0.8 million of shipping costs, respectively.</w:t>
      </w:r>
    </w:p>
    <w:p>
      <w:pPr>
        <w:spacing w:after="0" w:line="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Harvest costs in the second quarter of fiscal year 2022 were similar to the same period in fiscal year 2021.</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the second quarter of fiscal year 2022 was primarily due to farm management decisions based on weather, harvest timing and crop conditions and inflation and supply chain issues.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is referred to as third-party grower and supplier costs. The decrease in the second quarter of fiscal year 2022 was primarily due to lower prices, partially offset by increased volume of third-party grower fruit sold, compared to the same period of fiscal year 2021. Of the 1,552,000 and 1,528,000 cartons of lemons packed and sold during the second quarter of fiscal years 2022 and 2021, 795,000 (51%) and 758,000 (50%) were procured from third-party growers at average per carton prices of $10.13 and $12.92, respectively. Additionally, in the second quarter of fiscal years 2022 and 2021 we incurred $1.5 million and $0.5 million, respectively, of costs for purchased, packed fruit for resale.</w:t>
      </w:r>
    </w:p>
    <w:p>
      <w:pPr>
        <w:spacing w:after="0" w:line="2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Depreciation and amortization expense for the second quarter of fiscal years 2022 and 2021 was $2.2 million and $2.3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expenses were $1.1 million in the second quarter of fiscal years 2022 and 2021.</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$5.1 million in the second quarter of fiscal year 2022 compared to $5.2 million in the second quarter of fiscal year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in the second quarter of fiscal year 2022 was comprised primarily of $(0.7) million of net interest expense, partially offset by $0.3 million of equity in earnings of investments. Other income in the second quarter of fiscal year 2021 was comprised primarily of $0.6 million of equity in earnings of investments, partially offset by $(0.6) million of net interest expense.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estimated income tax provision of $0.7 million and $1.0 million in the second quarter of fiscal years 2022 and 2021 on pre-tax income of $2.3 million and $2.5 million, respectively. The tax provision recorded for the second quarter of fiscal year 2022 differs from the U.S. federal statutory tax rate of 21.0% due primarily to foreign jurisdictions which are taxed at different rates, state taxes, tax impact of stock-based compensation, and nondeductible tax items. Our projected annual effective blended tax rate for fiscal year 2022, excluding discrete items, is approximately 32.5%.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represents 10% and 49% of the net (income) loss of PDA and Trapani Fresh,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2022 Compared to the Six Months Ended April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the six months ended April 30, 2022 were $86.0 million, compared to $83.4 million for the six months ended April 30, 2021. The 3% increase of $2.6 million was primarily the result of increased lemons, avocados and oranges agribusiness revenues, partially offset by decreased specialty citrus and other crops agribusiness revenues, as detailed below ($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Agribusiness Revenues for the Six Months Ended April 30,</w:t>
            </w:r>
          </w:p>
        </w:tc>
        <w:tc>
          <w:tcPr>
            <w:tcW w:w="116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tcBorders>
              <w:bottom w:val="single" w:sz="8" w:color="auto"/>
            </w:tcBorders>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403</w:t>
            </w:r>
          </w:p>
        </w:tc>
        <w:tc>
          <w:tcPr>
            <w:tcW w:w="116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1,635</w:t>
            </w:r>
          </w:p>
        </w:tc>
        <w:tc>
          <w:tcPr>
            <w:tcW w:w="11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995</w:t>
            </w:r>
          </w:p>
        </w:tc>
        <w:tc>
          <w:tcPr>
            <w:tcW w:w="1160" w:type="dxa"/>
            <w:vAlign w:val="bottom"/>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(707)</w:t>
            </w:r>
          </w:p>
        </w:tc>
        <w:tc>
          <w:tcPr>
            <w:tcW w:w="11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2,326</w:t>
            </w:r>
          </w:p>
        </w:tc>
        <w:tc>
          <w:tcPr>
            <w:tcW w:w="1160" w:type="dxa"/>
            <w:vAlign w:val="bottom"/>
            <w:tcBorders>
              <w:bottom w:val="single" w:sz="8" w:color="auto"/>
            </w:tcBorders>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9"/>
              </w:rPr>
              <w:t>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left="340" w:hanging="332"/>
        <w:spacing w:after="0" w:line="25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increase in the first six months of fiscal year 2022 was primarily the result of increased shipping and handling, partially offset by decreased fresh lemon sales, compared to the same period of fiscal year 2021. During the first six months of fiscal years 2022 and 2021, fresh lemon sales were $52.0 million and $53.7 million, in aggregate, on 2,759,000 and 2,847,000 cartons of lemons sold at average per carton prices of $18.85 and $18.85, respectively. Lemon revenues in the first six months of fiscal years 2022 and 2021 included shipping and handling of $12.7 million and $11.0 million, brokered fruit and other lemon sales of $6.5 million and $5.8 million and lemon by-product sales of $2.1 million and $2.5 million, respectively.</w:t>
      </w:r>
    </w:p>
    <w:p>
      <w:pPr>
        <w:spacing w:after="0" w:line="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increase in the first six months of fiscal year 2022 was primarily the result of higher prices and increased volume of avocados sold, compared to the same period of fiscal year 2021. During the first six months of fiscal years 2022 and 2021, 2,242,000 and 2,142,000 pounds of avocados were sold at an average per pound price of $1.94 and $1.26, respectively.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in the first six months of fiscal year 2022 was primarily the result of increased volume and higher prices of oranges sold, compared to the same period of fiscal year 2021. In the first six months of fiscal years 2022 and 2021, we sold 381,000 and 273,000 40-pound carton equivalents of oranges at an average per carton price of $9.16 and $9.14, respectively.</w:t>
      </w:r>
    </w:p>
    <w:p>
      <w:pPr>
        <w:spacing w:after="0" w:line="1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decrease in the first six months of fiscal year 2022 was primarily the result of lower prices, partially offset by increased volume of specialty citrus sold, compared to the same period of fiscal year 2021. During the first six months of fiscal years 2022 and 2021, we sold 305,000 and 243,000 40-pound carton equivalents of specialty citrus at an average per carton price of $7.45 and $12.44,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revenue in the first six months of fiscal years 2022 and 2021 was $2.6 million and $2.3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costs and expenses in the first six months of fiscal year 2022 were $93.0 million, compared to $86.7 million in the same period of fiscal year 2021. The 7% increase of $6.3 million was primarily attributable to increases in our packing costs, growing costs and third-party grower and supplier costs. Costs and expenses associated with our agribusiness division include packing costs, harvest costs, growing costs, costs related to the fruit we procure and sell for third-party growers and suppliers and depreciation and amortization expense, as detailed below ($ in thousands):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tcBorders>
              <w:bottom w:val="single" w:sz="8" w:color="auto"/>
            </w:tcBorders>
            <w:gridSpan w:val="9"/>
          </w:tcPr>
          <w:p>
            <w:pPr>
              <w:ind w:left="82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Six Months Ended April 30,</w:t>
            </w:r>
          </w:p>
        </w:tc>
      </w:tr>
      <w:tr>
        <w:trPr>
          <w:trHeight w:val="223"/>
        </w:trPr>
        <w:tc>
          <w:tcPr>
            <w:tcW w:w="4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Borders>
              <w:bottom w:val="single" w:sz="8" w:color="auto"/>
            </w:tcBorders>
          </w:tcPr>
          <w:p>
            <w:pPr>
              <w:spacing w:after="0"/>
              <w:rPr>
                <w:sz w:val="19"/>
                <w:szCs w:val="19"/>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1,527</w:t>
            </w:r>
          </w:p>
        </w:tc>
        <w:tc>
          <w:tcPr>
            <w:tcW w:w="12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369</w:t>
            </w:r>
          </w:p>
        </w:tc>
        <w:tc>
          <w:tcPr>
            <w:tcW w:w="12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1,450</w:t>
            </w:r>
          </w:p>
        </w:tc>
        <w:tc>
          <w:tcPr>
            <w:tcW w:w="12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2,242</w:t>
            </w:r>
          </w:p>
        </w:tc>
        <w:tc>
          <w:tcPr>
            <w:tcW w:w="12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tcBorders>
              <w:bottom w:val="single" w:sz="8" w:color="auto"/>
            </w:tcBorders>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(3)%</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5,463</w:t>
            </w:r>
          </w:p>
        </w:tc>
        <w:tc>
          <w:tcPr>
            <w:tcW w:w="12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7%</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5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In the first six months of fiscal years 2022 and 2021, lemon packing costs were $22.2 million and $20.4 million, respectively. During the first six months of fiscal years 2022 and 2021, we packed and sold 2,759,000 and 2,847,000 cartons of lemons at average per carton costs of $8.05 and $7.17, respectively. The increase in average per carton cost is primarily due to costs of labor and benefits, cardboard cartons, fruit treatments and packaging and shipping supplies from inflation and supply chain issues. Additionally, in the first six months of fiscal years 2022 and 2021, packing costs included $1.3 million and $1.6 million of shipping costs, respectively.</w:t>
      </w:r>
    </w:p>
    <w:p>
      <w:pPr>
        <w:spacing w:after="0" w:line="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Harvest costs in the first six months of fiscal year 2022 were similar to the same period in fiscal year 2021.</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the first six months of fiscal year 2022 was primarily due to farm management decisions based on weather, harvest timing and crop conditions and inflation and supply chain issues.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is referred to as third-party grower and supplier costs. The increase in the first six months of fiscal year 2022 was partially due to increased volume of third-party grower fruit sold, compared to the same period of fiscal year 2021. Of the 2,759,000 and 2,847,000 cartons of lemons packed and sold during the first six months of fiscal years 2022 and 2021, 1,488,000 (54%) and 1,394,000 (49%) were procured from third-party growers at average per carton prices of $13.00 and $13.70, respectively. Additionally, in the first six months of fiscal years 2022 and 2021, we incurred $4.5 million and $2.5 million, respectively, of costs for purchased, packed fruit for resale.</w:t>
      </w:r>
    </w:p>
    <w:p>
      <w:pPr>
        <w:spacing w:after="0" w:line="2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Depreciation and amortization expense for the first six months of fiscal years 2022 and 2021 was $4.4 million and $4.5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expenses were $2.2 million in the first six months of fiscal years 2022 and 2021.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$11.7 million in the first six months of fiscal year 2022 compared to $11.1 million in the first six months of fiscal year 2021. The 6% increase of $0.6 million primarily consisted of the following:</w:t>
      </w:r>
    </w:p>
    <w:p>
      <w:pPr>
        <w:spacing w:after="0" w:line="189" w:lineRule="exact"/>
        <w:rPr>
          <w:sz w:val="20"/>
          <w:szCs w:val="20"/>
          <w:color w:val="auto"/>
        </w:rPr>
      </w:pPr>
    </w:p>
    <w:p>
      <w:pPr>
        <w:ind w:left="340" w:hanging="332"/>
        <w:spacing w:after="0" w:line="28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 officer severance for the first six months of fiscal year 2022 was $0.7 million compared to zero in the same period of fiscal year 2021.</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for the first six months of fiscal year 2022 were $0.2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expenses, including certain corporate overhead expenses, for the first six months of fiscal year 2022 were $0.4 million lower than the same period of fiscal year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 the first six months of fiscal year 2022 was comprised primarily of $0.4 million of equity in earnings of investments, partially offset by $(0.4) million of net interest expense. Other income in the first six months of fiscal year 2021 was comprised primarily of $1.0 million of equity in earnings of investments, partially offset by $(0.4) million of net interest expense.</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estimated income tax benefit of $1.9 million and $0.2 million in the first six months of fiscal years 2022 and 2021 on pre-tax loss of $7.0 million and $2.6 million, respectively. The tax benefit recorded for the first six months of fiscal year 2022 differs from the U.S. federal statutory tax rate of 21.0% due primarily to foreign jurisdictions which are taxed at different rates, state taxes, tax impact of stock-based compensation, and nondeductible tax items. Our projected annual effective blended tax rate for fiscal year 2022, excluding discrete items, is approximately 32.5%.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represents 10% and 49% of the net (income) loss of PDA and Trapani Fresh,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18 - Segment Information of the notes to consolidated financial statements included in this Quarterly Report on Form 10-Q for additional information regarding our operating segments.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2022 Compared to the Three Months Ended April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April 30, 2022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46,750</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35,412</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41,681</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April 30,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45,132</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45,132</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28,629</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34,157</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40,196</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Lemons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and brokered fruit and other lemon revenue such as purchased, packed fruit for resale. For the second quarter of fiscal years 2022 and 2021, our fresh lemons segment total net revenues were $31.0 million and $32.6 million, respectively. The 5% decrease of $1.6 million was primarily due to a net decrease in fresh lemon sales of $1.4 million.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and costs of lemons we procure from third-party growers and suppliers. For the second quarter of fiscal years 2022 and 2021, our fresh lemons segment costs and expenses were $27.2 million and $28.6 million, respectively. The 5% decrease of $1.4 million primarily consisted of the following:</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4" w:name="page35"/>
    <w:bookmarkEnd w:id="34"/>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second quarter of fiscal year 2022 were $0.3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second quarter of fiscal year 2022 were $0.2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for the second quarter of fiscal year 2022 were $0.8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for the second quarter of fiscal year 2022 were $0.2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for the second quarter of fiscal year 2022 were $0.1 million higher than the same period of fiscal year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Lemon Packing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intersegment packing revenue and shipping and handling revenue. For the second quarter of fiscal years 2022 and 2021, our lemon packing segment total net revenues were $16.1 million and $15.4 million, respectively. The 5% increase of $0.7 million was primarily due to increased price per carton of lemons packed.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second quarter of fiscal years 2022 and 2021, our lemon packing costs and expenses were $11.7 million and $10.9 million, respectively. The 7% increase of $0.8 million was primarily due to increased costs of labor and benefits, cardboard cartons, fruit treatments and packaging and shipping supplies from inflation and supply chain issues.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fiscal years 2022 and 2021, lemon packing segment operating income per carton sold was $2.87 and $2.95,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years 2022 and 2021, the lemon packing segment included $9.4 million and $9.3 million, respectively, of intersegment revenues that were charged to the fresh lemons segment to pack lemons for sale. Such intersegment revenues and expenses are eliminated in our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Avocados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fiscal year 2022 and 2021, our avocados segment had revenues of $3.6 million and $2.7 million,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For the second quarter of fiscal years 2022 and 2021, our avocados segment costs and expenses were $2.1 million and $1.4 million, respectively. The increase of $0.6 million primarily consisted of the following:</w:t>
      </w:r>
    </w:p>
    <w:p>
      <w:pPr>
        <w:spacing w:after="0" w:line="189"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second quarter of fiscal year 2022 were $0.1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second quarter of fiscal year 2022 were $0.5 million higher than the same period of fiscal year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fiscal years 2022 and 2021, our other agribusiness segment total net revenues were $4.1 million and $2.6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57% increase of $1.5 million primarily consisted of the following:</w:t>
      </w:r>
    </w:p>
    <w:p>
      <w:pPr>
        <w:spacing w:after="0" w:line="20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revenues for the second quarter of fiscal year 2022 were $1.2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revenues for the second quarter of fiscal year 2022 were $0.3 million higher compared to the same period of fiscal year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and purchased fruit costs. For the second quarter of fiscal years 2022 and 2021, our other agribusiness costs and expenses were $3.8 million and $2.5 million, respectively. The 53% increase of $1.3 million primarily consisted of the following:</w:t>
      </w:r>
    </w:p>
    <w:p>
      <w:pPr>
        <w:spacing w:after="0" w:line="20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second quarter of fiscal year 2022 were $0.2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second quarter of fiscal year 2022 were $1.0 million higher than the same period of fiscal year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for the second quarter of fiscal year 2022 were $0.1 million higher than the same period of fiscal year 2021.</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for the second quarter of fiscal year 2022 were $0.1 million lower than the same period of fiscal year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had revenues of $1.4 million and $1.1 million for the second quarter of fiscal years 2022 and 2021,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in our corporate and other operations for the second quarter of fiscal years 2022 and 2021 were approximately $6.3 million and $6.0 million, respectively, and include selling, general and administrative costs and expenses not allocated to the operating segments. Depreciation and amortization expenses for the second quarter of fiscal years 2022 and 2021 were similar at $0.3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2022 Compared to the Six Months Ended April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six months ended April 30, 2022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86,024</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83,452</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86,024</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6,438</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74,471</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88,033</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six months ended April 30,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61,900</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83,407</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83,407</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68,883</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81,610</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(11,002)</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Lemons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and other lemon revenue such as purchased, packed fruit for resale. For the first six months of fiscal years 2022 and 2021, our fresh lemons segment total net revenues were $60.6 million and $61.9 million, respectively. The 2% decrease of $1.3 million was primarily due to a decrease in fresh lemon sales of $1.7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and costs of lemons we procure from third-party growers and suppliers. For the first six months of fiscal years 2022 and 2021, our fresh lemons segment costs and expenses were $59.4 million and $58.1 million, respectively. The 2% increase of $1.2 million primarily consisted of the following:</w:t>
      </w:r>
    </w:p>
    <w:p>
      <w:pPr>
        <w:spacing w:after="0" w:line="203"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six months of fiscal year 2022 were $0.4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six months of fiscal year 2022 were $0.4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for the first six months of fiscal year 2022 were $1.5 million higher than the same period of fiscal year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for the first six months of fiscal year 2022 were $0.3 million lower than the same period of fiscal year 2021.</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Lemon Packing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intersegment packing revenue and shipping and handling revenue. For the first six months of fiscal years 2022 and 2021, our lemon packing segment total net revenues were $28.7 million and $27.0 million, respectively. The 6% increase of $1.7 million was primarily due to increased price per carton of lemons packed.</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six months of fiscal years 2022 and 2021, our lemon packing costs and expenses were $22.2 million and $20.4 million, respectively. The 9% increase of $1.8 million was primarily due to increased costs of labor and benefits, cardboard cartons, fruit treatments and packaging and shipping supplies from inflation and supply chain issues.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six months of fiscal years 2022 and 2021, lemon packing segment operating income per carton sold was $2.34 and $2.30,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six months of fiscal years 2022 and 2021, the lemon packing segment included $16.0 million of intersegment revenues that were charged to the fresh lemons segment to pack lemons for sale. Such intersegment revenues and expenses are eliminated in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Avocados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six months of fiscal years 2022 and 2021, our avocados segment had revenues of $4.3 million and $2.7 million,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For the first six months of fiscal years 2022 and 2021, our avocados segment costs and expenses were $2.4 million and $1.4 million, respectively. The increase of $1.0 million primarily consisted of the following:</w:t>
      </w:r>
    </w:p>
    <w:p>
      <w:pPr>
        <w:spacing w:after="0" w:line="189"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six months of fiscal year 2022 were $0.2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six months of fiscal year 2022 were $0.8 million higher than the same period of fiscal year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six months of fiscal years 2022 and 2021, our other agribusiness segment total net revenues were $5.8 million and $5.5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 increase of $0.3 million primarily consisted of the following:</w:t>
      </w:r>
    </w:p>
    <w:p>
      <w:pPr>
        <w:spacing w:after="0" w:line="207"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revenues for the first six months of fiscal year 2022 were $1.0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revenues for the first six months of fiscal year 2022 were $0.7 million lower compared to the same period of fiscal year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and purchased fruit costs. For the first six months of fiscal years 2022 and 2021, our other agribusiness costs and expenses were $6.4 million and $4.9 million, respectively. The 32% increase of $1.6 million primarily consisted of the following:</w:t>
      </w:r>
    </w:p>
    <w:p>
      <w:pPr>
        <w:spacing w:after="0" w:line="203"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six months of fiscal year 2022 were $0.2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six months of fiscal year 2022 were $1.0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for the first six months of fiscal year 2022 were $0.7 million higher than the same period of fiscal year 2021.</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for the first six months of fiscal year 2022 were $0.1 million lower than the same period of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had revenues of $2.6 million and $2.3 million for the first six months of fiscal years 2022 and 2021,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in our corporate and other operations for the first six months of fiscal years 2022 and 2021 were approximately $13.6 million and $12.7 million, respectively, and include selling, general and administrative costs and expenses not allocated to the operating segments. Depreciation and amortization expenses for the first six months of fiscal years 2022 and 2021 were similar at $0.6 million.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Trailing Twelve Months Ended April 30, 2022 and 2021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unaudited results of operations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6"/>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Trailing Twelve Months Ended</w:t>
            </w:r>
          </w:p>
        </w:tc>
      </w:tr>
      <w:tr>
        <w:trPr>
          <w:trHeight w:val="241"/>
        </w:trPr>
        <w:tc>
          <w:tcPr>
            <w:tcW w:w="8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r>
      <w:tr>
        <w:trPr>
          <w:trHeight w:val="225"/>
        </w:trPr>
        <w:tc>
          <w:tcPr>
            <w:tcW w:w="8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162,141</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166,739</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152,169</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177,704</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Limoneira Company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27" w:lineRule="exact"/>
        <w:rPr>
          <w:sz w:val="20"/>
          <w:szCs w:val="20"/>
          <w:color w:val="auto"/>
        </w:rPr>
      </w:pPr>
    </w:p>
    <w:p>
      <w:pPr>
        <w:ind w:left="34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$1.9 million in the twelve months ended April 30, 2022 compared to the twelve months ended April 30, 2021 primarily due to increased agribusiness revenues, particularly increased lemon sales.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increased $1.0 million in the twelve months ended April 30, 2022 compared to the twelve months ended April 30, 2021, primarily due to increases in our agribusiness costs, partially offset by decreases in selling, general and administrative expenses. The increase in agribusiness costs is primarily attributable to increased costs of growing and third-party grower and supplier fruit, partially offset by decreased packing and harvest costs. The decrease in selling, general and administrative expenses is primarily attributable to decreased corporate expenses associated with our strategic initiatives.</w:t>
      </w:r>
    </w:p>
    <w:p>
      <w:pPr>
        <w:spacing w:after="0" w:line="2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income increased $0.8 million in the twelve months ended April 30, 2022 compared to the twelve months ended April 30, 2021 primarily due to increased equity in earnings of investments.</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decreased $0.1 million in the twelve months ended April 30, 2022 compared to the twelve months ended April 30, 2021 primarily due to the decrease in pre-tax loss of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purchase obligations, long-term fixed rate and variable rate debt and related interest payments, operating and finance leases and our noncontributory, defined benefit pension plan (“the Plan”). In fiscal year 2021, we decided to terminate the Plan effective December 31, 2021. The liabilities disclosed as of April 30, 2022, reflect an estimate of the additional cost to pay lump sums to a portion of the active and vested terminated participants and purchase annuities for all remaining participants from an insurance company. See Note 10 - Long-Term Debt, Note 11 - Leases and Note 15 - Retirement Plans to the consolidated financial statements in this Quarterly Report on Form 10-Q for amounts outstanding as of April 30, 2022, related to debt, leases and the Plan. Purchase obligations consist of contracts primarily related to packing supplies and pollination services, the majority of which are due in the next three years.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April 30, 2022, net cash used in operating activities was $1.2 million, compared to net cash provided by operating activities of $4.6 million for the six months ended April 30, 2021. The significant components of our cash flows used in operating activities were as follows:</w:t>
      </w:r>
    </w:p>
    <w:p>
      <w:pPr>
        <w:spacing w:after="0" w:line="162" w:lineRule="exact"/>
        <w:rPr>
          <w:sz w:val="20"/>
          <w:szCs w:val="20"/>
          <w:color w:val="auto"/>
        </w:rPr>
      </w:pPr>
    </w:p>
    <w:p>
      <w:pPr>
        <w:jc w:val="both"/>
        <w:ind w:left="34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six months ended April 30, 2022 and 2021 was $5.0 million and $2.4 million, respectively. The components of net loss in the six months ended April 30, 2022, compared to the net loss in the same period in fiscal year 2021 consist of an increase in operating loss of $3.7 million, a decrease in total other income of $0.6 million and an increase in income tax benefit of $1.7 million.</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reconcile net loss to net cash (used in) provided by operating activities: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$5.0 million and $6.0 million in the six months ended April 30, 2022 and 2021, respectively, primarily due to depreciation and amortization, stock compensation expense and deferred income taxes.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(used) provided $(1.1) million and $1.1 million of operating cash in the six months ended April 30, 2022 and 2021, respectively, primarily due to accounts receivables/other from related parties, cultural costs, prepaid expenses and other current assets and accrued liabilities and payables to related 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April 30, 2022 and 2021, net cash used in investing activities was $0.4 million and $5.5 million, respectively.</w:t>
      </w:r>
    </w:p>
    <w:p>
      <w:pPr>
        <w:spacing w:after="0" w:line="225" w:lineRule="exact"/>
        <w:rPr>
          <w:sz w:val="20"/>
          <w:szCs w:val="20"/>
          <w:color w:val="auto"/>
        </w:rPr>
      </w:pPr>
    </w:p>
    <w:p>
      <w:pPr>
        <w:ind w:left="340" w:hanging="332"/>
        <w:spacing w:after="0" w:line="281"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$4.1 million in the six months ended April 30, 2022, comprised of $3.9 million for property, plant and equipment primarily related to orchard development and $0.2 million for real estate development projects.</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$5.4 million in the six months ended April 30, 2021, comprised of $5.2 million for property, plant and equipment primarily related to orchard and vineyard development and $0.2 million for real estate 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April 30, 2022 and 2021, net cash provided by financing activities was $2.3 million and $1.9 million, respectively.</w:t>
      </w:r>
    </w:p>
    <w:p>
      <w:pPr>
        <w:spacing w:after="0" w:line="225" w:lineRule="exact"/>
        <w:rPr>
          <w:sz w:val="20"/>
          <w:szCs w:val="20"/>
          <w:color w:val="auto"/>
        </w:rPr>
      </w:pPr>
    </w:p>
    <w:p>
      <w:pPr>
        <w:jc w:val="both"/>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$2.3 million of cash provided by financing activities during the six months ended April 30, 2022 was primarily comprised of net borrowings of long-term debt in the amount of $6.5 million, partially offset by common and preferred dividends, in aggregate, of $2.9 million and the exchange of common stock of $1.1 million.</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 million of cash provided by financing activities during the six months ended April 30, 2021 was primarily comprised of net borrowings of long-term debt in the amount of $5.5 million, partially offset by common and preferred dividends, in aggregate, of $2.9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Affecting Liquidity and Capital Resources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Long-Term Debt</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and our Farm Credit West Credit Facility, which includes the MLA, Supplements and Revolving Equity Line of Credit (the "RELOC"). In addition, we have the Farm Credit West term loans, Banco de Chile term loans and COVID-19 loans, and a note payable to the sellers of a land parcel. Additional information regarding these loans and the note payable can be found in Note 10 - Long-Term Debt to the consolidated financial statements included in this Quarterly Report on Form 10-Q.</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we entered into the MLA with the Lender dated June 1, 2021, together with the Supplements and a Fixed Interest Rate Agreement. The MLA governs the terms of the Supplements. The MLA amends and restates the previous Master Loan Agreement between us and the Lender, dated June 19, 2017 and extends the principal repayment to July 1,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 million comprised of $75.0 million under the Revolving Credit Supplement, $40.0 million under the Non-Revolving Credit Supplement and $15.0 million under the RELOC. As of April 30, 2022, our outstanding borrowings under the Farm Credit West Credit Facility and RELOC were $119.1 million and we had $10.9 million of availability.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on an annual basis. In December 2021, the Lender modified the covenant to defer measurement at October 31, 2021 and revert to a debt service coverage ratio of 1.25:1.0 measured as of October 31, 2022. We expect to be in compliance with these covenants in fiscal year 2022.</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years 2022 and 2021, Farm Credit West declared an annual patronage dividend of $1.6 million and $1.2 million, respectively, which we received in the second quarter of fiscal years 2022 and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year 2021, our Company's Board of Directors approved a share repurchase program authorizing us to repurchase up to $10.0 million of our outstanding shares of common stock through September 2022. No shares have been repurchased under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holders of the Series B Convertible Preferred Stock (the “Series B Stock”) and the Series B-2 Preferred Stock (the “Series B-2 Preferred Stock”) are entitled to receive cumulative cash dividends. Such preferred dividends paid were $0.3 million in the six months ended April 30, 2022 and 2021,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dividends declared in the six months ended April 30, 2022 and 2021 were $0.15 per common share and such dividends paid were $2.7 million in the six months ended April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7 – Real Estate Development and Note 8 – Equity in Investments of the notes to consolidated financial statements included in our fiscal year 2021 Annual Report on Form 10-K, we have investments in joint ventures and partnerships that are accounted for using the equity method of accounting.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six months ended April 30, 2022, our critical accounting policies and estimates have not changed since the filing of our Annual Report on Form 10-K as of October 31, 2021. Please refer to that filing for a description of our critical accounting policies and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2021 as filed with the SEC on January 10,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April 30, 2022, we evaluated, under the supervision and with the participation of our management,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material changes in our internal control over financial reporting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this Quarterly Report on Form 10-Q or, to our knowledge, in other factors that have materially affected, or are reasonably likely to materially affect, our internal control over financial reporting.</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16 - Commitments and Contingencies of the notes to the consolidated financial statements in this Quarterly Report on Form 10-Q for the quarter ended April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changes in the disclosures discussed in the section entitled “Risk Factors” in Part I, Item 1A of our Annual Report on Form 10-K for the fiscal year ended October 31, 2021, as filed with the SEC on January 10,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fiscal year 2022, we purchased shares of our common stock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22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0" w:type="dxa"/>
            <w:vAlign w:val="bottom"/>
          </w:tcPr>
          <w:p>
            <w:pPr>
              <w:spacing w:after="0"/>
              <w:rPr>
                <w:sz w:val="16"/>
                <w:szCs w:val="16"/>
                <w:color w:val="auto"/>
              </w:rPr>
            </w:pPr>
          </w:p>
        </w:tc>
        <w:tc>
          <w:tcPr>
            <w:tcW w:w="1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8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vMerge w:val="continue"/>
          </w:tcPr>
          <w:p>
            <w:pPr>
              <w:spacing w:after="0"/>
              <w:rPr>
                <w:sz w:val="21"/>
                <w:szCs w:val="21"/>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Purchased(1)</w:t>
            </w:r>
          </w:p>
        </w:tc>
        <w:tc>
          <w:tcPr>
            <w:tcW w:w="1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Price Paid per Share</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Programs(2)</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Programs(2)</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2022 - March 31, 2022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12,718</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8"/>
        <w:spacing w:after="0" w:line="282"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acquired from a retired employee in accordance with our stock-based compensation plan as a result of share withholdings to pay income tax related to the vesting and distribution of a restricted stock award.</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2021, our Company's Board of Directors approved a share repurchase program authorizing us to repurchase up to $10.0 million of our outstanding shares of common stock through September 2022. No shares have been repurchased under this program. As of April 30, 2022, the remaining authorization under this plan is $10.0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8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80" w:type="dxa"/>
            <w:vAlign w:val="bottom"/>
            <w:tcBorders>
              <w:bottom w:val="single" w:sz="8" w:color="auto"/>
            </w:tcBorders>
            <w:gridSpan w:val="3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980" w:type="dxa"/>
            <w:vAlign w:val="bottom"/>
            <w:gridSpan w:val="34"/>
          </w:tcPr>
          <w:p>
            <w:pPr>
              <w:spacing w:after="0" w:line="18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Company’s Registration Statement on Form 10, and amendments thereto, declared effective April 13, 2010 (File No. 000-53885))</w:t>
              </w:r>
            </w:hyperlink>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Merger of Limoneira Company and The Samuel Edwards Associates into Limoneira Company, dated October 31,</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7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1990 (Incorporated by reference to exhibit 3.2 to the Company’s Registration Statement on Form 10, and amendments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declared effective April 13, 2010 (File No. 000-53885))</w:t>
              </w:r>
            </w:hyperlink>
          </w:p>
        </w:tc>
        <w:tc>
          <w:tcPr>
            <w:tcW w:w="552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Certificate of Merger of McKevett Corporation into Limoneira Company dated December 31, 1994 (Incorporated by reference to</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9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exhibit 3.3 to the Company’s Registration Statement on Form 10, and amendments thereto, declared effective April 13, 2010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5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No. 000-53885))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Agreement of Merger Between Ronald Michaelis Ranches, Inc. and Limoneira Company, dated June 24, 1997 (Incorporated by</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97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reference to exhibit 3.6 to the Company’s Registration Statement on Form 10, and amendments thereto, declared effective April 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20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2010 (File No. 000-53885))</w:t>
              </w:r>
            </w:hyperlink>
          </w:p>
        </w:tc>
        <w:tc>
          <w:tcPr>
            <w:tcW w:w="76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98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exhibit 3.7 to the Company’s Registration Statement on Form 10, and amendments thereto, declared effective April 13, 2010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5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No. 000-53885))</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Amendment of Certificate of Incorporation of Limoneira Company, dated March 24, 2010 (Incorporated by reference</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982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to exhibit 3.9 to the Company’s Registration Statement on Form 10, and amendments thereto, declared effective April 13, 2010 (File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880" w:type="dxa"/>
            <w:vAlign w:val="bottom"/>
            <w:gridSpan w:val="29"/>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No. 000-53885))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9980" w:type="dxa"/>
            <w:vAlign w:val="bottom"/>
            <w:gridSpan w:val="34"/>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Certificate of Amendment of Certificate of Incorporation of Limoneira Company, dated March 29, 2017 (Incorporated by reference</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764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to exhibit 3.1 to the Company’s Current Report on Form 8-K, filed March 31, 2017 (File No. 001-34755))</w:t>
              </w:r>
            </w:hyperlink>
          </w:p>
        </w:tc>
        <w:tc>
          <w:tcPr>
            <w:tcW w:w="216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9980" w:type="dxa"/>
            <w:vAlign w:val="bottom"/>
            <w:gridSpan w:val="34"/>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Amended and Restated Bylaws of Limoneira Company (Incorporated by reference to exhibit 3.1 to the Company's Current Report</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43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on Form 8-K, filed October 27, 2021 (File No. 001-34755))</w:t>
              </w:r>
            </w:hyperlink>
          </w:p>
        </w:tc>
        <w:tc>
          <w:tcPr>
            <w:tcW w:w="53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 xml:space="preserve">Specimen Certificate representing shares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(Incorporated by reference to exhibit 4.1 to</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the Company’s Registration Statement on Form 10, and amendments thereto, declared effective April 13, 2010 (File No. 000-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20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53885)</w:t>
              </w:r>
              <w:r>
                <w:rPr>
                  <w:rFonts w:ascii="Times New Roman" w:cs="Times New Roman" w:eastAsia="Times New Roman" w:hAnsi="Times New Roman"/>
                  <w:sz w:val="18"/>
                  <w:szCs w:val="18"/>
                  <w:u w:val="single" w:color="auto"/>
                  <w:color w:val="0000FF"/>
                </w:rPr>
                <w:t>)</w:t>
              </w:r>
            </w:hyperlink>
          </w:p>
        </w:tc>
        <w:tc>
          <w:tcPr>
            <w:tcW w:w="8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Rights  Agreement  dated  December  20,  2006  between  Limoneira  Company  and  The  Bank  of  New  York,  as  Rights</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7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Agent (Incorporated by reference to exhibit 4.2 to the Company’s Registration Statement on Form 10, and amendments thereto,</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0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declared effective April 13, 2010 (File No. 000-53885))</w:t>
              </w:r>
            </w:hyperlink>
          </w:p>
        </w:tc>
        <w:tc>
          <w:tcPr>
            <w:tcW w:w="592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 xml:space="preserve">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6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Company, dated May 21, 1997 (Incorporated by reference to exhibit 3.4 to the Company’s Registration Statement on Form 10, and</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680" w:type="dxa"/>
            <w:vAlign w:val="bottom"/>
            <w:gridSpan w:val="19"/>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amendments thereto, declared effective April 13, 2010 (File No. 000-53885))</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 xml:space="preserve">Amended 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97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Limoneira Company, dated May 21, 1997 (Incorporated by reference to exhibit 3.5 to the Company’s Registration Statement on</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658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Form 10, and amendments thereto, declared effective April 13, 2010 (File No. 000-53885))</w:t>
              </w:r>
            </w:hyperlink>
          </w:p>
        </w:tc>
        <w:tc>
          <w:tcPr>
            <w:tcW w:w="3160" w:type="dxa"/>
            <w:vAlign w:val="bottom"/>
            <w:tcBorders>
              <w:top w:val="single" w:sz="8" w:color="0000FF"/>
            </w:tcBorders>
            <w:gridSpan w:val="12"/>
          </w:tcPr>
          <w:p>
            <w:pPr>
              <w:spacing w:after="0"/>
              <w:rPr>
                <w:sz w:val="14"/>
                <w:szCs w:val="14"/>
                <w:color w:val="auto"/>
              </w:rPr>
            </w:pPr>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9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8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and amendments thereto, declared effective April 13, 2010 (File No. 000-53885))</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000" w:type="dxa"/>
            <w:vAlign w:val="bottom"/>
            <w:gridSpan w:val="1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spacing w:after="0"/>
              <w:rPr>
                <w:sz w:val="24"/>
                <w:szCs w:val="24"/>
                <w:color w:val="auto"/>
              </w:rPr>
            </w:pPr>
          </w:p>
        </w:tc>
        <w:tc>
          <w:tcPr>
            <w:tcW w:w="9980" w:type="dxa"/>
            <w:vAlign w:val="bottom"/>
            <w:gridSpan w:val="34"/>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 xml:space="preserve">Certificate of Designation, Preferences and Rights of 4%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B-2 of Limoneira</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99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Company, dated March 20, 2014 (Incorporated by reference to exhibit 3.1 to the Company’s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86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March 24, 2014 (File No. 001-34755))</w:t>
              </w:r>
            </w:hyperlink>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927" w:right="8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620" w:type="dxa"/>
            <w:vAlign w:val="bottom"/>
            <w:tcBorders>
              <w:bottom w:val="single" w:sz="8" w:color="auto"/>
            </w:tcBorders>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96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Exchange Act Rule 13a-14(a) and 15d-14(a)</w:t>
            </w:r>
          </w:p>
        </w:tc>
        <w:tc>
          <w:tcPr>
            <w:tcW w:w="0" w:type="dxa"/>
            <w:vAlign w:val="bottom"/>
          </w:tcPr>
          <w:p>
            <w:pPr>
              <w:spacing w:after="0"/>
              <w:rPr>
                <w:sz w:val="1"/>
                <w:szCs w:val="1"/>
                <w:color w:val="auto"/>
              </w:rPr>
            </w:pP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Exchange Act Rule 13a-14(a) and 15d-14(a)</w:t>
            </w:r>
          </w:p>
        </w:tc>
        <w:tc>
          <w:tcPr>
            <w:tcW w:w="40" w:type="dxa"/>
            <w:vAlign w:val="bottom"/>
            <w:tcBorders>
              <w:top w:val="single" w:sz="8" w:color="0000FF"/>
            </w:tcBorders>
          </w:tcPr>
          <w:p>
            <w:pPr>
              <w:spacing w:after="0"/>
              <w:rPr>
                <w:sz w:val="24"/>
                <w:szCs w:val="24"/>
                <w:color w:val="auto"/>
              </w:rPr>
            </w:pPr>
          </w:p>
        </w:tc>
        <w:tc>
          <w:tcPr>
            <w:tcW w:w="2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20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75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20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752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5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60" w:hanging="1134"/>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for the quarter ended April 30, 2022 has been formatted in Inline</w:t>
      </w: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or furnished herewith,</w:t>
      </w:r>
    </w:p>
    <w:p>
      <w:pPr>
        <w:spacing w:after="0" w:line="252" w:lineRule="exact"/>
        <w:rPr>
          <w:rFonts w:ascii="Times New Roman" w:cs="Times New Roman" w:eastAsia="Times New Roman" w:hAnsi="Times New Roman"/>
          <w:sz w:val="18"/>
          <w:szCs w:val="18"/>
          <w:color w:val="auto"/>
        </w:rPr>
      </w:pPr>
    </w:p>
    <w:p>
      <w:pPr>
        <w:jc w:val="both"/>
        <w:ind w:left="114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45" w:right="7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252" w:lineRule="exact"/>
        <w:rPr>
          <w:sz w:val="20"/>
          <w:szCs w:val="20"/>
          <w:color w:val="auto"/>
        </w:rPr>
      </w:pPr>
    </w:p>
    <w:p>
      <w:pPr>
        <w:ind w:left="20"/>
        <w:spacing w:after="0"/>
        <w:tabs>
          <w:tab w:leader="none" w:pos="5320" w:val="left"/>
          <w:tab w:leader="none" w:pos="5820" w:val="left"/>
        </w:tabs>
        <w:rPr>
          <w:sz w:val="20"/>
          <w:szCs w:val="20"/>
          <w:color w:val="auto"/>
        </w:rPr>
      </w:pPr>
      <w:r>
        <w:rPr>
          <w:rFonts w:ascii="Times New Roman" w:cs="Times New Roman" w:eastAsia="Times New Roman" w:hAnsi="Times New Roman"/>
          <w:sz w:val="18"/>
          <w:szCs w:val="18"/>
          <w:color w:val="auto"/>
        </w:rPr>
        <w:t>June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320" w:val="left"/>
          <w:tab w:leader="none" w:pos="5820" w:val="left"/>
        </w:tabs>
        <w:rPr>
          <w:sz w:val="20"/>
          <w:szCs w:val="20"/>
          <w:color w:val="auto"/>
        </w:rPr>
      </w:pPr>
      <w:r>
        <w:rPr>
          <w:rFonts w:ascii="Times New Roman" w:cs="Times New Roman" w:eastAsia="Times New Roman" w:hAnsi="Times New Roman"/>
          <w:sz w:val="18"/>
          <w:szCs w:val="18"/>
          <w:color w:val="auto"/>
        </w:rPr>
        <w:t>June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ind w:left="5840"/>
        <w:spacing w:after="0"/>
        <w:rPr>
          <w:sz w:val="20"/>
          <w:szCs w:val="20"/>
          <w:color w:val="auto"/>
        </w:rPr>
      </w:pPr>
      <w:r>
        <w:rPr>
          <w:rFonts w:ascii="Times New Roman" w:cs="Times New Roman" w:eastAsia="Times New Roman" w:hAnsi="Times New Roman"/>
          <w:sz w:val="18"/>
          <w:szCs w:val="18"/>
          <w:color w:val="auto"/>
        </w:rPr>
        <w:t>Treasurer and Corporate Secretary</w:t>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3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60" w:right="20" w:hanging="412"/>
        <w:spacing w:after="0" w:line="282" w:lineRule="auto"/>
        <w:tabs>
          <w:tab w:leader="none" w:pos="3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June 7, 2022</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57" w:lineRule="auto"/>
        <w:tabs>
          <w:tab w:leader="none" w:pos="8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20" w:hanging="412"/>
        <w:spacing w:after="0" w:line="260" w:lineRule="auto"/>
        <w:tabs>
          <w:tab w:leader="none" w:pos="3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June 7, 2022</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April 30, 2022 (the “Report”) of Limoneira Company (the “Registrant”), as filed with the Securities and Exchange Commission on the date hereof, I, Harold S. Edwards, hereby certify that:</w:t>
      </w:r>
    </w:p>
    <w:p>
      <w:pPr>
        <w:spacing w:after="0" w:line="40" w:lineRule="exact"/>
        <w:rPr>
          <w:sz w:val="20"/>
          <w:szCs w:val="20"/>
          <w:color w:val="auto"/>
        </w:rPr>
      </w:pPr>
    </w:p>
    <w:p>
      <w:pPr>
        <w:ind w:left="880" w:hanging="386"/>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June 7, 2022</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April 30, 2022 (the “Report”) of Limoneira Company (the “Registrant”), as filed with the Securities and Exchange Commission on the date hereof, I, Mark Palamountain, hereby certify that:</w:t>
      </w:r>
    </w:p>
    <w:p>
      <w:pPr>
        <w:spacing w:after="0" w:line="40" w:lineRule="exact"/>
        <w:rPr>
          <w:sz w:val="20"/>
          <w:szCs w:val="20"/>
          <w:color w:val="auto"/>
        </w:rPr>
      </w:pPr>
    </w:p>
    <w:p>
      <w:pPr>
        <w:ind w:left="880" w:hanging="386"/>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20"/>
        <w:spacing w:after="0"/>
        <w:tabs>
          <w:tab w:leader="none" w:pos="6140" w:val="left"/>
        </w:tabs>
        <w:rPr>
          <w:sz w:val="20"/>
          <w:szCs w:val="20"/>
          <w:color w:val="auto"/>
        </w:rPr>
      </w:pPr>
      <w:r>
        <w:rPr>
          <w:rFonts w:ascii="Times New Roman" w:cs="Times New Roman" w:eastAsia="Times New Roman" w:hAnsi="Times New Roman"/>
          <w:sz w:val="18"/>
          <w:szCs w:val="18"/>
          <w:color w:val="auto"/>
        </w:rPr>
        <w:t>June 7, 2022</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17"/>
    </w:lvl>
  </w:abstractNum>
  <w:abstractNum w:abstractNumId="9">
    <w:nsid w:val="2443A858"/>
    <w:multiLevelType w:val="hybridMultilevel"/>
    <w:lvl w:ilvl="0">
      <w:lvlJc w:val="left"/>
      <w:lvlText w:val="%1."/>
      <w:numFmt w:val="decimal"/>
      <w:start w:val="17"/>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lvl w:ilvl="1">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04"/>
    </w:lvl>
    <w:lvl w:ilvl="1">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60" Type="http://schemas.openxmlformats.org/officeDocument/2006/relationships/hyperlink" Target="http://www.sec.gov/Archives/edgar/data/1342423/000114420410007241/v173157_ex3-1.htm" TargetMode="External"/><Relationship Id="rId61" Type="http://schemas.openxmlformats.org/officeDocument/2006/relationships/hyperlink" Target="http://www.sec.gov/Archives/edgar/data/1342423/000114420410007241/v173157_ex3-2.htm" TargetMode="External"/><Relationship Id="rId62" Type="http://schemas.openxmlformats.org/officeDocument/2006/relationships/hyperlink" Target="http://www.sec.gov/Archives/edgar/data/1342423/000114420410007241/v173157_ex3-3.htm" TargetMode="External"/><Relationship Id="rId63" Type="http://schemas.openxmlformats.org/officeDocument/2006/relationships/hyperlink" Target="http://www.sec.gov/Archives/edgar/data/1342423/000114420410007241/v173157_ex3-6.htm" TargetMode="External"/><Relationship Id="rId64" Type="http://schemas.openxmlformats.org/officeDocument/2006/relationships/hyperlink" Target="http://www.sec.gov/Archives/edgar/data/1342423/000114420410007241/v173157_ex3-7.htm" TargetMode="External"/><Relationship Id="rId65" Type="http://schemas.openxmlformats.org/officeDocument/2006/relationships/hyperlink" Target="http://www.sec.gov/Archives/edgar/data/1342423/000114420410017415/v178900_ex3-9.htm" TargetMode="External"/><Relationship Id="rId66" Type="http://schemas.openxmlformats.org/officeDocument/2006/relationships/hyperlink" Target="http://www.sec.gov/Archives/edgar/data/1342423/000114420417018212/v463210_ex3-1.htm" TargetMode="External"/><Relationship Id="rId67" Type="http://schemas.openxmlformats.org/officeDocument/2006/relationships/hyperlink" Target="http://www.sec.gov/Archives/edgar/data/1342423/000110465921130485/tm2131208d1_ex3-1.htm" TargetMode="External"/><Relationship Id="rId68" Type="http://schemas.openxmlformats.org/officeDocument/2006/relationships/hyperlink" Target="http://www.sec.gov/Archives/edgar/data/1342423/000114420410007241/v173157_ex4-1.htm" TargetMode="External"/><Relationship Id="rId69" Type="http://schemas.openxmlformats.org/officeDocument/2006/relationships/hyperlink" Target="http://www.sec.gov/Archives/edgar/data/1342423/000114420410007241/v173157_ex4-2.htm" TargetMode="External"/><Relationship Id="rId70" Type="http://schemas.openxmlformats.org/officeDocument/2006/relationships/hyperlink" Target="http://www.sec.gov/Archives/edgar/data/1342423/000114420410007241/v173157_ex3-4.htm" TargetMode="External"/><Relationship Id="rId71" Type="http://schemas.openxmlformats.org/officeDocument/2006/relationships/hyperlink" Target="http://www.sec.gov/Archives/edgar/data/1342423/000114420410007241/v173157_ex3-5.htm" TargetMode="External"/><Relationship Id="rId72" Type="http://schemas.openxmlformats.org/officeDocument/2006/relationships/hyperlink" Target="http://www.sec.gov/Archives/edgar/data/1342423/000114420410007241/v173157_ex3-8.htm" TargetMode="External"/><Relationship Id="rId73"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2022-06-07T15:26:25Z</dcterms:created>
  <dcterms:modified xsi:type="dcterms:W3CDTF">2022-06-07T15:26:25Z</dcterms:modified>
</cp:coreProperties>
</file>