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ind w:left="46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90170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-127635</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-7620</wp:posOffset>
            </wp:positionV>
            <wp:extent cx="90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-311785</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34290</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92"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134620</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00"/>
        <w:spacing w:after="0"/>
        <w:tabs>
          <w:tab w:leader="none" w:pos="4900" w:val="left"/>
          <w:tab w:leader="none" w:pos="74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 (s)</w:t>
      </w:r>
      <w:r>
        <w:rPr>
          <w:sz w:val="20"/>
          <w:szCs w:val="20"/>
          <w:color w:val="auto"/>
        </w:rPr>
        <w:tab/>
      </w:r>
      <w:r>
        <w:rPr>
          <w:rFonts w:ascii="Arial" w:cs="Arial" w:eastAsia="Arial" w:hAnsi="Arial"/>
          <w:sz w:val="16"/>
          <w:szCs w:val="16"/>
          <w:color w:val="auto"/>
        </w:rPr>
        <w:t>Name of Each Exchange of Which Registered</w:t>
      </w:r>
    </w:p>
    <w:p>
      <w:pPr>
        <w:spacing w:after="0" w:line="63" w:lineRule="exact"/>
        <w:rPr>
          <w:sz w:val="24"/>
          <w:szCs w:val="24"/>
          <w:color w:val="auto"/>
        </w:rPr>
      </w:pPr>
    </w:p>
    <w:p>
      <w:pPr>
        <w:ind w:left="7240"/>
        <w:spacing w:after="0"/>
        <w:rPr>
          <w:sz w:val="20"/>
          <w:szCs w:val="20"/>
          <w:color w:val="auto"/>
        </w:rPr>
      </w:pPr>
      <w:r>
        <w:rPr>
          <w:rFonts w:ascii="Arial" w:cs="Arial" w:eastAsia="Arial" w:hAnsi="Arial"/>
          <w:sz w:val="17"/>
          <w:szCs w:val="17"/>
          <w:color w:val="auto"/>
        </w:rPr>
        <w:t>The NASDAQ Stock Market LLC (NASDAQ Global</w:t>
      </w:r>
    </w:p>
    <w:p>
      <w:pPr>
        <w:spacing w:after="0" w:line="35" w:lineRule="exact"/>
        <w:rPr>
          <w:sz w:val="24"/>
          <w:szCs w:val="24"/>
          <w:color w:val="auto"/>
        </w:rPr>
      </w:pPr>
    </w:p>
    <w:p>
      <w:pPr>
        <w:ind w:left="920"/>
        <w:spacing w:after="0"/>
        <w:tabs>
          <w:tab w:leader="none" w:pos="5360" w:val="left"/>
          <w:tab w:leader="none" w:pos="862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8"/>
          <w:szCs w:val="18"/>
          <w:color w:val="auto"/>
        </w:rPr>
        <w:t>LMNR</w:t>
      </w:r>
      <w:r>
        <w:rPr>
          <w:sz w:val="20"/>
          <w:szCs w:val="20"/>
          <w:color w:val="auto"/>
        </w:rPr>
        <w:tab/>
      </w:r>
      <w:r>
        <w:rPr>
          <w:rFonts w:ascii="Arial" w:cs="Arial" w:eastAsia="Arial" w:hAnsi="Arial"/>
          <w:sz w:val="16"/>
          <w:szCs w:val="16"/>
          <w:color w:val="auto"/>
        </w:rPr>
        <w:t>Select Market)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p>
      <w:pPr>
        <w:ind w:left="79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51" w:lineRule="exact"/>
        <w:rPr>
          <w:sz w:val="24"/>
          <w:szCs w:val="24"/>
          <w:color w:val="auto"/>
        </w:rPr>
      </w:pPr>
    </w:p>
    <w:p>
      <w:pPr>
        <w:ind w:left="40"/>
        <w:spacing w:after="0" w:line="207" w:lineRule="exact"/>
        <w:tabs>
          <w:tab w:leader="none" w:pos="360" w:val="left"/>
          <w:tab w:leader="none" w:pos="4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34" w:lineRule="exact"/>
        <w:rPr>
          <w:sz w:val="24"/>
          <w:szCs w:val="24"/>
          <w:color w:val="auto"/>
        </w:rPr>
      </w:pPr>
    </w:p>
    <w:p>
      <w:pPr>
        <w:ind w:left="40"/>
        <w:spacing w:after="0" w:line="207" w:lineRule="exact"/>
        <w:tabs>
          <w:tab w:leader="none" w:pos="360" w:val="left"/>
          <w:tab w:leader="none" w:pos="4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jc w:val="both"/>
        <w:ind w:firstLine="44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May 31, 2020, there were 17,857,707 shares outstanding of the registrant’s common stock.</w:t>
      </w:r>
    </w:p>
    <w:p>
      <w:pPr>
        <w:sectPr>
          <w:pgSz w:w="11900" w:h="16838" w:orient="portrait"/>
          <w:cols w:equalWidth="0" w:num="1">
            <w:col w:w="11240"/>
          </w:cols>
          <w:pgMar w:left="320" w:top="450" w:right="339" w:bottom="1108"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450" w:right="339" w:bottom="110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Balance Sheets – April 30, 2020 and October 31, 2019</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Statements of Operations – three and six months ended April 30, 2020 and 2019</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Statements of Comprehensive Loss – three and six months ended April 30, 2020 and 2019</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Consolidated Statements of Stockholders' Equity and Temporary Equity – three and six months ended April 30, 2020 and 2019</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176"/>
        </w:trPr>
        <w:tc>
          <w:tcPr>
            <w:tcW w:w="1010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 – six months ended April 30, 2020 and 2019</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Controls and Procedures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010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0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PART II. OTHER INFORMATION</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Proceedings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1A.</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Defaults Upon Senior Securities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Mine Safety Disclosures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5.</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6.</w:t>
            </w:r>
          </w:p>
        </w:tc>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Exhibits</w:t>
            </w: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r>
      <w:tr>
        <w:trPr>
          <w:trHeight w:val="270"/>
        </w:trPr>
        <w:tc>
          <w:tcPr>
            <w:tcW w:w="11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SIGNATURES</w:t>
            </w:r>
          </w:p>
        </w:tc>
        <w:tc>
          <w:tcPr>
            <w:tcW w:w="8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53</w:t>
              </w:r>
            </w:hyperlink>
          </w:p>
        </w:tc>
      </w:tr>
      <w:tr>
        <w:trPr>
          <w:trHeight w:val="648"/>
        </w:trPr>
        <w:tc>
          <w:tcPr>
            <w:tcW w:w="1160" w:type="dxa"/>
            <w:vAlign w:val="bottom"/>
          </w:tcPr>
          <w:p>
            <w:pPr>
              <w:spacing w:after="0"/>
              <w:rPr>
                <w:sz w:val="24"/>
                <w:szCs w:val="24"/>
                <w:color w:val="auto"/>
              </w:rPr>
            </w:pPr>
          </w:p>
        </w:tc>
        <w:tc>
          <w:tcPr>
            <w:tcW w:w="8940" w:type="dxa"/>
            <w:vAlign w:val="bottom"/>
          </w:tcPr>
          <w:p>
            <w:pPr>
              <w:ind w:left="44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r>
    </w:tbl>
    <w:p>
      <w:pPr>
        <w:sectPr>
          <w:pgSz w:w="11900" w:h="16838" w:orient="portrait"/>
          <w:cols w:equalWidth="0" w:num="1">
            <w:col w:w="11240"/>
          </w:cols>
          <w:pgMar w:left="320" w:top="34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potential risks and uncertainties that could cause our actual financial condition, results of operations and future performance to differ materially from those expressed or implied include:</w:t>
      </w:r>
    </w:p>
    <w:p>
      <w:pPr>
        <w:spacing w:after="0" w:line="18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foreign exchange rate movements;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impacts related to the COVID-19 pandemic and the effectiveness of the Company's responses to the pandemic;</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These forward-looking statements involve risks and uncertainties that we have identified as having the potential to cause actual results to differ materially from those contemplated herein. We have described in Part II, Item 1A-“Risk Factors” additional factors that could cause our actual results to differ from our projections or estimates, especially relating to the COVID-19 pandemic.</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2019.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w:t>
            </w:r>
          </w:p>
        </w:tc>
        <w:tc>
          <w:tcPr>
            <w:tcW w:w="16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October 31,</w:t>
            </w:r>
          </w:p>
        </w:tc>
      </w:tr>
      <w:tr>
        <w:trPr>
          <w:trHeight w:val="210"/>
        </w:trPr>
        <w:tc>
          <w:tcPr>
            <w:tcW w:w="8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20,659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15,114</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7,223</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8,153</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Receivables/other from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979</w:t>
            </w:r>
          </w:p>
        </w:tc>
      </w:tr>
      <w:tr>
        <w:trPr>
          <w:trHeight w:val="33"/>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35,070</w:t>
            </w:r>
          </w:p>
        </w:tc>
      </w:tr>
      <w:tr>
        <w:trPr>
          <w:trHeight w:val="135"/>
        </w:trPr>
        <w:tc>
          <w:tcPr>
            <w:tcW w:w="8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248,114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Real estate development</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17,602</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58,223</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Investment in Calavo Growers, Inc.</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17,346</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12,407</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9,266</w:t>
            </w:r>
          </w:p>
        </w:tc>
      </w:tr>
      <w:tr>
        <w:trPr>
          <w:trHeight w:val="284"/>
        </w:trPr>
        <w:tc>
          <w:tcPr>
            <w:tcW w:w="86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398,660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399,867</w:t>
            </w:r>
          </w:p>
        </w:tc>
      </w:tr>
      <w:tr>
        <w:trPr>
          <w:trHeight w:val="216"/>
        </w:trPr>
        <w:tc>
          <w:tcPr>
            <w:tcW w:w="8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4,974</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Growers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8,261</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Payables to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3,023</w:t>
            </w:r>
          </w:p>
        </w:tc>
      </w:tr>
      <w:tr>
        <w:trPr>
          <w:trHeight w:val="33"/>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105,892</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24,346</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5,467</w:t>
            </w: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182,010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167,369</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18)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8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0"/>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Series B Convertible Preferred Stock – $100.00 par value (50,000 shares authorized: 14,790 shares issued and outstanding at April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 2020 and October 31, 2019) (8.75% coupon rate)</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r>
      <w:tr>
        <w:trPr>
          <w:trHeight w:val="220"/>
        </w:trPr>
        <w:tc>
          <w:tcPr>
            <w:tcW w:w="8660" w:type="dxa"/>
            <w:vAlign w:val="bottom"/>
          </w:tcPr>
          <w:p>
            <w:pPr>
              <w:ind w:left="40"/>
              <w:spacing w:after="0"/>
              <w:rPr>
                <w:sz w:val="20"/>
                <w:szCs w:val="20"/>
                <w:color w:val="auto"/>
              </w:rPr>
            </w:pPr>
            <w:r>
              <w:rPr>
                <w:rFonts w:ascii="Arial" w:cs="Arial" w:eastAsia="Arial" w:hAnsi="Arial"/>
                <w:sz w:val="16"/>
                <w:szCs w:val="16"/>
                <w:color w:val="auto"/>
                <w:w w:val="91"/>
              </w:rPr>
              <w:t>Series B-2 Convertible Preferred Stock – $100.00 par value (10,000 shares authorized: 9,300 shares issued and outstanding at April</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8660" w:type="dxa"/>
            <w:vAlign w:val="bottom"/>
          </w:tcPr>
          <w:p>
            <w:pPr>
              <w:ind w:left="40"/>
              <w:spacing w:after="0"/>
              <w:rPr>
                <w:sz w:val="20"/>
                <w:szCs w:val="20"/>
                <w:color w:val="auto"/>
              </w:rPr>
            </w:pPr>
            <w:r>
              <w:rPr>
                <w:rFonts w:ascii="Arial" w:cs="Arial" w:eastAsia="Arial" w:hAnsi="Arial"/>
                <w:sz w:val="16"/>
                <w:szCs w:val="16"/>
                <w:color w:val="auto"/>
              </w:rPr>
              <w:t>30, 2020 and October 31, 2019) (4% dividend rate on liquidation value of $1,000 per share)</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1"/>
        </w:trPr>
        <w:tc>
          <w:tcPr>
            <w:tcW w:w="8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Series A Junior Participating Preferred Stock – $0.01 par value (20,000 shares authorized: zero issued or outstanding at April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30, 2020 and October 31, 2019)</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660" w:type="dxa"/>
            <w:vAlign w:val="bottom"/>
          </w:tcPr>
          <w:p>
            <w:pPr>
              <w:ind w:left="280"/>
              <w:spacing w:after="0"/>
              <w:rPr>
                <w:sz w:val="20"/>
                <w:szCs w:val="20"/>
                <w:color w:val="auto"/>
              </w:rPr>
            </w:pPr>
            <w:r>
              <w:rPr>
                <w:rFonts w:ascii="Arial" w:cs="Arial" w:eastAsia="Arial" w:hAnsi="Arial"/>
                <w:sz w:val="16"/>
                <w:szCs w:val="16"/>
                <w:color w:val="auto"/>
                <w:w w:val="92"/>
              </w:rPr>
              <w:t>Common Stock – $0.01 par value (39,000,000 shares authorized: 17,857,707 and 17,756,180 shares issued and outstanding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8660" w:type="dxa"/>
            <w:vAlign w:val="bottom"/>
          </w:tcPr>
          <w:p>
            <w:pPr>
              <w:ind w:left="280"/>
              <w:spacing w:after="0"/>
              <w:rPr>
                <w:sz w:val="20"/>
                <w:szCs w:val="20"/>
                <w:color w:val="auto"/>
              </w:rPr>
            </w:pPr>
            <w:r>
              <w:rPr>
                <w:rFonts w:ascii="Arial" w:cs="Arial" w:eastAsia="Arial" w:hAnsi="Arial"/>
                <w:sz w:val="16"/>
                <w:szCs w:val="16"/>
                <w:color w:val="auto"/>
              </w:rPr>
              <w:t>April 30, 2020 and October 31, 2019, respectively)</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160,254</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53,089</w:t>
            </w:r>
          </w:p>
        </w:tc>
      </w:tr>
      <w:tr>
        <w:trPr>
          <w:trHeight w:val="33"/>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(7,255)</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15,422</w:t>
            </w:r>
          </w:p>
        </w:tc>
      </w:tr>
      <w:tr>
        <w:trPr>
          <w:trHeight w:val="33"/>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221,688</w:t>
            </w:r>
          </w:p>
        </w:tc>
      </w:tr>
      <w:tr>
        <w:trPr>
          <w:trHeight w:val="244"/>
        </w:trPr>
        <w:tc>
          <w:tcPr>
            <w:tcW w:w="866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398,660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399,867</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337" w:right="339" w:bottom="27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337" w:right="339" w:bottom="27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Six Months Ended April 30,</w:t>
            </w:r>
          </w:p>
        </w:tc>
      </w:tr>
      <w:tr>
        <w:trPr>
          <w:trHeight w:val="27"/>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33"/>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38,439</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40,823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78,922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81,623</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39,571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84,053</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20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35,949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75,994</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2,226</w:t>
            </w: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9,858</w:t>
            </w:r>
          </w:p>
        </w:tc>
      </w:tr>
      <w:tr>
        <w:trPr>
          <w:trHeight w:val="33"/>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42,404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88,078</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(4,025)</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(loss) earnings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w:t>
            </w: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(Loss) gain on stock in Calavo Growers, Inc.</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Total other (expense) income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1,492</w:t>
            </w:r>
          </w:p>
        </w:tc>
      </w:tr>
      <w:tr>
        <w:trPr>
          <w:trHeight w:val="33"/>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(Loss) income before income tax benefit (provision)</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(2,533)</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Net (loss) income attributable to Limoneira Company</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(1,878)</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dividends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8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r>
      <w:tr>
        <w:trPr>
          <w:trHeight w:val="216"/>
        </w:trPr>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90"/>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17"/>
        </w:trPr>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90"/>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16"/>
        </w:trPr>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20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w w:val="99"/>
              </w:rPr>
              <w:t>17,634,000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87"/>
              </w:rPr>
              <w:t>17,554,000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17,602,000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17,516,000</w:t>
            </w:r>
          </w:p>
        </w:tc>
      </w:tr>
      <w:tr>
        <w:trPr>
          <w:trHeight w:val="33"/>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99"/>
              </w:rPr>
              <w:t>17,634,000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7"/>
              </w:rPr>
              <w:t>18,225,000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17,602,000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17,516,000</w:t>
            </w:r>
          </w:p>
        </w:tc>
      </w:tr>
      <w:tr>
        <w:trPr>
          <w:trHeight w:val="33"/>
        </w:trPr>
        <w:tc>
          <w:tcPr>
            <w:tcW w:w="6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Three Months Ended April 30,</w:t>
            </w:r>
          </w:p>
        </w:tc>
        <w:tc>
          <w:tcPr>
            <w:tcW w:w="23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Six Months Ended April 30,</w:t>
            </w:r>
          </w:p>
        </w:tc>
      </w:tr>
      <w:tr>
        <w:trPr>
          <w:trHeight w:val="27"/>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r>
      <w:tr>
        <w:trPr>
          <w:trHeight w:val="220"/>
        </w:trPr>
        <w:tc>
          <w:tcPr>
            <w:tcW w:w="6420" w:type="dxa"/>
            <w:vAlign w:val="bottom"/>
          </w:tcPr>
          <w:p>
            <w:pPr>
              <w:ind w:left="40"/>
              <w:spacing w:after="0"/>
              <w:rPr>
                <w:sz w:val="20"/>
                <w:szCs w:val="20"/>
                <w:color w:val="auto"/>
              </w:rPr>
            </w:pPr>
            <w:r>
              <w:rPr>
                <w:rFonts w:ascii="Arial" w:cs="Arial" w:eastAsia="Arial" w:hAnsi="Arial"/>
                <w:sz w:val="16"/>
                <w:szCs w:val="16"/>
                <w:color w:val="auto"/>
                <w:w w:val="94"/>
              </w:rPr>
              <w:t>Minimum pension liability adjustment, net of tax of $50, $28, $100 and $55 for the three and six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6420" w:type="dxa"/>
            <w:vAlign w:val="bottom"/>
          </w:tcPr>
          <w:p>
            <w:pPr>
              <w:ind w:left="40"/>
              <w:spacing w:after="0"/>
              <w:rPr>
                <w:sz w:val="20"/>
                <w:szCs w:val="20"/>
                <w:color w:val="auto"/>
              </w:rPr>
            </w:pPr>
            <w:r>
              <w:rPr>
                <w:rFonts w:ascii="Arial" w:cs="Arial" w:eastAsia="Arial" w:hAnsi="Arial"/>
                <w:sz w:val="16"/>
                <w:szCs w:val="16"/>
                <w:color w:val="auto"/>
              </w:rPr>
              <w:t>months ended April 30, 2020 and 2019, respectively.</w:t>
            </w:r>
          </w:p>
        </w:tc>
        <w:tc>
          <w:tcPr>
            <w:tcW w:w="2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Residual state tax effects on sale of 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Total other comprehensive (loss) income, net of tax</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Limoneira Company</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3"/>
                <w:szCs w:val="13"/>
                <w:b w:val="1"/>
                <w:bCs w:val="1"/>
                <w:color w:val="auto"/>
                <w:w w:val="97"/>
              </w:rPr>
              <w:t>Stockholders’ Equity</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r>
      <w:tr>
        <w:trPr>
          <w:trHeight w:val="163"/>
        </w:trPr>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Series B</w:t>
            </w:r>
          </w:p>
        </w:tc>
        <w:tc>
          <w:tcPr>
            <w:tcW w:w="120" w:type="dxa"/>
            <w:vAlign w:val="bottom"/>
          </w:tcPr>
          <w:p>
            <w:pPr>
              <w:spacing w:after="0"/>
              <w:rPr>
                <w:sz w:val="12"/>
                <w:szCs w:val="12"/>
                <w:color w:val="auto"/>
              </w:rPr>
            </w:pPr>
          </w:p>
        </w:tc>
        <w:tc>
          <w:tcPr>
            <w:tcW w:w="76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r>
      <w:tr>
        <w:trPr>
          <w:trHeight w:val="182"/>
        </w:trPr>
        <w:tc>
          <w:tcPr>
            <w:tcW w:w="2260" w:type="dxa"/>
            <w:vAlign w:val="bottom"/>
          </w:tcPr>
          <w:p>
            <w:pPr>
              <w:spacing w:after="0"/>
              <w:rPr>
                <w:sz w:val="15"/>
                <w:szCs w:val="15"/>
                <w:color w:val="auto"/>
              </w:rPr>
            </w:pPr>
          </w:p>
        </w:tc>
        <w:tc>
          <w:tcPr>
            <w:tcW w:w="174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Noncontrolling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Preferred</w:t>
            </w:r>
          </w:p>
        </w:tc>
      </w:tr>
      <w:tr>
        <w:trPr>
          <w:trHeight w:val="264"/>
        </w:trPr>
        <w:tc>
          <w:tcPr>
            <w:tcW w:w="22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Capital</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6"/>
              </w:rPr>
              <w:t>Earnings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Income (Loss)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Interest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Stock</w:t>
            </w:r>
          </w:p>
        </w:tc>
      </w:tr>
      <w:tr>
        <w:trPr>
          <w:trHeight w:val="25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October 31, 2019</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17,756,180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160,254</w:t>
            </w:r>
          </w:p>
        </w:tc>
        <w:tc>
          <w:tcPr>
            <w:tcW w:w="10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53,089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221,688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112,841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(11,314)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(213)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89"/>
              </w:rPr>
              <w:t>Other comprehensive (loss) income,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tax</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(1,132)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257"/>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31, 2020</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17,857,707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160,869</w:t>
            </w:r>
          </w:p>
        </w:tc>
        <w:tc>
          <w:tcPr>
            <w:tcW w:w="10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45,199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212,817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Noncontrolling interest adjustment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89"/>
              </w:rPr>
              <w:t>Other comprehensive (loss) income,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tax</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242"/>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April 30, 2020</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17,857,707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161,227</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38,850</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9"/>
              </w:rPr>
              <w:t>205,840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0"/>
        </w:trPr>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380"/>
        </w:trPr>
        <w:tc>
          <w:tcPr>
            <w:tcW w:w="2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Stockholders’ Equity</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r>
      <w:tr>
        <w:trPr>
          <w:trHeight w:val="163"/>
        </w:trPr>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Series B</w:t>
            </w:r>
          </w:p>
        </w:tc>
        <w:tc>
          <w:tcPr>
            <w:tcW w:w="120" w:type="dxa"/>
            <w:vAlign w:val="bottom"/>
          </w:tcPr>
          <w:p>
            <w:pPr>
              <w:spacing w:after="0"/>
              <w:rPr>
                <w:sz w:val="12"/>
                <w:szCs w:val="12"/>
                <w:color w:val="auto"/>
              </w:rPr>
            </w:pPr>
          </w:p>
        </w:tc>
        <w:tc>
          <w:tcPr>
            <w:tcW w:w="76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r>
      <w:tr>
        <w:trPr>
          <w:trHeight w:val="182"/>
        </w:trPr>
        <w:tc>
          <w:tcPr>
            <w:tcW w:w="226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Noncontrolling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Preferred</w:t>
            </w:r>
          </w:p>
        </w:tc>
      </w:tr>
      <w:tr>
        <w:trPr>
          <w:trHeight w:val="264"/>
        </w:trPr>
        <w:tc>
          <w:tcPr>
            <w:tcW w:w="22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2"/>
              </w:rPr>
              <w:t>Income (Loss)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Stock</w:t>
            </w:r>
          </w:p>
        </w:tc>
      </w:tr>
      <w:tr>
        <w:trPr>
          <w:trHeight w:val="25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October 31, 2018</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17,647,135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159,071</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8,965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219,140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(20,119)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89"/>
              </w:rPr>
              <w:t>Other comprehensive income (loss),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260" w:type="dxa"/>
            <w:vAlign w:val="bottom"/>
          </w:tcPr>
          <w:p>
            <w:pPr>
              <w:ind w:left="40"/>
              <w:spacing w:after="0"/>
              <w:rPr>
                <w:sz w:val="20"/>
                <w:szCs w:val="20"/>
                <w:color w:val="auto"/>
              </w:rPr>
            </w:pPr>
            <w:r>
              <w:rPr>
                <w:rFonts w:ascii="Arial" w:cs="Arial" w:eastAsia="Arial" w:hAnsi="Arial"/>
                <w:sz w:val="13"/>
                <w:szCs w:val="13"/>
                <w:color w:val="auto"/>
              </w:rPr>
              <w:t>tax</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5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Reclassification of unrealized gain on</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35"/>
        </w:trPr>
        <w:tc>
          <w:tcPr>
            <w:tcW w:w="22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marketable securities upon adoption of</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7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ASU 2016-01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99"/>
              </w:rPr>
              <w:t>Reclassification upon adoption of ASU</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2018-02</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25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31, 2019</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17,772,753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159,555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58,401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214,450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1"/>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Other comprehensive income, net of tax</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42"/>
        </w:trPr>
        <w:tc>
          <w:tcPr>
            <w:tcW w:w="2260" w:type="dxa"/>
            <w:vAlign w:val="bottom"/>
          </w:tcPr>
          <w:p>
            <w:pPr>
              <w:ind w:left="40"/>
              <w:spacing w:after="0"/>
              <w:rPr>
                <w:sz w:val="20"/>
                <w:szCs w:val="20"/>
                <w:color w:val="auto"/>
              </w:rPr>
            </w:pPr>
            <w:r>
              <w:rPr>
                <w:rFonts w:ascii="Arial" w:cs="Arial" w:eastAsia="Arial" w:hAnsi="Arial"/>
                <w:sz w:val="13"/>
                <w:szCs w:val="13"/>
                <w:color w:val="auto"/>
              </w:rPr>
              <w:t>Balance at April 30, 2019</w:t>
            </w:r>
          </w:p>
        </w:tc>
        <w:tc>
          <w:tcPr>
            <w:tcW w:w="800" w:type="dxa"/>
            <w:vAlign w:val="bottom"/>
          </w:tcPr>
          <w:p>
            <w:pPr>
              <w:ind w:left="200"/>
              <w:spacing w:after="0"/>
              <w:rPr>
                <w:sz w:val="20"/>
                <w:szCs w:val="20"/>
                <w:color w:val="auto"/>
              </w:rPr>
            </w:pPr>
            <w:r>
              <w:rPr>
                <w:rFonts w:ascii="Arial" w:cs="Arial" w:eastAsia="Arial" w:hAnsi="Arial"/>
                <w:sz w:val="13"/>
                <w:szCs w:val="13"/>
                <w:color w:val="auto"/>
                <w:w w:val="89"/>
              </w:rPr>
              <w:t>17,772,753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159,992</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59,757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w w:val="89"/>
              </w:rPr>
              <w:t>215,859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9,331</w:t>
            </w:r>
          </w:p>
        </w:tc>
      </w:tr>
      <w:tr>
        <w:trPr>
          <w:trHeight w:val="20"/>
        </w:trPr>
        <w:tc>
          <w:tcPr>
            <w:tcW w:w="2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34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342"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(12,210)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(1,856)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4,247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disposals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Equity in loss (earnings) of investments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distributions from equity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on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Loss on stock in Calavo Growers, Inc.</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Cultural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2,608</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growers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9,947</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Agriculture property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Payments to FGF Trapani</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sale of stock in Calavo Growers, Inc.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Collections of installments on note receivable</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contributions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Loan to Limoneira Lewis Community Builders, LLC</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mutual water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Insurance proceeds received</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58,340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(52,771)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(41,844)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common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Dividends paid – preferred</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Exchange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13,275</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increase in cash</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43"/>
        </w:trPr>
        <w:tc>
          <w:tcPr>
            <w:tcW w:w="8220" w:type="dxa"/>
            <w:vAlign w:val="bottom"/>
          </w:tcPr>
          <w:p>
            <w:pPr>
              <w:ind w:left="4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1,491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342"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1,327</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 income taxes, net of refunds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real estate development and sale-leaseback deferral</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(58,330)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Reclassification from real estate development to equity in investments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(33,353)</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1,734</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Accrued contribution obligation of investment in water company</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Quarterly Report on Form 10-Q.</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2020, the Company received an annual patronage dividend of $966,000 from Farm Credit West, FLCA ("Farm Credit West"), of which $667,000 was recorded as a reduction in interest expense and $299,000 reduced the Company's real estate development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right="804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62" w:lineRule="exact"/>
        <w:rPr>
          <w:sz w:val="20"/>
          <w:szCs w:val="20"/>
          <w:color w:val="auto"/>
        </w:rPr>
      </w:pPr>
    </w:p>
    <w:p>
      <w:pPr>
        <w:ind w:right="768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Changes in Accounting Policies</w:t>
      </w:r>
    </w:p>
    <w:p>
      <w:pPr>
        <w:jc w:val="both"/>
        <w:spacing w:after="0" w:line="279" w:lineRule="auto"/>
        <w:rPr>
          <w:sz w:val="20"/>
          <w:szCs w:val="20"/>
          <w:color w:val="auto"/>
        </w:rPr>
      </w:pPr>
      <w:r>
        <w:rPr>
          <w:rFonts w:ascii="Arial" w:cs="Arial" w:eastAsia="Arial" w:hAnsi="Arial"/>
          <w:sz w:val="17"/>
          <w:szCs w:val="17"/>
          <w:color w:val="auto"/>
        </w:rPr>
        <w:t xml:space="preserve">On November 1, 2019, the Company adopted Financial Accounting Standards Board ("FASB") - </w:t>
      </w:r>
      <w:r>
        <w:rPr>
          <w:rFonts w:ascii="Arial" w:cs="Arial" w:eastAsia="Arial" w:hAnsi="Arial"/>
          <w:sz w:val="17"/>
          <w:szCs w:val="17"/>
          <w:i w:val="1"/>
          <w:iCs w:val="1"/>
          <w:color w:val="auto"/>
        </w:rPr>
        <w:t>Accounting Standards Update ("ASU") 2016-02, Leases</w:t>
      </w:r>
      <w:r>
        <w:rPr>
          <w:rFonts w:ascii="Arial" w:cs="Arial" w:eastAsia="Arial" w:hAnsi="Arial"/>
          <w:sz w:val="17"/>
          <w:szCs w:val="17"/>
          <w:color w:val="auto"/>
        </w:rPr>
        <w:t xml:space="preserve"> (as amended, "ASU 2016-02" or the "New Lease Standard"). A lease is defined as a contract that conveys the right to control the use of an identified asset for a period of time in exchange for consideration. The Company enters into contracts that are, or contain, leases as both a lessee and a lessor. The following accounting policies have been updated as part of the adoption of the New Lease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Accounting for Operating Leases as a Lessee - </w:t>
      </w:r>
      <w:r>
        <w:rPr>
          <w:rFonts w:ascii="Arial" w:cs="Arial" w:eastAsia="Arial" w:hAnsi="Arial"/>
          <w:sz w:val="16"/>
          <w:szCs w:val="16"/>
          <w:color w:val="auto"/>
        </w:rPr>
        <w:t>In its ordinary course of business, the Company enters into leases as a lessee generally for agricultural land</w:t>
      </w:r>
      <w:r>
        <w:rPr>
          <w:rFonts w:ascii="Arial" w:cs="Arial" w:eastAsia="Arial" w:hAnsi="Arial"/>
          <w:sz w:val="16"/>
          <w:szCs w:val="16"/>
          <w:i w:val="1"/>
          <w:iCs w:val="1"/>
          <w:color w:val="auto"/>
        </w:rPr>
        <w:t xml:space="preserve"> </w:t>
      </w:r>
      <w:r>
        <w:rPr>
          <w:rFonts w:ascii="Arial" w:cs="Arial" w:eastAsia="Arial" w:hAnsi="Arial"/>
          <w:sz w:val="16"/>
          <w:szCs w:val="16"/>
          <w:color w:val="auto"/>
        </w:rPr>
        <w:t>and packinghouse equipment. The Company determines if an arrangement is a lease or contains a lease at inception. Operating leases are included in other assets, accrued liabilities and other long-term liabilities on its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the Company’s leases provide an implicit rate, the Company uses its incremental borrowing rate based on the information available at commencement date in determining the present value of future payments.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15 - Related-Party Transactions</w:t>
      </w:r>
      <w:r>
        <w:rPr>
          <w:rFonts w:ascii="Arial" w:cs="Arial" w:eastAsia="Arial" w:hAnsi="Arial"/>
          <w:sz w:val="18"/>
          <w:szCs w:val="18"/>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ind w:right="674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Leases (continued)</w:t>
      </w:r>
    </w:p>
    <w:p>
      <w:pPr>
        <w:jc w:val="both"/>
        <w:spacing w:after="0" w:line="279" w:lineRule="auto"/>
        <w:rPr>
          <w:sz w:val="20"/>
          <w:szCs w:val="20"/>
          <w:color w:val="auto"/>
        </w:rPr>
      </w:pPr>
      <w:r>
        <w:rPr>
          <w:rFonts w:ascii="Arial" w:cs="Arial" w:eastAsia="Arial" w:hAnsi="Arial"/>
          <w:sz w:val="17"/>
          <w:szCs w:val="17"/>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Accounting for Leases as a Lessor </w:t>
      </w:r>
      <w:r>
        <w:rPr>
          <w:rFonts w:ascii="Arial" w:cs="Arial" w:eastAsia="Arial" w:hAnsi="Arial"/>
          <w:sz w:val="17"/>
          <w:szCs w:val="17"/>
          <w:color w:val="auto"/>
        </w:rPr>
        <w:t>- Leases in which the Company acts as the lessor include land, residential and commercial units and are all classified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(loss) income represents all changes in a company’s net assets, except changes resulting from transactions with shareholders, and is reported as a component of the Company’s stockholders’ equity. As of April 30, 2020, the components of accumulated other comprehensive loss, net of tax, consist of accumulated foreign currency translation losses of $4,248,000 and accumulated pension losses of $4,558,000. As of October 31, 2019, accumulated other comprehensive loss consisted of accumulated foreign currency translation losses of $2,362,000, accumulated pension losses of $4,753,000 and accumulated losses related to available for sale securities of $140,000.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Adjustments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reclassifications have been made to the prior years’ consolidated financial statements to conform to the April 30, 2020 presentation. The Company reclassified receivables/other from related parties and payables to related parties of $2,985,000 and $906,000, respectively, as of October 31, 2019, from accounts receivable, net, and accrued liabilities,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 and related ASUs, including ASU 2018-11, Leases (Topic 842): Targeted Improvements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issued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which, among other things, provides administrative relief by allowing entities to implement the lease standard on a modified retrospective basis (the "Optional Transition Method"). Effectively, the Optional Transition Method permits companies to adopt the lease standard through a cumulative effect adjustment to their opening balance sheet on the date of adoption and report under the New Lease Standard on a post-adoption basis.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ASU 2016-02 effective November 1, 2019 using the Optional Transition Method. The Company elected the package of practical expedients permitted under the transition guidance, which allows the Company to carry forward its historical lease classification, its assessment of whether a contract is or contains a lease, and its initial direct costs for any leases that existed prior to adoption of the New Lease Standard. The Company elected the hindsight practical expedient, which permits the use of hindsight when determining lease term and impairment of ROU assets. The Company did not elect to combine lease and non-lease components for land leases but elected to combine lease and non-lease components for all other asset classes. The Company also elected to keep leases with an initial term of 12 months or less off the balance sheet and recognize the associated lease payments in the consolidated statements of operations on a straight-line basis over the lease term. The comparative information has not been restated and continues to be reported under the accounting standards in effect for those periods. The Company updated its accounting policies, processes and internal controls in order to meet the New Lease Standard's reporting and disclosure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8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ind w:right="6740" w:firstLine="8"/>
        <w:spacing w:after="0" w:line="566"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jc w:val="both"/>
        <w:spacing w:after="0" w:line="255" w:lineRule="auto"/>
        <w:rPr>
          <w:sz w:val="20"/>
          <w:szCs w:val="20"/>
          <w:color w:val="auto"/>
        </w:rPr>
      </w:pPr>
      <w:r>
        <w:rPr>
          <w:rFonts w:ascii="Arial" w:cs="Arial" w:eastAsia="Arial" w:hAnsi="Arial"/>
          <w:sz w:val="18"/>
          <w:szCs w:val="18"/>
          <w:color w:val="auto"/>
        </w:rPr>
        <w:t>The adoption of ASU 2016-02 had a material impact on its consolidated balance sheets, but did not have a material impact on its consolidated statements of operations or its consolidated statements of cash flows. Upon adoption as of November 1, 2019, the Company recorded ROU assets of $2,400,000 and lease liabilities of $2,500,000 for operating leases in which the Company is a lessee. The adoption also included an immaterial reclassification of accrued rent liabilities against the ROU asset balance. As of November 1, 2019, there were no material finance leases for which the Company was a lessee. The adoption of ASU 2016-02 did not change the Company’s accounting for its operating leases in which it acts as the lessor. See Note 13 - Leases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 - Credit Losses (Topic 326): Measurement of Credit Losses on Financial Instruments, and related ASUs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ASU 2016-13 is effective for SEC filers for fiscal years, and interim periods within those fiscal years, beginning after December 15, 2019. Early application is permitted for fiscal years, and interim periods within those fiscal years, beginning after December 15, 2018. The Company does not expect this ASU to have a material impact on its consolidated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2018-14, Compensation - Retirement Benefits - Defined Benefit Plans - General (Subtopic 715-20): Disclosure Framework - Changes to the Disclosure Requirements for Defined Benefit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adds, removes and clarifies the disclosure requirements for employers that sponsor defined benefit pension or other post retirement plans. For public business entities, the amendments are effective for fiscal years ending after December 15, 2020. Early adoption is permitted. The Company is evaluating the effect this ASU may have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2019-12, Income Taxes (Topic 740): Simplifying the Accounting for 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removes specific exceptions to the general principles in Topic 740 in GAAP. It eliminates the need for an organization to analyze whether certain exceptions apply in a given period. The amendment also improves financial statement preparers’ application of income tax-related guidance and simplifies GAAP under certain situations.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ASU 2019-12 is effective for public business entities, for fiscal years beginning after December 15, 2020, and interim periods within those fiscal years.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ASU as of November 1, 2019 and the adoption did not have a material impact on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 ("CARES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The Company has evaluated the impact on its consolidated financial statements at April 30, 2020 and has estimated the impact of approximately $1,380,000 of income tax benefit and $4,924,000 federal tax refund utilizing net operating loss provisions of the CARES Act. The Company anticipates it will benefit from the utilization of net operating losses, the technical correction for qualified leasehold improvements eligible for 100% tax bonus depreciation and potentially other provisions within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8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ind w:right="9520" w:firstLine="8"/>
        <w:spacing w:after="0" w:line="602"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 Trapani Fresh</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30, 2019, the Company acquired a 51% interest in a joint venture, Trapani Fresh, formed with FGF Trapani (“FGF”), a multi-generational, family-owned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the Company’s interest in Trapani Fresh was $15,000,000 and transaction costs of approximately $654,000 were included in selling, general and administrative expense during the fiscal year ended October 31, 2019.</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2020, FGF agreed to a decrease in the purchase consideration of $152,000 to reflect profits that Limoneira Argentina would have received had the transaction been consummated at the beginning of the 2019 lemon export season. The Company has recorded a receivable from FGF, a decrease in non-controlling interest and a decrease in goodwill.</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was finalized during the second quarter of fiscal year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9,520</w:t>
            </w:r>
          </w:p>
        </w:tc>
      </w:tr>
      <w:tr>
        <w:trPr>
          <w:trHeight w:val="27"/>
        </w:trPr>
        <w:tc>
          <w:tcPr>
            <w:tcW w:w="9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Orchards</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8,410</w:t>
            </w:r>
          </w:p>
        </w:tc>
      </w:tr>
      <w:tr>
        <w:trPr>
          <w:trHeight w:val="27"/>
        </w:trPr>
        <w:tc>
          <w:tcPr>
            <w:tcW w:w="9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trademarks and non-competition agreement (10-year useful life)</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9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29,113</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(14,265)</w:t>
            </w:r>
          </w:p>
        </w:tc>
      </w:tr>
      <w:tr>
        <w:trPr>
          <w:trHeight w:val="27"/>
        </w:trPr>
        <w:tc>
          <w:tcPr>
            <w:tcW w:w="9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14,848</w:t>
            </w: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of $123,000 relates to synergies of the operations, has been allocated to the fresh lemons segment and is currently not expected to be deductible for tax purposes. Revenue of $14,651,000 and net income of $999,000 of Trapani Fresh were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years ended October 31, 2019 and 2018 would have resulted in revenues of $177,625,000 and $153,033,000, respectively, and net (loss) income of $(6,092,000) and $21,942,000,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as of October 31, 2019, which were measured on a recurring basis during the period, segregated by level within the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October 31, 2019</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17,346</w:t>
            </w: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382"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securities consisted of marketable securities in Calavo common stock. At October 31, 2019, the Company owned 200,000 shares which represented approximately 1.1% of Calavo’s outstanding common stock at a stock price of $97.00 per share. These securities were measured at fair value by quoted market prices and changes in fair value were included in the statement of operations.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sold all 200,000 shares of Calavo common stock for a total of $11,048,000, recognizing a loss of $4,275,000 and $6,299,000, for the three and six months ended April 30, 2020, respectively, which is included in other (expense) income in the consolidated statement of operations. In fiscal year 2019, the Company sold 50,000 shares of Calavo common stock for a total of $4,786,000, recognizing a loss of $63,000, which was included in other (expense) income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Concentrations and Geographic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Lemons procured from third-party growers were 60% and 59% of the Company's lemon supply in the three months ended April 30, 2020 and 2019, respectively. Lemons procured from third-party growers were 58% and 59% of the Company's lemon supply in the six months ended April 30, 2020 and 2019, respectively, of which one third-party grower was 12% of lemon supply as of April 30, 2020. The Company sells the majority of its avocado production to Calavo and the majority of its oranges and specialty citrus to a third-party packinghouse.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credit risk with respect to trade receivables are limited due to a large, diverse customer base.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April 30, 2020, the Company had approximately $921,000 and $1,460,000 of lemon and orange sales in Chile by PDA and San Pablo, respectively, and $2,280,000 and $2,479,000 of lemon and orange sales in Argentina by Trapani Fresh, respectively. During the three and six months ended April 30, 2019, the Company had approximately $907,000, and $1,545,000 of lemon and orange sales in Chile by PDA and San Pablo,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0"/>
        </w:trPr>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supplies and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Note receivable and related interest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 held-for-sale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Lemon supplier advances and other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October 31,</w:t>
            </w:r>
          </w:p>
        </w:tc>
      </w:t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Property - East Area 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East Area II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5,659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ectPr>
          <w:pgSz w:w="11900" w:h="16838" w:orient="portrait"/>
          <w:cols w:equalWidth="0" w:num="1">
            <w:col w:w="11240"/>
          </w:cols>
          <w:pgMar w:left="320" w:top="38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8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includes estimated costs incurred by and reimbursable to LLCB of $2,850,000 at April 30, 2020, which is included in payables to related parties and $1,200,000 at October 31, 2019, which was included in other long-term liabilities.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extension had no impact on the Company's loan guarantee $1,080,000 value as of April 30,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Joint Venture recorded the Loan balance of $45,000,000 as of April 30, 2020.</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made contributions to the Joint Venture of $2,800,000 and $4,000,000 in the six months ended April 30, 2020 and 2019, respectively. Additionally, in February 2020 the Company and Lewis each loaned $1,800,000 to the Joint Venture at an interest rate of 4.6% originally due May 31, 2020 and extended to August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remaining real estate development parcel within the Templeton Santa Barbara, LLC project is described as Sevilla. The Company's net carrying value of Sevilla was $2,543,000, as of April 30, 2020 and October 31, 2019, respectively, which has been included in prepaid expenses and other current assets. The expenses associated with this property were immaterial.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extended to December 15, 2020 and the interest rate was reset to equal to the 6-month LIBOR plus 2.75% on the outstanding principal balance of the note, interest only paid monthly on the first day of each month beginning January 1, 2020. At April 30, 2020, the net carrying value of the note was $2,489,000 and classified in prepaid expenses and other current assets.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fiscal year 2020, the Company entered into an agreement to sell its Sevilla property for $2,700,000, which is expected to close in fiscal year 2020. After transaction and other costs, the Company expects to receive cash proceeds of approximately $2,550,000 and recognize an immaterial gain upon closing. At April 30, 2020, the $2,543,000 carrying value of the property was classified as held for sale and included in prepaid expenses and other current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8. Equity in Investments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0"/>
        </w:trPr>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54,016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1,950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382"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 Investments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six months ended April 30, 2019, this threshold was met for the LLCB and thus summarized income statement information is presented in this Quarterly Report on Form 10-Q.</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The following is unaudited summarized financial information for LLCB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6"/>
              </w:rPr>
              <w:t>Six Months Ended April 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 of land sold</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5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Goodwill and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9"/>
              </w:rPr>
              <w:t>Goodwill Net</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3"/>
              </w:rPr>
              <w:t>Carrying Amount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Trapani Fresh purchase price adjustment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April 30, 2020</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3 - Acquisitions for additional information regarding the acquisition of Trapani Fresh.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April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April 30, 2020 and October 31, 2019 (in thousands):</w:t>
      </w:r>
    </w:p>
    <w:p>
      <w:pPr>
        <w:sectPr>
          <w:pgSz w:w="11900" w:h="16838" w:orient="portrait"/>
          <w:cols w:equalWidth="0" w:num="1">
            <w:col w:w="11240"/>
          </w:cols>
          <w:pgMar w:left="320" w:top="382" w:right="339" w:bottom="1440" w:gutter="0" w:footer="0" w:header="0"/>
        </w:sectPr>
      </w:pPr>
    </w:p>
    <w:p>
      <w:pPr>
        <w:spacing w:after="0" w:line="338"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23495</wp:posOffset>
            </wp:positionV>
            <wp:extent cx="2511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1040" w:type="dxa"/>
            <w:vAlign w:val="bottom"/>
            <w:gridSpan w:val="2"/>
            <w:vMerge w:val="continue"/>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8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4771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940" w:type="dxa"/>
            <w:vAlign w:val="bottom"/>
            <w:vMerge w:val="continue"/>
          </w:tcPr>
          <w:p>
            <w:pPr>
              <w:spacing w:after="0"/>
              <w:rPr>
                <w:sz w:val="12"/>
                <w:szCs w:val="12"/>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vMerge w:val="continue"/>
          </w:tcPr>
          <w:p>
            <w:pPr>
              <w:spacing w:after="0"/>
              <w:rPr>
                <w:sz w:val="12"/>
                <w:szCs w:val="12"/>
                <w:color w:val="auto"/>
              </w:rPr>
            </w:pPr>
          </w:p>
        </w:tc>
        <w:tc>
          <w:tcPr>
            <w:tcW w:w="8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8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40" w:space="100"/>
            <w:col w:w="3900"/>
          </w:cols>
          <w:pgMar w:left="320" w:top="382" w:right="339" w:bottom="144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9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9"/>
              </w:rPr>
              <w:t>10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4,229</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4,510</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w w:val="99"/>
              </w:rPr>
              <w:t>9</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90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89"/>
              </w:rPr>
              <w:t>10</w:t>
            </w:r>
          </w:p>
        </w:tc>
      </w:tr>
      <w:tr>
        <w:trPr>
          <w:trHeight w:val="264"/>
        </w:trPr>
        <w:tc>
          <w:tcPr>
            <w:tcW w:w="328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22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3,420</w:t>
            </w:r>
          </w:p>
        </w:tc>
        <w:tc>
          <w:tcPr>
            <w:tcW w:w="1000" w:type="dxa"/>
            <w:vAlign w:val="bottom"/>
          </w:tcPr>
          <w:p>
            <w:pPr>
              <w:ind w:left="220"/>
              <w:spacing w:after="0"/>
              <w:rPr>
                <w:sz w:val="20"/>
                <w:szCs w:val="20"/>
                <w:color w:val="auto"/>
              </w:rPr>
            </w:pPr>
            <w:r>
              <w:rPr>
                <w:rFonts w:ascii="Arial" w:cs="Arial" w:eastAsia="Arial" w:hAnsi="Arial"/>
                <w:sz w:val="14"/>
                <w:szCs w:val="14"/>
                <w:color w:val="auto"/>
              </w:rPr>
              <w:t>Indefinite</w:t>
            </w:r>
          </w:p>
        </w:tc>
        <w:tc>
          <w:tcPr>
            <w:tcW w:w="2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900" w:type="dxa"/>
            <w:vAlign w:val="bottom"/>
          </w:tcPr>
          <w:p>
            <w:pPr>
              <w:ind w:left="220"/>
              <w:spacing w:after="0"/>
              <w:rPr>
                <w:sz w:val="20"/>
                <w:szCs w:val="20"/>
                <w:color w:val="auto"/>
              </w:rPr>
            </w:pPr>
            <w:r>
              <w:rPr>
                <w:rFonts w:ascii="Arial" w:cs="Arial" w:eastAsia="Arial" w:hAnsi="Arial"/>
                <w:sz w:val="14"/>
                <w:szCs w:val="14"/>
                <w:color w:val="auto"/>
              </w:rPr>
              <w:t>Indefinite</w:t>
            </w:r>
          </w:p>
        </w:tc>
      </w:tr>
      <w:tr>
        <w:trPr>
          <w:trHeight w:val="274"/>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11,682</w:t>
            </w:r>
          </w:p>
        </w:tc>
        <w:tc>
          <w:tcPr>
            <w:tcW w:w="10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12,407</w:t>
            </w:r>
          </w:p>
        </w:tc>
        <w:tc>
          <w:tcPr>
            <w:tcW w:w="90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382"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$205,000 and $89,000 for the three months ended April 30, 2020 and 2019, respectively. Amortization expense totaled $490,000 and $178,000 for the six months ended April 30, 2020 and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Estimated future amortization expense of intangible assets as of April 30, 2020 are as follows (in thousands):</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35"/>
        </w:trPr>
        <w:tc>
          <w:tcPr>
            <w:tcW w:w="10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six months ended April 30,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10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976</w:t>
            </w:r>
          </w:p>
        </w:tc>
      </w:tr>
      <w:tr>
        <w:trPr>
          <w:trHeight w:val="27"/>
        </w:trPr>
        <w:tc>
          <w:tcPr>
            <w:tcW w:w="10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3,760</w:t>
            </w:r>
          </w:p>
        </w:tc>
      </w:tr>
      <w:tr>
        <w:trPr>
          <w:trHeight w:val="27"/>
        </w:trPr>
        <w:tc>
          <w:tcPr>
            <w:tcW w:w="10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8"/>
        </w:trPr>
        <w:tc>
          <w:tcPr>
            <w:tcW w:w="10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April 30, 2020 and October 31, 2019 were $6,000,000 and $5,499,000,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11. Accrued Liabilities</w:t>
            </w: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and orange supplier payables</w:t>
            </w:r>
          </w:p>
        </w:tc>
        <w:tc>
          <w:tcPr>
            <w:tcW w:w="3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Allowances and packing and harvest expenses</w:t>
            </w:r>
          </w:p>
        </w:tc>
        <w:tc>
          <w:tcPr>
            <w:tcW w:w="3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vMerge w:val="restart"/>
          </w:tcPr>
          <w:p>
            <w:pPr>
              <w:jc w:val="right"/>
              <w:ind w:right="217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12. Long-Term Debt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8"/>
              </w:rPr>
              <w:t>Farm Credit West revolving and non-revolving lines of credit: the interest rate of the revolving line of credit is variable</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based on the one-month London Interbank Offered Rate (“LIBOR”), which was 0.94% at April 30, 2020, plus 1.60%. The</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interest rate for the $40.0 million outstanding balance of the non-revolving line of credit was fixed at 4.77%. Interest is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102,908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payable monthly and the principal is due in full on July 1, 2022.</w:t>
            </w: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rPr>
              <w:t>Farm Credit West term loan: Effective October 1, 2019, the interest rate was fixed at 3.76%. The loan is payable in</w:t>
            </w:r>
          </w:p>
        </w:tc>
        <w:tc>
          <w:tcPr>
            <w:tcW w:w="180" w:type="dxa"/>
            <w:vAlign w:val="bottom"/>
          </w:tcPr>
          <w:p>
            <w:pPr>
              <w:spacing w:after="0"/>
              <w:rPr>
                <w:sz w:val="18"/>
                <w:szCs w:val="18"/>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quarterly installments through November 2022.</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Farm Credit West term loan: Effective October 1, 2019, the interest rate was fixed at 4.14%. The loan is payable in monthly</w:t>
            </w:r>
          </w:p>
        </w:tc>
        <w:tc>
          <w:tcPr>
            <w:tcW w:w="1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3"/>
              </w:rPr>
              <w:t>Farm Credit West term loan: Effective October 1, 2019, the interest rate was fixed at 4.17%. The loan is payable in monthly</w:t>
            </w:r>
          </w:p>
        </w:tc>
        <w:tc>
          <w:tcPr>
            <w:tcW w:w="180" w:type="dxa"/>
            <w:vAlign w:val="bottom"/>
          </w:tcPr>
          <w:p>
            <w:pPr>
              <w:spacing w:after="0"/>
              <w:rPr>
                <w:sz w:val="18"/>
                <w:szCs w:val="18"/>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installments through March 2036.</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Farm Credit West term loan: the interest rate is fixed at 3.62% until March 2021, becoming variable for the remainder of</w:t>
            </w:r>
          </w:p>
        </w:tc>
        <w:tc>
          <w:tcPr>
            <w:tcW w:w="1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loan. The loan is payable in monthly installments though March 2036.</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7"/>
              </w:rPr>
              <w:t>Wells Fargo term loan: the interest rate is fixed at 3.58%. The loan is payable in monthly installments through January</w:t>
            </w:r>
          </w:p>
        </w:tc>
        <w:tc>
          <w:tcPr>
            <w:tcW w:w="180" w:type="dxa"/>
            <w:vAlign w:val="bottom"/>
          </w:tcPr>
          <w:p>
            <w:pPr>
              <w:spacing w:after="0"/>
              <w:rPr>
                <w:sz w:val="18"/>
                <w:szCs w:val="18"/>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Banco de Chile term loan: the interest rate is fixed at 6.48%. The loan is payable in annual installments through January</w:t>
            </w:r>
          </w:p>
        </w:tc>
        <w:tc>
          <w:tcPr>
            <w:tcW w:w="1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2025.</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5"/>
              </w:rPr>
              <w:t>Note Payable: the interest rate ranges from 5.00% to 7.00% and was 6.00% at April 30, 2020. The loan includes interest</w:t>
            </w:r>
          </w:p>
        </w:tc>
        <w:tc>
          <w:tcPr>
            <w:tcW w:w="180" w:type="dxa"/>
            <w:vAlign w:val="bottom"/>
          </w:tcPr>
          <w:p>
            <w:pPr>
              <w:spacing w:after="0"/>
              <w:rPr>
                <w:sz w:val="18"/>
                <w:szCs w:val="18"/>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only monthly payments and principal is due in February 2023.</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109,077</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108,915</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105,892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the Company entered into a Master Loan Agreement (the “Loan Agreement”) with Farm Credit West that includes a Revolving Credit Supplement and a Non-Revolving Credit Supplement (the “Supplements”). In January 2018, the Company amended the Revolving Credit Supplement to increase the borrowing capacity from $60,000,000 to $75,000,000.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loan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April 30, 2020.</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2019, Farm Credit West declared an annual cash patronage dividend of 1.00% of average eligible loan balances. The Company received $966,000 in February 2020.</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382"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Loan Agreement the Company is required to comply with a minimum debt service coverage ratio (as calculated in accordance with the Loan Agreement) of 1.25:1.0 measured as of October 31 each year. On May 29, 2020, the Loan Agreement was amended to adjust the debt service ratio to 1.00:1.0 for October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$355,000 and $344,000 during the three months ended April 30, 2020 and 2019, respectively, and $444,000 and $611,000 during the six months ended April 30, 2020 and 2019, respectively. Capitalized interest is included in property, plant and equipment and real estate development assets in the Company’s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23 years, with various renewal terms available. All of the residential rentals have month to month lease terms.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2020</w:t>
            </w:r>
          </w:p>
        </w:tc>
        <w:tc>
          <w:tcPr>
            <w:tcW w:w="280" w:type="dxa"/>
            <w:vAlign w:val="bottom"/>
          </w:tcPr>
          <w:p>
            <w:pPr>
              <w:spacing w:after="0"/>
              <w:rPr>
                <w:sz w:val="20"/>
                <w:szCs w:val="20"/>
                <w:color w:val="auto"/>
              </w:rPr>
            </w:pPr>
          </w:p>
        </w:tc>
        <w:tc>
          <w:tcPr>
            <w:tcW w:w="18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October 31, 2019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 equipment and building improvements</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22,841</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Property, plant and equipment, net under operating leases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16,569</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assets under operating leases was approximately $160,000 and $326,000 for the three and six months ended April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The Company’s rental operations revenue consists of the following (in thousands):</w:t>
            </w: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30, 2020</w:t>
            </w:r>
          </w:p>
        </w:tc>
        <w:tc>
          <w:tcPr>
            <w:tcW w:w="240" w:type="dxa"/>
            <w:vAlign w:val="bottom"/>
          </w:tcPr>
          <w:p>
            <w:pPr>
              <w:spacing w:after="0"/>
              <w:rPr>
                <w:sz w:val="20"/>
                <w:szCs w:val="20"/>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30, 2020</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Variable lease revenue</w:t>
            </w:r>
          </w:p>
        </w:tc>
        <w:tc>
          <w:tcPr>
            <w:tcW w:w="1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future minimum lease payments to be received by the Company related to these operating lease agreements as of April 30, 2020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(excluding the six months ended April 30, 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382"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18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April 30, 2020, there were no material finance leases for which the Company was a lessee.</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lease costs were $137,000 and $274,000 for the three and six months ended April 30, 2020, respectively, which are primarily included in agribusiness costs and expenses in the Company’s consolidated statements of operations. Variable and short term lease costs were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Classification</w:t>
            </w:r>
          </w:p>
        </w:tc>
        <w:tc>
          <w:tcPr>
            <w:tcW w:w="340" w:type="dxa"/>
            <w:vAlign w:val="bottom"/>
          </w:tcPr>
          <w:p>
            <w:pPr>
              <w:spacing w:after="0"/>
              <w:rPr>
                <w:sz w:val="20"/>
                <w:szCs w:val="20"/>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April 30, 2020</w:t>
            </w:r>
          </w:p>
        </w:tc>
      </w:tr>
      <w:tr>
        <w:trPr>
          <w:trHeight w:val="27"/>
        </w:trPr>
        <w:tc>
          <w:tcPr>
            <w:tcW w:w="602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Operating lease ROU assets</w:t>
            </w:r>
          </w:p>
        </w:tc>
        <w:tc>
          <w:tcPr>
            <w:tcW w:w="30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2,187</w:t>
            </w:r>
          </w:p>
        </w:tc>
      </w:tr>
      <w:tr>
        <w:trPr>
          <w:trHeight w:val="27"/>
        </w:trPr>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324"/>
        </w:trPr>
        <w:tc>
          <w:tcPr>
            <w:tcW w:w="602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1,693</w:t>
            </w:r>
          </w:p>
        </w:tc>
      </w:tr>
      <w:tr>
        <w:trPr>
          <w:trHeight w:val="27"/>
        </w:trPr>
        <w:tc>
          <w:tcPr>
            <w:tcW w:w="60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2,233</w:t>
            </w:r>
          </w:p>
        </w:tc>
      </w:tr>
      <w:tr>
        <w:trPr>
          <w:trHeight w:val="20"/>
        </w:trPr>
        <w:tc>
          <w:tcPr>
            <w:tcW w:w="6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30, 2020</w:t>
            </w:r>
          </w:p>
        </w:tc>
        <w:tc>
          <w:tcPr>
            <w:tcW w:w="240" w:type="dxa"/>
            <w:vAlign w:val="bottom"/>
          </w:tcPr>
          <w:p>
            <w:pPr>
              <w:spacing w:after="0"/>
              <w:rPr>
                <w:sz w:val="20"/>
                <w:szCs w:val="20"/>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30, 2020</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non-cancellable leases for the remainder of fiscal year 2020, each of the subsequent four fiscal years and thereafter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(excluding the six months ended April 30, 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1,450</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382"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operating lease commitments, the Company also has a contract for pollination services which does not meet the definition of a lease, with minimum future payments of $153,000 for the remainder of fiscal year 2020, $307,000 for each of the fiscal years 2021 and 2022 and $51,000 in fiscal year 2023.</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Company’s future minimum payments for obligations under non-cancellable operating leases as of October 31, 2019 was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1,382</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Basic and Diluted Net (Loss) Income per Share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computations for basic and diluted net (loss) income per common share are as follows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April 30,</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April 30,</w:t>
            </w:r>
          </w:p>
        </w:tc>
        <w:tc>
          <w:tcPr>
            <w:tcW w:w="9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income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(loss) income applicable to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Numerator: Net (loss) income for basic EPS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17,516</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Basic net (loss) income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2"/>
        </w:trPr>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income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Numerator: Net (loss) income for 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(2,162)</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shares–diluted</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17,516</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Diluted (losses) earnings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220,000 and 140,000, unvested, restricted shares, as calculated under the treasury stock method, from its computation of diluted (losses) earnings per share for the three months ended April 30, 2020 and 2019, respectively, and 196,000 and 219,000 for the six months ended April 30, 2020 and 2019, respectively.</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382"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April 30, 2020</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w w:val="88"/>
              </w:rPr>
              <w:t>October 31, 2019</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8"/>
              </w:rPr>
              <w:t>Balance Sheet</w:t>
            </w: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w w:val="85"/>
              </w:rPr>
              <w:t>Balance Sheet</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144"/>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7"/>
              </w:rPr>
              <w:t>Receivable/Other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Payables</w:t>
            </w: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w w:val="94"/>
              </w:rPr>
              <w:t>Other Long-</w:t>
            </w:r>
          </w:p>
        </w:tc>
        <w:tc>
          <w:tcPr>
            <w:tcW w:w="100" w:type="dxa"/>
            <w:vAlign w:val="bottom"/>
          </w:tcPr>
          <w:p>
            <w:pPr>
              <w:spacing w:after="0"/>
              <w:rPr>
                <w:sz w:val="12"/>
                <w:szCs w:val="12"/>
                <w:color w:val="auto"/>
              </w:rPr>
            </w:pPr>
          </w:p>
        </w:tc>
        <w:tc>
          <w:tcPr>
            <w:tcW w:w="11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9"/>
              </w:rPr>
              <w:t>Receivable/Other</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w w:val="77"/>
              </w:rPr>
              <w:t>Payables</w:t>
            </w:r>
          </w:p>
        </w:tc>
        <w:tc>
          <w:tcPr>
            <w:tcW w:w="84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w w:val="94"/>
              </w:rPr>
              <w:t>Other Long-</w:t>
            </w: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from Related</w:t>
            </w:r>
          </w:p>
        </w:tc>
        <w:tc>
          <w:tcPr>
            <w:tcW w:w="140" w:type="dxa"/>
            <w:vAlign w:val="bottom"/>
          </w:tcPr>
          <w:p>
            <w:pPr>
              <w:spacing w:after="0"/>
              <w:rPr>
                <w:sz w:val="11"/>
                <w:szCs w:val="11"/>
                <w:color w:val="auto"/>
              </w:rPr>
            </w:pPr>
          </w:p>
        </w:tc>
        <w:tc>
          <w:tcPr>
            <w:tcW w:w="4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Accounts</w:t>
            </w:r>
          </w:p>
        </w:tc>
        <w:tc>
          <w:tcPr>
            <w:tcW w:w="7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to Related</w:t>
            </w:r>
          </w:p>
        </w:tc>
        <w:tc>
          <w:tcPr>
            <w:tcW w:w="100" w:type="dxa"/>
            <w:vAlign w:val="bottom"/>
          </w:tcPr>
          <w:p>
            <w:pPr>
              <w:spacing w:after="0"/>
              <w:rPr>
                <w:sz w:val="11"/>
                <w:szCs w:val="11"/>
                <w:color w:val="auto"/>
              </w:rPr>
            </w:pPr>
          </w:p>
        </w:tc>
        <w:tc>
          <w:tcPr>
            <w:tcW w:w="6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Term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from Related</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Accounts</w:t>
            </w: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8"/>
              </w:rPr>
              <w:t>to Related</w:t>
            </w:r>
          </w:p>
        </w:tc>
        <w:tc>
          <w:tcPr>
            <w:tcW w:w="18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Term</w:t>
            </w:r>
          </w:p>
        </w:tc>
      </w:tr>
      <w:tr>
        <w:trPr>
          <w:trHeight w:val="174"/>
        </w:trPr>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Ref</w:t>
            </w:r>
          </w:p>
        </w:tc>
        <w:tc>
          <w:tcPr>
            <w:tcW w:w="120" w:type="dxa"/>
            <w:vAlign w:val="bottom"/>
            <w:tcBorders>
              <w:bottom w:val="single" w:sz="8" w:color="BFE4FF"/>
            </w:tcBorders>
          </w:tcPr>
          <w:p>
            <w:pPr>
              <w:spacing w:after="0"/>
              <w:rPr>
                <w:sz w:val="15"/>
                <w:szCs w:val="15"/>
                <w:color w:val="auto"/>
              </w:rPr>
            </w:pPr>
          </w:p>
        </w:tc>
        <w:tc>
          <w:tcPr>
            <w:tcW w:w="2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Parties</w:t>
            </w:r>
          </w:p>
        </w:tc>
        <w:tc>
          <w:tcPr>
            <w:tcW w:w="100" w:type="dxa"/>
            <w:vAlign w:val="bottom"/>
            <w:tcBorders>
              <w:bottom w:val="single" w:sz="8" w:color="BFE4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79"/>
              </w:rPr>
              <w:t>Assets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Payable</w:t>
            </w:r>
          </w:p>
        </w:tc>
        <w:tc>
          <w:tcPr>
            <w:tcW w:w="12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Parties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Parties</w:t>
            </w:r>
          </w:p>
        </w:tc>
        <w:tc>
          <w:tcPr>
            <w:tcW w:w="12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Payable</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2"/>
              </w:rPr>
              <w:t>Parties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6"/>
              </w:rPr>
              <w:t>Liabilities</w:t>
            </w:r>
          </w:p>
        </w:tc>
      </w:tr>
      <w:tr>
        <w:trPr>
          <w:trHeight w:val="270"/>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3"/>
                <w:szCs w:val="23"/>
                <w:color w:val="auto"/>
              </w:rPr>
            </w:pPr>
          </w:p>
        </w:tc>
        <w:tc>
          <w:tcPr>
            <w:tcW w:w="23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BFE4FF"/>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501</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473</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24"/>
                <w:szCs w:val="24"/>
                <w:color w:val="auto"/>
              </w:rPr>
            </w:pPr>
          </w:p>
        </w:tc>
        <w:tc>
          <w:tcPr>
            <w:tcW w:w="23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BFE4FF"/>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24"/>
                <w:szCs w:val="24"/>
                <w:color w:val="auto"/>
              </w:rPr>
            </w:pPr>
          </w:p>
        </w:tc>
        <w:tc>
          <w:tcPr>
            <w:tcW w:w="23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Third-party growers</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BFE4FF"/>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1,480</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1,390</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24"/>
                <w:szCs w:val="24"/>
                <w:color w:val="auto"/>
              </w:rPr>
            </w:pPr>
          </w:p>
        </w:tc>
        <w:tc>
          <w:tcPr>
            <w:tcW w:w="23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BFE4FF"/>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Arial" w:cs="Arial" w:eastAsia="Arial" w:hAnsi="Arial"/>
                <w:sz w:val="13"/>
                <w:szCs w:val="13"/>
                <w:color w:val="auto"/>
              </w:rPr>
              <w:t>YMIDD</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24"/>
                <w:szCs w:val="24"/>
                <w:color w:val="auto"/>
              </w:rPr>
            </w:pPr>
          </w:p>
        </w:tc>
        <w:tc>
          <w:tcPr>
            <w:tcW w:w="23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3,776</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2,609</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ind w:right="77"/>
              <w:spacing w:after="0"/>
              <w:rPr>
                <w:sz w:val="20"/>
                <w:szCs w:val="20"/>
                <w:color w:val="auto"/>
              </w:rPr>
            </w:pPr>
            <w:r>
              <w:rPr>
                <w:rFonts w:ascii="Arial" w:cs="Arial" w:eastAsia="Arial" w:hAnsi="Arial"/>
                <w:sz w:val="13"/>
                <w:szCs w:val="13"/>
                <w:color w:val="auto"/>
              </w:rPr>
              <w:t>906</w:t>
            </w:r>
          </w:p>
        </w:tc>
        <w:tc>
          <w:tcPr>
            <w:tcW w:w="180" w:type="dxa"/>
            <w:vAlign w:val="bottom"/>
            <w:shd w:val="clear" w:color="auto" w:fill="BFE4FF"/>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54"/>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Arial" w:cs="Arial" w:eastAsia="Arial" w:hAnsi="Arial"/>
                <w:sz w:val="13"/>
                <w:szCs w:val="13"/>
                <w:color w:val="auto"/>
              </w:rPr>
              <w:t>LLCB</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2,850</w:t>
            </w:r>
          </w:p>
        </w:tc>
        <w:tc>
          <w:tcPr>
            <w:tcW w:w="10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1,200</w:t>
            </w: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149" w:lineRule="exact"/>
        <w:rPr>
          <w:sz w:val="20"/>
          <w:szCs w:val="20"/>
          <w:color w:val="auto"/>
        </w:rPr>
      </w:pPr>
    </w:p>
    <w:p>
      <w:pPr>
        <w:ind w:left="3460"/>
        <w:spacing w:after="0"/>
        <w:rPr>
          <w:sz w:val="20"/>
          <w:szCs w:val="20"/>
          <w:color w:val="auto"/>
        </w:rPr>
      </w:pPr>
      <w:r>
        <w:rPr>
          <w:rFonts w:ascii="Arial" w:cs="Arial" w:eastAsia="Arial" w:hAnsi="Arial"/>
          <w:sz w:val="10"/>
          <w:szCs w:val="10"/>
          <w:b w:val="1"/>
          <w:bCs w:val="1"/>
          <w:color w:val="auto"/>
        </w:rPr>
        <w:t>Three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41275</wp:posOffset>
            </wp:positionV>
            <wp:extent cx="2854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9" w:lineRule="exact"/>
        <w:rPr>
          <w:sz w:val="20"/>
          <w:szCs w:val="20"/>
          <w:color w:val="auto"/>
        </w:rPr>
      </w:pPr>
    </w:p>
    <w:p>
      <w:pPr>
        <w:ind w:left="2960"/>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19685</wp:posOffset>
            </wp:positionV>
            <wp:extent cx="2297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0"/>
          <w:szCs w:val="10"/>
          <w:b w:val="1"/>
          <w:bCs w:val="1"/>
          <w:color w:val="auto"/>
        </w:rPr>
        <w:t>Three Months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41275</wp:posOffset>
            </wp:positionV>
            <wp:extent cx="2837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19685</wp:posOffset>
            </wp:positionV>
            <wp:extent cx="2297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6840" w:space="720"/>
            <w:col w:w="3680"/>
          </w:cols>
          <w:pgMar w:left="320" w:top="382"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Agribusiness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Agribusiness</w:t>
            </w:r>
          </w:p>
        </w:tc>
        <w:tc>
          <w:tcPr>
            <w:tcW w:w="120" w:type="dxa"/>
            <w:vAlign w:val="bottom"/>
          </w:tcPr>
          <w:p>
            <w:pPr>
              <w:spacing w:after="0"/>
              <w:rPr>
                <w:sz w:val="12"/>
                <w:szCs w:val="12"/>
                <w:color w:val="auto"/>
              </w:rPr>
            </w:pPr>
          </w:p>
        </w:tc>
        <w:tc>
          <w:tcPr>
            <w:tcW w:w="56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Income,</w:t>
            </w:r>
          </w:p>
        </w:tc>
        <w:tc>
          <w:tcPr>
            <w:tcW w:w="1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83"/>
              </w:rPr>
              <w:t>Dividends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Income,</w:t>
            </w:r>
          </w:p>
        </w:tc>
        <w:tc>
          <w:tcPr>
            <w:tcW w:w="200" w:type="dxa"/>
            <w:vAlign w:val="bottom"/>
          </w:tcPr>
          <w:p>
            <w:pPr>
              <w:spacing w:after="0"/>
              <w:rPr>
                <w:sz w:val="11"/>
                <w:szCs w:val="11"/>
                <w:color w:val="auto"/>
              </w:rPr>
            </w:pP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Dividends</w:t>
            </w:r>
          </w:p>
        </w:tc>
      </w:tr>
      <w:tr>
        <w:trPr>
          <w:trHeight w:val="174"/>
        </w:trPr>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Ref</w:t>
            </w:r>
          </w:p>
        </w:tc>
        <w:tc>
          <w:tcPr>
            <w:tcW w:w="120" w:type="dxa"/>
            <w:vAlign w:val="bottom"/>
            <w:tcBorders>
              <w:bottom w:val="single" w:sz="8" w:color="BFE4FF"/>
            </w:tcBorders>
          </w:tcPr>
          <w:p>
            <w:pPr>
              <w:spacing w:after="0"/>
              <w:rPr>
                <w:sz w:val="15"/>
                <w:szCs w:val="15"/>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Net</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Net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Paid</w:t>
            </w:r>
          </w:p>
        </w:tc>
      </w:tr>
      <w:tr>
        <w:trPr>
          <w:trHeight w:val="270"/>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3"/>
                <w:szCs w:val="23"/>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1,539</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126</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Third-party growers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YMIDD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2,280</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2,270</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ind w:lef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type w:val="continuous"/>
        </w:sectPr>
      </w:pPr>
    </w:p>
    <w:p>
      <w:pPr>
        <w:spacing w:after="0" w:line="241" w:lineRule="exact"/>
        <w:rPr>
          <w:sz w:val="20"/>
          <w:szCs w:val="20"/>
          <w:color w:val="auto"/>
        </w:rPr>
      </w:pPr>
    </w:p>
    <w:p>
      <w:pPr>
        <w:ind w:left="3540"/>
        <w:spacing w:after="0"/>
        <w:rPr>
          <w:sz w:val="20"/>
          <w:szCs w:val="20"/>
          <w:color w:val="auto"/>
        </w:rPr>
      </w:pPr>
      <w:r>
        <w:rPr>
          <w:rFonts w:ascii="Arial" w:cs="Arial" w:eastAsia="Arial" w:hAnsi="Arial"/>
          <w:sz w:val="10"/>
          <w:szCs w:val="10"/>
          <w:b w:val="1"/>
          <w:bCs w:val="1"/>
          <w:color w:val="auto"/>
        </w:rPr>
        <w:t>Six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41275</wp:posOffset>
            </wp:positionV>
            <wp:extent cx="2854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49" w:lineRule="exact"/>
        <w:rPr>
          <w:sz w:val="20"/>
          <w:szCs w:val="20"/>
          <w:color w:val="auto"/>
        </w:rPr>
      </w:pPr>
    </w:p>
    <w:p>
      <w:pPr>
        <w:ind w:left="296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26670</wp:posOffset>
            </wp:positionV>
            <wp:extent cx="229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Six Months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41275</wp:posOffset>
            </wp:positionV>
            <wp:extent cx="2837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26670</wp:posOffset>
            </wp:positionV>
            <wp:extent cx="2297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6840" w:space="720"/>
            <w:col w:w="3680"/>
          </w:cols>
          <w:pgMar w:left="320" w:top="382"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Agribusiness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Agribusiness</w:t>
            </w:r>
          </w:p>
        </w:tc>
        <w:tc>
          <w:tcPr>
            <w:tcW w:w="120" w:type="dxa"/>
            <w:vAlign w:val="bottom"/>
          </w:tcPr>
          <w:p>
            <w:pPr>
              <w:spacing w:after="0"/>
              <w:rPr>
                <w:sz w:val="12"/>
                <w:szCs w:val="12"/>
                <w:color w:val="auto"/>
              </w:rPr>
            </w:pPr>
          </w:p>
        </w:tc>
        <w:tc>
          <w:tcPr>
            <w:tcW w:w="56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Income,</w:t>
            </w:r>
          </w:p>
        </w:tc>
        <w:tc>
          <w:tcPr>
            <w:tcW w:w="1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83"/>
              </w:rPr>
              <w:t>Dividends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Income,</w:t>
            </w:r>
          </w:p>
        </w:tc>
        <w:tc>
          <w:tcPr>
            <w:tcW w:w="200" w:type="dxa"/>
            <w:vAlign w:val="bottom"/>
          </w:tcPr>
          <w:p>
            <w:pPr>
              <w:spacing w:after="0"/>
              <w:rPr>
                <w:sz w:val="11"/>
                <w:szCs w:val="11"/>
                <w:color w:val="auto"/>
              </w:rPr>
            </w:pP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Dividends</w:t>
            </w:r>
          </w:p>
        </w:tc>
      </w:tr>
      <w:tr>
        <w:trPr>
          <w:trHeight w:val="174"/>
        </w:trPr>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Ref</w:t>
            </w:r>
          </w:p>
        </w:tc>
        <w:tc>
          <w:tcPr>
            <w:tcW w:w="120" w:type="dxa"/>
            <w:vAlign w:val="bottom"/>
            <w:tcBorders>
              <w:bottom w:val="single" w:sz="8" w:color="BFE4FF"/>
            </w:tcBorders>
          </w:tcPr>
          <w:p>
            <w:pPr>
              <w:spacing w:after="0"/>
              <w:rPr>
                <w:sz w:val="15"/>
                <w:szCs w:val="15"/>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Net</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Net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Paid</w:t>
            </w:r>
          </w:p>
        </w:tc>
      </w:tr>
      <w:tr>
        <w:trPr>
          <w:trHeight w:val="270"/>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3"/>
                <w:szCs w:val="23"/>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1,572</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255</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Third-party growers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5,337</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3,841</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YMIDD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2,479</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82"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ind w:right="20" w:firstLine="8"/>
        <w:spacing w:after="0" w:line="216" w:lineRule="auto"/>
        <w:tabs>
          <w:tab w:leader="none" w:pos="213"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April 30, 2020 and October 31, 2019.</w:t>
      </w:r>
    </w:p>
    <w:p>
      <w:pPr>
        <w:spacing w:after="0" w:line="202" w:lineRule="exact"/>
        <w:rPr>
          <w:rFonts w:ascii="Arial" w:cs="Arial" w:eastAsia="Arial" w:hAnsi="Arial"/>
          <w:sz w:val="25"/>
          <w:szCs w:val="25"/>
          <w:color w:val="auto"/>
          <w:vertAlign w:val="superscript"/>
        </w:rPr>
      </w:pPr>
    </w:p>
    <w:p>
      <w:pPr>
        <w:jc w:val="both"/>
        <w:ind w:firstLine="8"/>
        <w:spacing w:after="0" w:line="226" w:lineRule="auto"/>
        <w:tabs>
          <w:tab w:leader="none" w:pos="219"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The Company recorded capital contributions, purchased water and water delivery services and had water payments due to the mutual water companies.</w:t>
      </w:r>
    </w:p>
    <w:p>
      <w:pPr>
        <w:spacing w:after="0" w:line="203" w:lineRule="exact"/>
        <w:rPr>
          <w:rFonts w:ascii="Arial" w:cs="Arial" w:eastAsia="Arial" w:hAnsi="Arial"/>
          <w:sz w:val="25"/>
          <w:szCs w:val="25"/>
          <w:color w:val="auto"/>
          <w:vertAlign w:val="superscript"/>
        </w:rPr>
      </w:pPr>
    </w:p>
    <w:p>
      <w:pPr>
        <w:ind w:firstLine="8"/>
        <w:spacing w:after="0" w:line="252" w:lineRule="auto"/>
        <w:tabs>
          <w:tab w:leader="none" w:pos="205"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189" w:lineRule="exact"/>
        <w:rPr>
          <w:rFonts w:ascii="Arial" w:cs="Arial" w:eastAsia="Arial" w:hAnsi="Arial"/>
          <w:sz w:val="22"/>
          <w:szCs w:val="22"/>
          <w:color w:val="auto"/>
          <w:vertAlign w:val="superscript"/>
        </w:rPr>
      </w:pPr>
    </w:p>
    <w:p>
      <w:pPr>
        <w:jc w:val="both"/>
        <w:ind w:firstLine="8"/>
        <w:spacing w:after="0" w:line="268" w:lineRule="auto"/>
        <w:tabs>
          <w:tab w:leader="none" w:pos="194"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Calavo - The Company had an investment in Calavo through March 2020 and has representation on the board of directors and Calavo has an investment in the Company. Calavo had representation on the board of directors of the Company through December 2018. The Company recorded dividend income on its investment in Calavo, paid dividends to Calavo and had avocado sales to Calavo. Additionally, the Company leases office space to Calavo, purchased storage services from Calavo and had amounts due to Calavo for those services.</w:t>
      </w:r>
    </w:p>
    <w:p>
      <w:pPr>
        <w:spacing w:after="0" w:line="147"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Third party growers - A member of the Company’s board of directors markets lemons through the Company.</w:t>
      </w:r>
    </w:p>
    <w:p>
      <w:pPr>
        <w:spacing w:after="0" w:line="201" w:lineRule="exact"/>
        <w:rPr>
          <w:rFonts w:ascii="Arial" w:cs="Arial" w:eastAsia="Arial" w:hAnsi="Arial"/>
          <w:sz w:val="23"/>
          <w:szCs w:val="23"/>
          <w:color w:val="auto"/>
          <w:vertAlign w:val="superscript"/>
        </w:rPr>
      </w:pPr>
    </w:p>
    <w:p>
      <w:pPr>
        <w:jc w:val="both"/>
        <w:ind w:firstLine="8"/>
        <w:spacing w:after="0" w:line="257" w:lineRule="auto"/>
        <w:tabs>
          <w:tab w:leader="none" w:pos="197"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 xml:space="preserve">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w:t>
      </w:r>
      <w:r>
        <w:rPr>
          <w:rFonts w:ascii="Arial" w:cs="Arial" w:eastAsia="Arial" w:hAnsi="Arial"/>
          <w:sz w:val="17"/>
          <w:szCs w:val="17"/>
          <w:i w:val="1"/>
          <w:iCs w:val="1"/>
          <w:color w:val="auto"/>
        </w:rPr>
        <w:t>ASC 842</w:t>
      </w:r>
      <w:r>
        <w:rPr>
          <w:rFonts w:ascii="Arial" w:cs="Arial" w:eastAsia="Arial" w:hAnsi="Arial"/>
          <w:sz w:val="17"/>
          <w:szCs w:val="17"/>
          <w:color w:val="auto"/>
        </w:rPr>
        <w:t>, the Company recorded a ROU asset and corresponding lease liability.</w:t>
      </w:r>
    </w:p>
    <w:p>
      <w:pPr>
        <w:spacing w:after="0" w:line="188" w:lineRule="exact"/>
        <w:rPr>
          <w:rFonts w:ascii="Arial" w:cs="Arial" w:eastAsia="Arial" w:hAnsi="Arial"/>
          <w:sz w:val="23"/>
          <w:szCs w:val="23"/>
          <w:color w:val="auto"/>
          <w:vertAlign w:val="superscript"/>
        </w:rPr>
      </w:pPr>
    </w:p>
    <w:p>
      <w:pPr>
        <w:jc w:val="both"/>
        <w:ind w:firstLine="8"/>
        <w:spacing w:after="0" w:line="262" w:lineRule="auto"/>
        <w:tabs>
          <w:tab w:leader="none" w:pos="193"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186" w:lineRule="exact"/>
        <w:rPr>
          <w:rFonts w:ascii="Arial" w:cs="Arial" w:eastAsia="Arial" w:hAnsi="Arial"/>
          <w:sz w:val="22"/>
          <w:szCs w:val="22"/>
          <w:color w:val="auto"/>
          <w:vertAlign w:val="superscript"/>
        </w:rPr>
      </w:pPr>
    </w:p>
    <w:p>
      <w:pPr>
        <w:ind w:right="20" w:firstLine="8"/>
        <w:spacing w:after="0" w:line="216" w:lineRule="auto"/>
        <w:tabs>
          <w:tab w:leader="none" w:pos="221"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02" w:lineRule="exact"/>
        <w:rPr>
          <w:rFonts w:ascii="Arial" w:cs="Arial" w:eastAsia="Arial" w:hAnsi="Arial"/>
          <w:sz w:val="25"/>
          <w:szCs w:val="25"/>
          <w:color w:val="auto"/>
          <w:vertAlign w:val="superscript"/>
        </w:rPr>
      </w:pPr>
    </w:p>
    <w:p>
      <w:pPr>
        <w:jc w:val="both"/>
        <w:ind w:firstLine="8"/>
        <w:spacing w:after="0" w:line="243" w:lineRule="auto"/>
        <w:tabs>
          <w:tab w:leader="none" w:pos="196"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payable due to FGF for such fruit purchases and services.</w:t>
      </w:r>
    </w:p>
    <w:p>
      <w:pPr>
        <w:spacing w:after="0" w:line="189"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LLCB - Refer to Note 7, "Real Estate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annual effective blended rate for fiscal year 2020 excluding discrete items is approximately 29.3%. As such, a 35.2% estimated effective blended tax rate, after discrete items primarily related to the CARES Act, was utilized by the Company in the six months ended April 30, 2020 to calculate it income tax provision. The effective tax rate for the six months ended April 30, 2020 was higher than the federal statutory tax rate of 21% mainly due to a $1,380,000 discrete benefit recorded as a result of the carryback of federal net operating losses to previous years when the federal income tax rate was 34%.</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no material uncertain tax positions as of April 30, 2020. The Company recognizes interest expense and penalties related to income tax matters as a component of income tax expense. There was no accrued interest or penalties associated with uncertain tax positions as of April 30,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8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zero and $150,000 during the three months ended April 30, 2020 and 2019, respectively. There were funding contributions of zero and $300,000 during the six months ended April 30,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six months ended April 30, 2020 and 2019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April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April 30,</w:t>
            </w:r>
          </w:p>
        </w:tc>
        <w:tc>
          <w:tcPr>
            <w:tcW w:w="10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2019 performance because the financial performance and other criteria were not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2019, the Company granted 95,000 shares of common stock with a per share price of $18.87 to key executives under the Stock Plan. The related compensation expense of approximately $1,793,000 will be recognized equally over the next three years as the shares vest.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382"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 During January 2020 and 2019, 17,841 and 15,642 shares, respectively, of common stock were granted as Director Awards. The Company recognized $358,000 and $339,000 of stock-based compensation to non-employee directors during the six months ended April 30, 2020 and 2019,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2020 and 2019, members of management exchanged 11,314 and 20,119 shares, respectively, of common stock with fair values of $213,000 and $305,000, respectively, at the date of the exchanges, for the payment of payroll taxes associated with the vesting of shares under the Company’s stock-based compensation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operates in four reportable operating segments: fresh lemons, lemon packing, avocados and other agribusiness. The Company’s operating segments of rental operations and real estate development are no longer disclosed as separate reportable operating segments and are included in the “Corporate and Other” category in the tables below as they do not meet the quantitative threshold and from a qualitative perspective are not a core focus of the Company's main agribusiness activities. Prior years’ information has been restated to conform to the current year’s presentation.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Revenues related to rental operations are included in “Corporate and Other”. Other agribusiness revenues for the three and six months ended April 30, 2020, consists of oranges of $2,667,000 and $4,939,000, respectively, and specialty citrus and other crops of $1,152,000 and $3,044,000, respectively. Other agribusiness revenues for the three and six months ended April 30, 2019, consists of oranges of $1,991,000 and $2,937,000, respectively, and specialty citrus and other crops of $1,910,000 and $3,165,000,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Avocados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39,571</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39,571</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26,961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10,328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33,789</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6,182</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39,971</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2,433</w:t>
            </w:r>
          </w:p>
        </w:tc>
      </w:tr>
      <w:tr>
        <w:trPr>
          <w:trHeight w:val="216"/>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(5,323)</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8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32,428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42,035</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32,428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42,035</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27,915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10,664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(8,157)</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35,218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5,701</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40,919</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261</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2,121</w:t>
            </w:r>
          </w:p>
        </w:tc>
      </w:tr>
      <w:tr>
        <w:trPr>
          <w:trHeight w:val="216"/>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Avocados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81,227</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81,227</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61,312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18,937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7,324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74,048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13,480</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87,528</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554</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4,998</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66,921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2,430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84,053</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66,921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2,430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84,053</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59,997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19,448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6,385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72,266</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11,565</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83,831</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519</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4,247</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6,924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(9,654)</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has evaluated events subsequent to April 30, 2020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primarily an agribusiness company founded and based in Santa Paula, California, committed to responsibly using and managing our approximately 15,700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6,200 acres of lemons, 900 acres of avocados, 1,600 acres of oranges and 1,000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approximately 260 completed rental units and another approximately 1,250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three business divisions: agribusiness, rental operations and real estate development. The agribusiness division is comprised of four reportable operating segments: fresh lemons, lemon packing, avocados and other agribusiness, and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agribusiness division represented approximately 97%, 96% and 96% of our fiscal year 2019, 2018 and 2017 consolidated revenues, respectively, of which fresh lemons and lemon packing combined represented 87%, 80% and 78% of our fiscal year 2019, 2018 and 2017 consolidated revenues, respectively.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six months ended April 30, 2020, lemon sales were comprised of approximately 71% in domestic and Canadian sales, 26% in sales to domestic exporters and 3% in international sales. Additionally, we had approximately $1.5 million of lemon and orange sales in Chile by PDA and San Pablo and $2.5 million of lemon and orange sales in Argentina by Trapani Fresh in the six months ended April 30, 2020. We sell our oranges and specialty citrus to Sunkist-licensed and other third-party packinghouses. We sell our pistachios to a roaster, packager and marketer of nuts, and our wine grapes are sold to various wine producers.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64"/>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Divisions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rental operations division includes our residential and commercial rentals, leased land operations and organic recycling. Our rental operations division represented approximately 3%, 4% and 4% of our consolidated revenues in fiscal years 2019, 2018 and 2017,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rental operations is generally level throughout the year.</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real estate development division includes our real estate development investments. The real estate development division had no revenue in fiscal years 2019, 2018 or 2017.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located in Ventura County, California is sourced from the existing water resources associated with our land, which includes approximately 8,600-acre 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Citrus Packers, Inc.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has historically experienced periods of below average precipitation. Precipitation in 2019 brought relief to California’s drought conditions, although the few years prior to 2019 were among the most severe droughts on record. Rainfall, snow levels and water content of snow pack were significantly below historical averages. These conditions resulted in reduced water levels in streams, rivers, lakes, aquifers and reservoirs. Federal officials oversee the Central Valley Project, California’s largest water delivery system and 100% of the contracted amount of water was provided to San Joaquin Valley farmers in 2019, 2018 and 2017 compared to 75% in 2016 and zero in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 sales representing 244 units through April 30, 2020. For further information see Note 7 – Real Estate Development of the notes to consolidated financial statements included in this Quarterly Report on Form 10-Q.</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30, 2019, we acquired a 51% interest in a joint venture, Trapani Fresh, formed with FGF Trapani (“FGF”), a multi-generational, family owned citrus operation in Argentina. To consummate the transaction, we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our interest in Trapani Fresh was $15.0 million. Subsequently, in February 2020, FGF agreed to a decrease in the purchase consideration of $0.2 million to reflect profits that Limoneira Argentina would have received had the transaction been consummated at the beginning of the 2019 lemon export season.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fiscal year 2020, we entered into an agreement to sell our Sevilla property for $2.7 million. After transaction and other costs, we expect to receive proceeds of approximately $2.6 million and recognize an insignificant gain. At April 30, 2020, the $2.5 million carrying value of the property was classified as held for sale and included in prepaid expenses and other current assets.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loan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we sold our remaining 200,000 shares of Calavo Growers, Inc. ("Calavo") common stock at an average price of $55.29 per share. Net proceeds from the sale were $11.0 million and we recognized a loss of $6.3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We have evaluated the impact on our consolidated financial statements and estimated the impact of approximately $1.4 million of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 Developments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benefit and $4.9 million federal refund as a result of the CARES Act. We anticipate we will benefit from the utilization of net operating losses, the technical correction for qualified leasehold improvements eligible for 100% tax bonus depreciation and potentially other provisions within the CARES Act.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fiscal year 2019, we declared cash dividends to our stockholders totaling $0.30 per common share in the aggregate amount of $5.3 million. On April 15, 2020, we declared a cash dividend of $0.075 per common share, which was paid on April 19, 2020, in the aggregate amount of $1.3 million to common stockholders of record as of April 8, 2020. On December 17, 2019, we declared a cash dividend of $0.075 per common share, which was paid on January 15, 2020, in the aggregate amount of $1.3 million to common stockholders of record as of December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spread of the novel coronavirus (COVID-19) in recent months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resulting in a significant market oversupply. The export market for fresh product has also significantly declined due to COVID-19 impacts.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decline in demand for our products during the second quarter of 2020, which we believe was a result of the COVID-19 pandemic, negatively impacted our sales and profitability for the second quarter of 2020.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those presented in - Item 1A. Risk Factors of this Quarterly Report. Although subject to unforeseen changes that may arise as the COVID-19 pandemic continues to unfold, we currently expect improvement during the second half of 2020, specifically as restaurants and bars begin to reopen.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took proactive actions early on to protect the health of our employees and their families, including curtailing business travel and encouraging video conferencing whenever possible. In addition, as the COVID-19 pandemic worsened throughout March and into April and May 2020, we allowed personnel to work remotely to the extent possible. While we believe we have taken appropriate measures to mitigate the impacts of the COVID-19 pandemic, as the situation evolves into what could be a more prolonged pandemic,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we have taken actions to improve our current liquidity position, including temporarily postponing capital expenditures, selling equity securities to increase cash, reducing operating costs, and substantially reducing discretionary spending.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the largest growers of lemons and avocados in the United States and maintain our country's food chain infrastructure and thus were considered an essential business and permitted to remain open during the second quarter of 2020,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the remainder of fiscal year 2020 and beyond cannot be fully estimated at this point. The following discussions are subject to the future effects of the COVID-19 pandemic on our ongoing business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w w:val="95"/>
              </w:rPr>
              <w:t>The following table shows the results of operations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April 30,</w:t>
            </w:r>
          </w:p>
        </w:tc>
        <w:tc>
          <w:tcPr>
            <w:tcW w:w="280" w:type="dxa"/>
            <w:vAlign w:val="bottom"/>
          </w:tcPr>
          <w:p>
            <w:pPr>
              <w:spacing w:after="0"/>
              <w:rPr>
                <w:sz w:val="24"/>
                <w:szCs w:val="24"/>
                <w:color w:val="auto"/>
              </w:rPr>
            </w:pPr>
          </w:p>
        </w:tc>
        <w:tc>
          <w:tcPr>
            <w:tcW w:w="27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9"/>
              </w:rPr>
              <w:t>Six Months Ended April 30,</w:t>
            </w:r>
          </w:p>
        </w:tc>
      </w:tr>
      <w:tr>
        <w:trPr>
          <w:trHeight w:val="27"/>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38,439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78,922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81,623</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2,305</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81,227</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84,053</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78,492</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75,994</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2,386</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11,648</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9,858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92,526</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88,078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operations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(11,299)</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(4,025)</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earnings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(Loss) gain on stock in Calavo Growers, Inc.</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(6,299)</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(7,552)</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1,492</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6,641</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loss (gain) on stock in Calavo, LLCB earnings in equity investments, disposals of assets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April 30,</w:t>
            </w:r>
          </w:p>
        </w:tc>
        <w:tc>
          <w:tcPr>
            <w:tcW w:w="400" w:type="dxa"/>
            <w:vAlign w:val="bottom"/>
          </w:tcPr>
          <w:p>
            <w:pPr>
              <w:spacing w:after="0"/>
              <w:rPr>
                <w:sz w:val="20"/>
                <w:szCs w:val="20"/>
                <w:color w:val="auto"/>
              </w:rPr>
            </w:pPr>
          </w:p>
        </w:tc>
        <w:tc>
          <w:tcPr>
            <w:tcW w:w="2880" w:type="dxa"/>
            <w:vAlign w:val="bottom"/>
            <w:gridSpan w:val="3"/>
          </w:tcPr>
          <w:p>
            <w:pPr>
              <w:ind w:left="220"/>
              <w:spacing w:after="0"/>
              <w:rPr>
                <w:sz w:val="20"/>
                <w:szCs w:val="20"/>
                <w:color w:val="auto"/>
              </w:rPr>
            </w:pPr>
            <w:r>
              <w:rPr>
                <w:rFonts w:ascii="Arial" w:cs="Arial" w:eastAsia="Arial" w:hAnsi="Arial"/>
                <w:sz w:val="18"/>
                <w:szCs w:val="18"/>
                <w:b w:val="1"/>
                <w:bCs w:val="1"/>
                <w:color w:val="auto"/>
              </w:rPr>
              <w:t>Six Months Ended April 30,</w:t>
            </w:r>
          </w:p>
        </w:tc>
      </w:tr>
      <w:tr>
        <w:trPr>
          <w:trHeight w:val="27"/>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686</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6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2,121</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4,998</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4,247</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6,706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(gain) on stock in Calavo Growers, Inc.</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(3,612)</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6,299</w:t>
            </w:r>
          </w:p>
        </w:tc>
        <w:tc>
          <w:tcPr>
            <w:tcW w:w="6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LLCB loss (earnings) in equity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on asset disposals</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6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2020 Compared to the Three Months Ended April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revenues for the second quarter of fiscal year 2020 were $39.6 million compared to $42.0 million for the same period of fiscal year 2019. The 6% decrease of $2.5 million was primarily the result of decreased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6400" w:type="dxa"/>
            <w:vAlign w:val="bottom"/>
            <w:gridSpan w:val="8"/>
          </w:tcPr>
          <w:p>
            <w:pPr>
              <w:ind w:left="840"/>
              <w:spacing w:after="0"/>
              <w:rPr>
                <w:sz w:val="20"/>
                <w:szCs w:val="20"/>
                <w:color w:val="auto"/>
              </w:rPr>
            </w:pPr>
            <w:r>
              <w:rPr>
                <w:rFonts w:ascii="Arial" w:cs="Arial" w:eastAsia="Arial" w:hAnsi="Arial"/>
                <w:sz w:val="18"/>
                <w:szCs w:val="18"/>
                <w:b w:val="1"/>
                <w:bCs w:val="1"/>
                <w:color w:val="auto"/>
              </w:rPr>
              <w:t>Agribusiness Revenues for the Three Months Ended April 30,</w:t>
            </w:r>
          </w:p>
        </w:tc>
      </w:tr>
      <w:tr>
        <w:trPr>
          <w:trHeight w:val="27"/>
        </w:trPr>
        <w:tc>
          <w:tcPr>
            <w:tcW w:w="4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114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32,598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(3,784)</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1"/>
              </w:rPr>
              <w:t>(10)%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Avocados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1,482</w:t>
            </w:r>
          </w:p>
        </w:tc>
        <w:tc>
          <w:tcPr>
            <w:tcW w:w="1140" w:type="dxa"/>
            <w:vAlign w:val="bottom"/>
          </w:tcPr>
          <w:p>
            <w:pPr>
              <w:jc w:val="center"/>
              <w:ind w:right="350"/>
              <w:spacing w:after="0"/>
              <w:rPr>
                <w:sz w:val="20"/>
                <w:szCs w:val="20"/>
                <w:color w:val="auto"/>
              </w:rPr>
            </w:pPr>
            <w:r>
              <w:rPr>
                <w:rFonts w:ascii="Arial" w:cs="Arial" w:eastAsia="Arial" w:hAnsi="Arial"/>
                <w:sz w:val="18"/>
                <w:szCs w:val="18"/>
                <w:color w:val="auto"/>
                <w:w w:val="91"/>
              </w:rPr>
              <w:t>274%</w:t>
            </w:r>
          </w:p>
        </w:tc>
      </w:tr>
      <w:tr>
        <w:trPr>
          <w:trHeight w:val="27"/>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Oranges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676</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34%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(758)</w:t>
            </w:r>
          </w:p>
        </w:tc>
        <w:tc>
          <w:tcPr>
            <w:tcW w:w="1140" w:type="dxa"/>
            <w:vAlign w:val="bottom"/>
          </w:tcPr>
          <w:p>
            <w:pPr>
              <w:jc w:val="center"/>
              <w:ind w:right="330"/>
              <w:spacing w:after="0"/>
              <w:rPr>
                <w:sz w:val="20"/>
                <w:szCs w:val="20"/>
                <w:color w:val="auto"/>
              </w:rPr>
            </w:pPr>
            <w:r>
              <w:rPr>
                <w:rFonts w:ascii="Arial" w:cs="Arial" w:eastAsia="Arial" w:hAnsi="Arial"/>
                <w:sz w:val="18"/>
                <w:szCs w:val="18"/>
                <w:color w:val="auto"/>
                <w:w w:val="91"/>
              </w:rPr>
              <w:t>(40)%</w:t>
            </w: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38,439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(2,384)</w:t>
            </w:r>
          </w:p>
        </w:tc>
        <w:tc>
          <w:tcPr>
            <w:tcW w:w="114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4"/>
              </w:rPr>
              <w:t>(6)%</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Lemons: The decrease in the second quarter of fiscal year 2020 was primarily the result of lower prices partially offset by increased volume of fresh lemons sold compared to the same period in fiscal year 2019. Second quarter of fiscal year 2020 includes sales of $2.3 million by Trapani Fresh on 143,000 cartons of fresh lemons sold. During the second quarter of fiscal years 2020 and 2019, fresh lemon sales were $25.3 million and $26.3 million on, in aggregate, 1,475,000 and 1,300,000 cartons of lemons sold at average per carton price of $17.14 and $20.26, respectively. COVID-19 related food service closures reduced the demand for lemons and created an over-supply in the marketplace. This oversupply of lemons resulted in lower average per carton prices in the second quarter of fiscal year 2020 compared to the same period in fiscal year 2019. Lemon revenues in the second quarter of fiscal years 2020 and 2019 included $3.9 million and $4.0 million shipping and handling, $1.6 million and $4.3 million lemon by-products and $1.9 million and $1.8 million other lemon sales, respectively. Other lemon sales in the second quarter of fiscal years 2020 and 2019 included $0.9 million and $1.0 million in Chile, respectively.</w:t>
      </w:r>
    </w:p>
    <w:p>
      <w:pPr>
        <w:spacing w:after="0" w:line="179"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Avocados: The increase in the second quarter of fiscal year 2020 was primarily the result of an increase in price and volume of avocados sold compared to the same period in fiscal year 2019. During the second quarter of fiscal years 2020 and 2019, 1.2 million and 0.4 million pounds of avocados were sold at an average per pound price of $1.64 and $1.27, respectively.</w:t>
      </w:r>
    </w:p>
    <w:p>
      <w:pPr>
        <w:spacing w:after="0" w:line="183" w:lineRule="exact"/>
        <w:rPr>
          <w:rFonts w:ascii="Arial" w:cs="Arial" w:eastAsia="Arial" w:hAnsi="Arial"/>
          <w:sz w:val="18"/>
          <w:szCs w:val="18"/>
          <w:color w:val="auto"/>
        </w:rPr>
      </w:pPr>
    </w:p>
    <w:p>
      <w:pPr>
        <w:jc w:val="both"/>
        <w:ind w:left="500" w:hanging="330"/>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Oranges: The increase in the second quarter of fiscal year 2020 was primarily the result of higher prices of oranges partially offset by a decrease in volume of oranges sold compared to the same period in fiscal year 2019. In the second quarter of fiscal years 2020 and 2019, 356,000 and 361,000 40-pound carton equivalents of oranges were sold at average per carton price of $7.49 and $5.52, respectively.</w:t>
      </w:r>
    </w:p>
    <w:p>
      <w:pPr>
        <w:spacing w:after="0" w:line="165" w:lineRule="exact"/>
        <w:rPr>
          <w:rFonts w:ascii="Arial" w:cs="Arial" w:eastAsia="Arial" w:hAnsi="Arial"/>
          <w:sz w:val="17"/>
          <w:szCs w:val="17"/>
          <w:color w:val="auto"/>
        </w:rPr>
      </w:pPr>
    </w:p>
    <w:p>
      <w:pPr>
        <w:jc w:val="both"/>
        <w:ind w:left="500" w:hanging="330"/>
        <w:spacing w:after="0" w:line="31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Specialty citrus and other crops: The decrease in the second quarter of fiscal year 2020 was primarily the result of a decrease in volume partially offset by higher prices of specialty citrus sold compared to the same period in fiscal year 2019. During the second quarter of fiscal years 2020 and 2019, 125,000 and 272,000 40-pound carton equivalents of specialty citrus were sold at an average per carton price of $9.22 and $7.02,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99"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Our total costs and expenses in the second quarter of fiscal year 2020 were $42.4 million compared to $43.0 million in the same period of fiscal year 2019. The 1% decrease of $0.6 million was primarily attributable to decreases in our agribusiness costs and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840" w:type="dxa"/>
            <w:vAlign w:val="bottom"/>
            <w:gridSpan w:val="8"/>
          </w:tcPr>
          <w:p>
            <w:pPr>
              <w:ind w:left="680"/>
              <w:spacing w:after="0"/>
              <w:rPr>
                <w:sz w:val="20"/>
                <w:szCs w:val="20"/>
                <w:color w:val="auto"/>
              </w:rPr>
            </w:pPr>
            <w:r>
              <w:rPr>
                <w:rFonts w:ascii="Arial" w:cs="Arial" w:eastAsia="Arial" w:hAnsi="Arial"/>
                <w:sz w:val="18"/>
                <w:szCs w:val="18"/>
                <w:b w:val="1"/>
                <w:bCs w:val="1"/>
                <w:color w:val="auto"/>
                <w:w w:val="99"/>
              </w:rPr>
              <w:t>Agribusiness Costs and Expenses for the Three Months Ended April 30,</w:t>
            </w:r>
          </w:p>
        </w:tc>
      </w:tr>
      <w:tr>
        <w:trPr>
          <w:trHeight w:val="27"/>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spacing w:after="0"/>
              <w:rPr>
                <w:sz w:val="20"/>
                <w:szCs w:val="20"/>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11,131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467</w:t>
            </w:r>
          </w:p>
        </w:tc>
        <w:tc>
          <w:tcPr>
            <w:tcW w:w="122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2"/>
              </w:rPr>
              <w:t>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4,604</w:t>
            </w:r>
          </w:p>
        </w:tc>
        <w:tc>
          <w:tcPr>
            <w:tcW w:w="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(68)</w:t>
            </w:r>
          </w:p>
        </w:tc>
        <w:tc>
          <w:tcPr>
            <w:tcW w:w="1220" w:type="dxa"/>
            <w:vAlign w:val="bottom"/>
          </w:tcPr>
          <w:p>
            <w:pPr>
              <w:jc w:val="center"/>
              <w:ind w:right="370"/>
              <w:spacing w:after="0"/>
              <w:rPr>
                <w:sz w:val="20"/>
                <w:szCs w:val="20"/>
                <w:color w:val="auto"/>
              </w:rPr>
            </w:pPr>
            <w:r>
              <w:rPr>
                <w:rFonts w:ascii="Arial" w:cs="Arial" w:eastAsia="Arial" w:hAnsi="Arial"/>
                <w:sz w:val="18"/>
                <w:szCs w:val="18"/>
                <w:color w:val="auto"/>
                <w:w w:val="94"/>
              </w:rPr>
              <w:t>(1)%</w:t>
            </w:r>
          </w:p>
        </w:tc>
      </w:tr>
      <w:tr>
        <w:trPr>
          <w:trHeight w:val="27"/>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c>
          <w:tcPr>
            <w:tcW w:w="122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2"/>
              </w:rPr>
              <w:t>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11,242</w:t>
            </w:r>
          </w:p>
        </w:tc>
        <w:tc>
          <w:tcPr>
            <w:tcW w:w="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(1,975)</w:t>
            </w:r>
          </w:p>
        </w:tc>
        <w:tc>
          <w:tcPr>
            <w:tcW w:w="1220" w:type="dxa"/>
            <w:vAlign w:val="bottom"/>
          </w:tcPr>
          <w:p>
            <w:pPr>
              <w:jc w:val="center"/>
              <w:ind w:right="370"/>
              <w:spacing w:after="0"/>
              <w:rPr>
                <w:sz w:val="20"/>
                <w:szCs w:val="20"/>
                <w:color w:val="auto"/>
              </w:rPr>
            </w:pPr>
            <w:r>
              <w:rPr>
                <w:rFonts w:ascii="Arial" w:cs="Arial" w:eastAsia="Arial" w:hAnsi="Arial"/>
                <w:sz w:val="18"/>
                <w:szCs w:val="18"/>
                <w:color w:val="auto"/>
                <w:w w:val="91"/>
              </w:rPr>
              <w:t>(15)%</w:t>
            </w:r>
          </w:p>
        </w:tc>
      </w:tr>
      <w:tr>
        <w:trPr>
          <w:trHeight w:val="27"/>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88"/>
              </w:rPr>
              <w:t>16%</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35,949</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37,078</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(1,129)</w:t>
            </w:r>
          </w:p>
        </w:tc>
        <w:tc>
          <w:tcPr>
            <w:tcW w:w="1220" w:type="dxa"/>
            <w:vAlign w:val="bottom"/>
            <w:tcBorders>
              <w:top w:val="single" w:sz="8" w:color="auto"/>
              <w:bottom w:val="single" w:sz="8" w:color="auto"/>
            </w:tcBorders>
          </w:tcPr>
          <w:p>
            <w:pPr>
              <w:jc w:val="center"/>
              <w:ind w:right="370"/>
              <w:spacing w:after="0"/>
              <w:rPr>
                <w:sz w:val="20"/>
                <w:szCs w:val="20"/>
                <w:color w:val="auto"/>
              </w:rPr>
            </w:pPr>
            <w:r>
              <w:rPr>
                <w:rFonts w:ascii="Arial" w:cs="Arial" w:eastAsia="Arial" w:hAnsi="Arial"/>
                <w:sz w:val="18"/>
                <w:szCs w:val="18"/>
                <w:color w:val="auto"/>
                <w:w w:val="94"/>
              </w:rPr>
              <w:t>(3)%</w:t>
            </w: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second quarter of fiscal years 2020 and 2019, lemon packing costs were $10.4 million and $9.9 million, respectively, which include Trapani Fresh lemon packing costs of $0.6 million in the second quarter of fiscal year 2020. During the second quarter of fiscal years 2020 and 2019, we packed and sold 1,475,000 and 1,300,000 cartons of lemons at average per carton costs of $7.06 and $7.60, respectively. Additionally, packing costs included $0.7 million and $0.8 million of shipping costs in the second quarter of fiscal years 2020 and 2019, respectively.</w:t>
      </w:r>
    </w:p>
    <w:p>
      <w:pPr>
        <w:spacing w:after="0" w:line="192"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Harvest costs: Harvest costs for the second quarter of fiscal year 2020 were similar to the second quarter of 2019.</w:t>
      </w:r>
    </w:p>
    <w:p>
      <w:pPr>
        <w:spacing w:after="0" w:line="225" w:lineRule="exact"/>
        <w:rPr>
          <w:rFonts w:ascii="Arial" w:cs="Arial" w:eastAsia="Arial" w:hAnsi="Arial"/>
          <w:sz w:val="18"/>
          <w:szCs w:val="18"/>
          <w:color w:val="auto"/>
        </w:rPr>
      </w:pPr>
    </w:p>
    <w:p>
      <w:pPr>
        <w:jc w:val="both"/>
        <w:ind w:left="500" w:hanging="330"/>
        <w:spacing w:after="0" w:line="286"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In the second quarter of fiscal year 2020 growing costs were similar to the same period in fiscal year 2019. Growing costs reflect farm management decisions based on weather, harvest timing and crop conditions.</w:t>
      </w:r>
    </w:p>
    <w:p>
      <w:pPr>
        <w:spacing w:after="0" w:line="165" w:lineRule="exact"/>
        <w:rPr>
          <w:rFonts w:ascii="Arial" w:cs="Arial" w:eastAsia="Arial" w:hAnsi="Arial"/>
          <w:sz w:val="17"/>
          <w:szCs w:val="17"/>
          <w:color w:val="auto"/>
        </w:rPr>
      </w:pPr>
    </w:p>
    <w:p>
      <w:pPr>
        <w:jc w:val="both"/>
        <w:ind w:left="500" w:hanging="330"/>
        <w:spacing w:after="0" w:line="25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decrease in the second quarter of fiscal year 2020 is primarily attributable to lower prices partially offset by increased volume of third-party grower fruit sold. Of the 1,475,000 and 1,300,000 cartons of lemons packed and sold during the second quarter of fiscal years 2020 and 2019, respectively, 882,000 (60%) and 770,000 (59%) cartons were procured from third-party growers at average per carton prices of $11.70 and $17.01, respectively.</w:t>
      </w:r>
    </w:p>
    <w:p>
      <w:pPr>
        <w:spacing w:after="0" w:line="187"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second quarter of fiscal year 2020 was approximately $0.3 million higher than the same period of fiscal year 2019, primarily due to the acquisition of Trapani Fresh in May 2019.</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costs and expenses were $5.3 million in the three months ended April 30, 2020 compared to $4.8 million in the three months ended April 30, 2019. The $0.5 million increase was primarily the result of $0.6 million due to the acquisition of Trapani Fresh, $0.1 million in training costs associated with an ERP implementation and $0.3 million of other selling and administrative expenses, partially offset by a net decrease in salaries, benefits and incentive compensation of $0.5 million as of April 30, 2020 compared to April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for the three months ended April 30, 2020 was comprised primarily of $4.3 million loss on stock in Calavo Growers, Inc., $0.4 million of equity in loss of investments, and $1.1 million of interest expense, net. Other income for the three months ended April 30, 2019 was comprised primarily of $3.6 million gain on stock in Calavo Growers, Inc., and $1.9 million of equity in earnings of investments, partially offset by $0.7 million of interest expense, 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estimated income tax benefit of $3.5 million and a tax provision of $1.1 million in the second quarter of fiscal years 2020 and 2019 on pre-tax loss of $8.8 million and a pre-tax income of $3.9 million, respectively The tax benefit recorded for the second quarter of fiscal year 2020 differs from the U.S. federal statutory tax rate of 21.0% due primarily to a $1.4 million discrete benefit related to the CARES Act. Our projected annual effective blended tax rate for fiscal year 2020 excluding discrete items is approximately 29.3%.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loss (income) attributable to noncontrolling interest represents 10% and 49% of the net loss (income) of PDA and Trapani Fresh,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2020 Compared to the Six Months Ended April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net revenues for the six months ended April 30, 2020 were $81.2 million compared to $84.1 million for the six months ended April 30, 2019. The 3% decrease of $2.8 million was primarily the result of decreased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6400" w:type="dxa"/>
            <w:vAlign w:val="bottom"/>
            <w:gridSpan w:val="8"/>
          </w:tcPr>
          <w:p>
            <w:pPr>
              <w:ind w:left="960"/>
              <w:spacing w:after="0"/>
              <w:rPr>
                <w:sz w:val="20"/>
                <w:szCs w:val="20"/>
                <w:color w:val="auto"/>
              </w:rPr>
            </w:pPr>
            <w:r>
              <w:rPr>
                <w:rFonts w:ascii="Arial" w:cs="Arial" w:eastAsia="Arial" w:hAnsi="Arial"/>
                <w:sz w:val="18"/>
                <w:szCs w:val="18"/>
                <w:b w:val="1"/>
                <w:bCs w:val="1"/>
                <w:color w:val="auto"/>
              </w:rPr>
              <w:t>Agribusiness Revenues for the Six Months Ended April 30,</w:t>
            </w:r>
          </w:p>
        </w:tc>
      </w:tr>
      <w:tr>
        <w:trPr>
          <w:trHeight w:val="27"/>
        </w:trPr>
        <w:tc>
          <w:tcPr>
            <w:tcW w:w="4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68,749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(6,229)</w:t>
            </w:r>
          </w:p>
        </w:tc>
        <w:tc>
          <w:tcPr>
            <w:tcW w:w="112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Avocados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2,190</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1,647</w:t>
            </w:r>
          </w:p>
        </w:tc>
        <w:tc>
          <w:tcPr>
            <w:tcW w:w="1120" w:type="dxa"/>
            <w:vAlign w:val="bottom"/>
          </w:tcPr>
          <w:p>
            <w:pPr>
              <w:jc w:val="center"/>
              <w:ind w:right="370"/>
              <w:spacing w:after="0"/>
              <w:rPr>
                <w:sz w:val="20"/>
                <w:szCs w:val="20"/>
                <w:color w:val="auto"/>
              </w:rPr>
            </w:pPr>
            <w:r>
              <w:rPr>
                <w:rFonts w:ascii="Arial" w:cs="Arial" w:eastAsia="Arial" w:hAnsi="Arial"/>
                <w:sz w:val="18"/>
                <w:szCs w:val="18"/>
                <w:color w:val="auto"/>
                <w:w w:val="91"/>
              </w:rPr>
              <w:t>303%</w:t>
            </w:r>
          </w:p>
        </w:tc>
      </w:tr>
      <w:tr>
        <w:trPr>
          <w:trHeight w:val="27"/>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Oranges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2,002</w:t>
            </w:r>
          </w:p>
        </w:tc>
        <w:tc>
          <w:tcPr>
            <w:tcW w:w="112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68%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3,044</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(121)</w:t>
            </w:r>
          </w:p>
        </w:tc>
        <w:tc>
          <w:tcPr>
            <w:tcW w:w="1120" w:type="dxa"/>
            <w:vAlign w:val="bottom"/>
          </w:tcPr>
          <w:p>
            <w:pPr>
              <w:jc w:val="center"/>
              <w:ind w:right="350"/>
              <w:spacing w:after="0"/>
              <w:rPr>
                <w:sz w:val="20"/>
                <w:szCs w:val="20"/>
                <w:color w:val="auto"/>
              </w:rPr>
            </w:pPr>
            <w:r>
              <w:rPr>
                <w:rFonts w:ascii="Arial" w:cs="Arial" w:eastAsia="Arial" w:hAnsi="Arial"/>
                <w:sz w:val="18"/>
                <w:szCs w:val="18"/>
                <w:color w:val="auto"/>
                <w:w w:val="94"/>
              </w:rPr>
              <w:t>(4)%</w:t>
            </w: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78,922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(2,701)</w:t>
            </w:r>
          </w:p>
        </w:tc>
        <w:tc>
          <w:tcPr>
            <w:tcW w:w="112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(3)%</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Lemons: The decrease in the first six months of fiscal year 2020 was primarily the result of lower prices partially offset by increased volume of fresh lemons sold compared to the same period in fiscal year 2019. Fiscal year 2020 includes sales of $2.5 million by Trapani Fresh on 196,000 cartons of fresh lemons sold. During the first six months of fiscal years 2020 and 2019, fresh lemon sales were $52.3 million and $57.2 million on, in aggregate, 2,755,000 and 2,572,000 cartons of lemons sold at average per carton prices of $18.99 and $22.26, respectively. COVID-19 related food service closures reduced the demand for lemons and created an over-supply in the marketplace. This oversupply of lemons resulted in lower average per carton prices in the second quarter of fiscal year 2020 compared to the same period in fiscal year 2019. Lemon revenues included $8.0 million and $8.1 million shipping and handling, $2.6 million and $6.3 million lemon by-products and $5.9 million and $3.3 million other lemon sales during the first six months of fiscal years 2020 and 2019, respectively. Other lemon sales in the first six months of fiscal years 2020 and 2019 included $1.3 million and $1.4 million in Chile, respectively.</w:t>
      </w:r>
    </w:p>
    <w:p>
      <w:pPr>
        <w:spacing w:after="0" w:line="179"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Avocados: The increase in the first six months of fiscal year 2020 was primarily the result of increased price and volume of avocados sold compared to the same period in fiscal year 2019. During the first six months of fiscal years 2020 and 2019, 1.4 million and 0.4 million pounds of avocados were sold at an average per pound price of $1.61 and $1.27, respectively.</w:t>
      </w:r>
    </w:p>
    <w:p>
      <w:pPr>
        <w:spacing w:after="0" w:line="183"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Oranges: The increase in the first six months of fiscal year 2020 was primarily the result of an increase in price and volume of oranges sold compared to the same period in fiscal year 2019. During the six months of fiscal years 2020 and 2019, 551,000 and 486,000 40-pound carton equivalents of oranges were sold at average per carton prices of $8.75 and $6.04, respectively. Additionally, in the first six months of fiscal years 2020 and 2019, revenues included $0.1 million and $0.2 million in Chile, respectively.</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Specialty citrus and other crops: The decrease in the first six months of fiscal year 2020 was primarily the result of a decrease in volume partially offset by higher prices of specialty citrus sold compared to the same period in fiscal year 2019. During the first six months of fiscal years 2020 and 2019, 256,000 and 353,000 40-pound carton equivalents of specialty citrus were sold at an average per carton price of $11.89 and $8.97,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Our total costs and expenses in the first six months of fiscal year 2020 were $92.5 million compared to $88.1 million in the same period of fiscal year 2019. The 5% increase of $4.4 million was primarily attributable to increases in our agribusiness and selling, general and administrative costs and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6400" w:type="dxa"/>
            <w:vAlign w:val="bottom"/>
            <w:gridSpan w:val="8"/>
          </w:tcPr>
          <w:p>
            <w:pPr>
              <w:ind w:left="560"/>
              <w:spacing w:after="0"/>
              <w:rPr>
                <w:sz w:val="20"/>
                <w:szCs w:val="20"/>
                <w:color w:val="auto"/>
              </w:rPr>
            </w:pPr>
            <w:r>
              <w:rPr>
                <w:rFonts w:ascii="Arial" w:cs="Arial" w:eastAsia="Arial" w:hAnsi="Arial"/>
                <w:sz w:val="18"/>
                <w:szCs w:val="18"/>
                <w:b w:val="1"/>
                <w:bCs w:val="1"/>
                <w:color w:val="auto"/>
                <w:w w:val="98"/>
              </w:rPr>
              <w:t>Agribusiness Costs and Expenses for the Six Months Ended April 30,</w:t>
            </w:r>
          </w:p>
        </w:tc>
      </w:tr>
      <w:tr>
        <w:trPr>
          <w:trHeight w:val="27"/>
        </w:trPr>
        <w:tc>
          <w:tcPr>
            <w:tcW w:w="4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114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20,286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838</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2"/>
              </w:rPr>
              <w:t>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10,852</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1,615</w:t>
            </w:r>
          </w:p>
        </w:tc>
        <w:tc>
          <w:tcPr>
            <w:tcW w:w="1140" w:type="dxa"/>
            <w:vAlign w:val="bottom"/>
          </w:tcPr>
          <w:p>
            <w:pPr>
              <w:jc w:val="center"/>
              <w:ind w:right="330"/>
              <w:spacing w:after="0"/>
              <w:rPr>
                <w:sz w:val="20"/>
                <w:szCs w:val="20"/>
                <w:color w:val="auto"/>
              </w:rPr>
            </w:pPr>
            <w:r>
              <w:rPr>
                <w:rFonts w:ascii="Arial" w:cs="Arial" w:eastAsia="Arial" w:hAnsi="Arial"/>
                <w:sz w:val="18"/>
                <w:szCs w:val="18"/>
                <w:color w:val="auto"/>
                <w:w w:val="88"/>
              </w:rPr>
              <w:t>17%</w:t>
            </w:r>
          </w:p>
        </w:tc>
      </w:tr>
      <w:tr>
        <w:trPr>
          <w:trHeight w:val="27"/>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16,591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2,313</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16%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26,319</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(2,984)</w:t>
            </w:r>
          </w:p>
        </w:tc>
        <w:tc>
          <w:tcPr>
            <w:tcW w:w="1140" w:type="dxa"/>
            <w:vAlign w:val="bottom"/>
          </w:tcPr>
          <w:p>
            <w:pPr>
              <w:jc w:val="center"/>
              <w:ind w:right="330"/>
              <w:spacing w:after="0"/>
              <w:rPr>
                <w:sz w:val="20"/>
                <w:szCs w:val="20"/>
                <w:color w:val="auto"/>
              </w:rPr>
            </w:pPr>
            <w:r>
              <w:rPr>
                <w:rFonts w:ascii="Arial" w:cs="Arial" w:eastAsia="Arial" w:hAnsi="Arial"/>
                <w:sz w:val="18"/>
                <w:szCs w:val="18"/>
                <w:color w:val="auto"/>
                <w:w w:val="91"/>
              </w:rPr>
              <w:t>(10)%</w:t>
            </w:r>
          </w:p>
        </w:tc>
      </w:tr>
      <w:tr>
        <w:trPr>
          <w:trHeight w:val="27"/>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716</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19%</w:t>
            </w: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78,492</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75,994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2,498</w:t>
            </w:r>
          </w:p>
        </w:tc>
        <w:tc>
          <w:tcPr>
            <w:tcW w:w="114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color w:val="auto"/>
                <w:w w:val="92"/>
              </w:rPr>
              <w:t>3%</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Lemon packing costs were $19.0 million and $18.2 million in the first six months of fiscal years 2020 and 2019, respectively, which include Trapani Fresh lemon packing costs of $0.6 million during the first six months of fiscal year 2020. During the first six months of fiscal years 2020 and 2019, we packed and sold 2,755,000 and 2,572,000 cartons of lemons at average per carton costs of $6.89 and $7.06, respectively. Additionally, packing costs included $1.3 million of shipping costs in the first six months of fiscal years 2020 and 2019.</w:t>
      </w:r>
    </w:p>
    <w:p>
      <w:pPr>
        <w:spacing w:after="0" w:line="192"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Harvest costs: The increase in the first six months of fiscal year 2020 was primarily attributable to increased volume of lemons and avocados harvested.</w:t>
      </w:r>
    </w:p>
    <w:p>
      <w:pPr>
        <w:spacing w:after="0" w:line="170" w:lineRule="exact"/>
        <w:rPr>
          <w:rFonts w:ascii="Arial" w:cs="Arial" w:eastAsia="Arial" w:hAnsi="Arial"/>
          <w:sz w:val="18"/>
          <w:szCs w:val="18"/>
          <w:color w:val="auto"/>
        </w:rPr>
      </w:pPr>
    </w:p>
    <w:p>
      <w:pPr>
        <w:jc w:val="both"/>
        <w:ind w:left="500" w:hanging="330"/>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first six months of fiscal year 2020 was primarily due to net increased cost for cultivation and Argentina growing costs, partially offset by pest control, pruning and Chile growing costs compared to the same period in fiscal year 2019. Growing costs reflect farm management decisions based on weather, harvest timing and crop conditions.</w:t>
      </w:r>
    </w:p>
    <w:p>
      <w:pPr>
        <w:spacing w:after="0" w:line="171" w:lineRule="exact"/>
        <w:rPr>
          <w:rFonts w:ascii="Arial" w:cs="Arial" w:eastAsia="Arial" w:hAnsi="Arial"/>
          <w:sz w:val="17"/>
          <w:szCs w:val="17"/>
          <w:color w:val="auto"/>
        </w:rPr>
      </w:pPr>
    </w:p>
    <w:p>
      <w:pPr>
        <w:jc w:val="both"/>
        <w:ind w:left="500" w:hanging="330"/>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decrease in the first six months of fiscal year 2020 is primarily attributable to lower prices, partially offset by increased volume of third-party grower fruit sold. Of the 2,755,000 and 2,572,000 cartons of lemons packed and sold during the first six months of fiscal years 2020 and 2019, respectively, 1,587,000 (58%) and 1,527,000 (59%) cartons were procured from third-party growers at average per carton prices of $13.87 and $18.92, respectively.</w:t>
      </w:r>
    </w:p>
    <w:p>
      <w:pPr>
        <w:spacing w:after="0" w:line="18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six months of fiscal year 2020 was approximately $0.7 million higher than the same period of fiscal year 2019, primarily due to the acquisition of Trapani Fresh in May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$11.6 million in the six months ended April 30, 2020 compared to $9.9 million in the six months ended April 30, 2019. The $1.8 million increase was primarily the result of a $0.8 million increase due to the acquisition of Trapani Fresh, $0.5 million increase in training costs associated with an ERP implementation, and $0.5 million of other selling and administrative expenses, including certain corporate overhead expenses as of April 30, 2020 compared to April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for the six months ended April 30, 2020 was comprised primarily of $6.3 million loss on stock in Calavo Growers, Inc., $0.5 million of equity in loss of investments, and $1.0 million of interest expense, net. Other income for the six months ended April 30, 2019 was comprised primarily of $2.0 million of equity in earnings of investments partially offset by $0.5 million of interest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estimated income tax benefit of $6.6 million and $0.7 million in the first six months of fiscal years 2020 and 2019 on pre-tax loss of $18.9 million and $2.5 million, respectively. The tax benefit recorded for the first six months of fiscal year 2020 differs from the U.S. federal statutory tax rate of 21.0% due primarily to a $1.4 million discrete benefit related to the CARES Act. Our projected annual effective blended tax rate for fiscal year 2020 excluding discrete items is approximately 29.3%.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loss (income) attributable to noncontrolling interest represents 10% and 49% of the net loss (income) of PDA and Trapani Fresh,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20 - Segment Information of the notes to consolidated financial statements included in this Quarterly Report on Form 10-Q for additional information regarding our operating segments.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2020 Compared to the Three Months Ended April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Avocados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39,571</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39,571</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26,961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10,328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33,789</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6,182</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39,971</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2,433</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(5,323)</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32,428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42,035</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32,428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42,035</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27,915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10,664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(8,157)</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35,218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5,701</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40,919</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261</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2,121</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fiscal years 2020 and 2019, our fresh lemons segment total net revenues were $28.7 million and $32.4 million, respectively. The 11% decrease of $3.7 million was primarily due to decreases in fresh lemon carton sales of $1.1 million and lemon by-products of $2.7 million, partially offset by an increase in brokerage and other sales of $0.1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second quarter of fiscal years 2020 and 2019, our fresh lemons segment costs and expenses were $27.0 million and $27.9 million, respectively. The 3% decrease of $1.0 million primarily consisted of the following: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36" w:name="page37"/>
    <w:bookmarkEnd w:id="36"/>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2020 were $0.2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2020 were $0.3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grower costs for the second quarter of fiscal year 2020 were $2.5 million lower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costs for the second quarter of fiscal year 2020 were $0.7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Intersegment costs and expenses for the second quarter of fiscal year 2020 were $0.3 million higher than the same period of fiscal year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second quarter of fiscal years 2020 and 2019, our lemon packing segment total net revenues were $12.3 million and $12.1 million, respectively.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second quarter of fiscal years 2020 and 2019, our lemon packing costs and expenses were $10.3 million and $10.7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2020 and 2019, lemon packing segment operating income per carton sold was $1.41 and $1.11,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fiscal years 2020 and 2019, the lemon packing segment included $8.5 million and $8.2 million, respectively, of intersegment revenues that were charged to the fresh lemons segment to pack lemons for sale. Such intersegment revenues and expenses are eliminated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2020 and 2019, our avocados segment had total net revenues of $2.0 million and $0.5 million,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second quarter of fiscal years 2020 and 2019, our avocados segment costs and expenses were $1.6 million and $0.9 million, respectively. The 69% increase of $0.6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2020 were $0.2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2020 were $0.5 million higher than the same period of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years 2020 and 2019, our other agribusiness segment total net revenues were $3.8 million and $3.9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 decrease of $0.1 million primarily consisted of the following:</w:t>
      </w:r>
    </w:p>
    <w:p>
      <w:pPr>
        <w:spacing w:after="0" w:line="211"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Orange revenues for the second quarter of fiscal year 2020 were $0.7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Specialty citrus and other crops revenues for the second quarter of fiscal year 2020 were $0.8 million lower than the same period of fiscal year 2019.</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second quarter of fiscal years 2020 and 2019, our other agribusiness costs and expenses were $3.4 million and $3.9 million, respectively. The 12% decrease of $0.5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2020 were $0.4 million lower than the same period of fiscal year 2019.</w:t>
      </w:r>
    </w:p>
    <w:p>
      <w:pPr>
        <w:spacing w:after="0" w:line="225" w:lineRule="exact"/>
        <w:rPr>
          <w:rFonts w:ascii="Arial" w:cs="Arial" w:eastAsia="Arial" w:hAnsi="Arial"/>
          <w:sz w:val="18"/>
          <w:szCs w:val="18"/>
          <w:color w:val="auto"/>
        </w:rPr>
      </w:pPr>
    </w:p>
    <w:p>
      <w:pPr>
        <w:ind w:left="5540" w:right="1940" w:hanging="5370"/>
        <w:spacing w:after="0" w:line="52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2020 were $0.7 million lower than the same period of fiscal year 2019. 37</w:t>
      </w:r>
    </w:p>
    <w:p>
      <w:pPr>
        <w:sectPr>
          <w:pgSz w:w="11900" w:h="16838" w:orient="portrait"/>
          <w:cols w:equalWidth="0" w:num="1">
            <w:col w:w="11240"/>
          </w:cols>
          <w:pgMar w:left="320" w:top="341" w:right="339" w:bottom="1440" w:gutter="0" w:footer="0" w:header="0"/>
        </w:sectPr>
      </w:pPr>
    </w:p>
    <w:bookmarkStart w:id="37" w:name="page38"/>
    <w:bookmarkEnd w:id="37"/>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Purchased fruit costs for the second quarter of fiscal year 2020 were $0.6 million higher than the same period of fiscal year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second quarter of fiscal year 2020 were $0.3 million higher than the same period of fiscal year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rental operations had total net revenues of approximately $1.1 million for the second quarter of fiscal years 2020 and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 rental operations and real estate development for the second quarter of fiscal years 2020 and 2019 were $1.1 million. Depreciation and amortization expenses for the second quarter of fiscal years 2020 and 2019 were similar at approximately $0.3 million.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Selling, general and administrative costs and expenses include other costs not allocated to the operating segments. Selling, general and administrative costs and expenses for the second quarter of fiscal year 2020 were $0.5 million higher than the same period of fiscal year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2020 Compared to the Six Months Ended April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Avocados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81,227</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60,772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81,227</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61,312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18,937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7,324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74,048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13,480</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87,528</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554</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4,998</w:t>
            </w:r>
          </w:p>
        </w:tc>
      </w:tr>
      <w:tr>
        <w:trPr>
          <w:trHeight w:val="216"/>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66,921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2,430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84,053</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66,921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2,430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84,053</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59,997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19,448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(15,201)</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6,385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72,266</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11,565</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83,831</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519</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4,247</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6,924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(9,654)</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six months of fiscal years 2020 and 2019, our fresh lemons segment total net revenues were $60.8 million and $66.9 million, respectively. The 9% decrease of $6.1 million was primarily due to decreases in fresh lemon carton sales of $4.9 million and lemon by-products of $3.8 million, partially offset by an increase in brokerage and other sales of $2.6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associated with our fresh lemons segment include harvest costs, growing costs and costs of fruit we procure from third-party growers.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years 2020 and 2019, our fresh lemons segment costs and expenses were $61.3 million and $60.0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 increase of $1.3 million primarily consisted of the following:</w:t>
      </w:r>
    </w:p>
    <w:p>
      <w:pPr>
        <w:spacing w:after="0" w:line="211" w:lineRule="exact"/>
        <w:rPr>
          <w:sz w:val="20"/>
          <w:szCs w:val="20"/>
          <w:color w:val="auto"/>
        </w:rPr>
      </w:pPr>
    </w:p>
    <w:p>
      <w:pPr>
        <w:ind w:left="5540" w:right="1960" w:hanging="5370"/>
        <w:spacing w:after="0" w:line="77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for the first six months of fiscal year 2020 were $1.5 million higher than the same period of fiscal year 2019 38</w:t>
      </w:r>
    </w:p>
    <w:p>
      <w:pPr>
        <w:sectPr>
          <w:pgSz w:w="11900" w:h="16838" w:orient="portrait"/>
          <w:cols w:equalWidth="0" w:num="1">
            <w:col w:w="11240"/>
          </w:cols>
          <w:pgMar w:left="320" w:top="557" w:right="339" w:bottom="1440" w:gutter="0" w:footer="0" w:header="0"/>
        </w:sectPr>
      </w:pPr>
    </w:p>
    <w:bookmarkStart w:id="38" w:name="page39"/>
    <w:bookmarkEnd w:id="38"/>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Growing costs for the first six months of fiscal year 2020 were $2.6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grower costs for the first six months of fiscal year 2020 were $4.4 million lower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costs for the first six months of fiscal year 2020 were $1.3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Intersegment costs and expenses for the first six months of fiscal year 2020 were $0.4 million higher than the same period of fiscal year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six months of fiscal years 2020 and 2019, our lemon packing segment total net revenues were $23.5 million and $23.3 million, respectively.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six months of fiscal years 2020 and 2019, our lemon packing costs and expenses were $18.9 million and $19.4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fiscal years 2020 and 2019, lemon packing segment operating income per carton sold was $1.67 and $1.48,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six months of fiscal years 2020 and 2019, the lemon packing segment included $15.6 million and $15.2 million, respectively, of intersegment revenues that were charged to the fresh lemons segment to pack lemons for sale. Such intersegment revenues and expenses are eliminated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fiscal years 2020 and 2019, our avocados segment had total net revenues of $2.2 million and $0.5 million,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first six months of fiscal years 2020 and 2019, our avocados segment costs and expenses were $2.0 million and $1.6 million, respectively. The 24% increase of $0.4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Harvest costs for the first six months of fiscal year 2020 were $0.2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costs for the first six months of fiscal year 2020 were $0.2 million higher than the same period of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years 2020 and 2019, our other agribusiness segment total net revenues were $8.0 million and $6.1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31% increase of $1.9 million primarily consisted of the following:</w:t>
      </w:r>
    </w:p>
    <w:p>
      <w:pPr>
        <w:spacing w:after="0" w:line="21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Orange revenues for the first six months of fiscal year 2020 were $2.0 million higher than the same period of fiscal year 2019.</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first six months of fiscal year 2020 were $0.1 million lower than the same period of fiscal year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first six months of fiscal years 2020 and 2019, our other agribusiness costs and expenses were $7.3 million and $6.4 million, respectively. The 15% increase of $0.9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Harvest costs for the first six months of fiscal year 2020 were similar to the same period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Growing costs for the first six months of fiscal year 2020 were $0.5 million lower than the same period of fiscal year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39" w:name="page40"/>
    <w:bookmarkEnd w:id="39"/>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Purchased fruit costs for the first six months of fiscal year 2020 were $1.4 million higher than the same period of fiscal year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first six months of fiscal year 2020 were $0.7 million higher than the same period of fiscal year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rental operations had total net revenues of approximately $2.3 million for the first six months of fiscal years 2020 and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rental operations and real estate development for the first six months of fiscal years 2020 and 2019 were $2.4 million and $2.2 million, respectively. Depreciation and amortization expenses for the first six months of fiscal years 2020 and 2019 were similar at approximately $0.6 million.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Selling, general and administrative costs and expenses include other costs not allocated to the operating segments. Selling, general and administrative costs and expenses for the first six months of fiscal year 2020 were $1.8 million higher than the same period of fiscal year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April 30, 2020 and 2019</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822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Trailing Twelve Months Ended April</w:t>
            </w:r>
          </w:p>
        </w:tc>
      </w:tr>
      <w:tr>
        <w:trPr>
          <w:trHeight w:val="234"/>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7"/>
              </w:rPr>
              <w:t>30,</w:t>
            </w:r>
          </w:p>
        </w:tc>
        <w:tc>
          <w:tcPr>
            <w:tcW w:w="11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163,848</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133,769</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138,717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117,117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Impairment of real estate development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property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17,895</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181,360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140,898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(Loss) gain on stock in Calavo Growers, Inc.</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3,925</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6,109</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Loss (income) attributable to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right="2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revenues increased $29.9 million in the twelve months ended April 30, 2020 compared to the twelve months ended April 30, 2019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279"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costs and expenses increased $40.5 million in the twelve months ended April 30, 2020 compared to the twelve months ended April 30, 2019 primarily due to increases in our agribusiness and selling, general and administrative expenses. The increase in agribusiness costs is associated with increased agribusiness production and the increase in selling, general and administrative expenses is primarily attributable to increased administrative personnel, salaries and benefits, and certain corporate expenses associated with our strategic initiatives.</w:t>
      </w:r>
    </w:p>
    <w:p>
      <w:pPr>
        <w:spacing w:after="0" w:line="171" w:lineRule="exact"/>
        <w:rPr>
          <w:rFonts w:ascii="Arial" w:cs="Arial" w:eastAsia="Arial" w:hAnsi="Arial"/>
          <w:sz w:val="17"/>
          <w:szCs w:val="17"/>
          <w:color w:val="auto"/>
        </w:rPr>
      </w:pPr>
    </w:p>
    <w:p>
      <w:pPr>
        <w:ind w:left="500" w:hanging="330"/>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other expense increased $16.2 million in the twelve months ended April 30, 2020 compared to the twelve months ended April 30, 2019 primarily due to increased losses on stock in Calavo, decreased equity in earnings of investments and an increase in interest expense.</w:t>
      </w:r>
    </w:p>
    <w:p>
      <w:pPr>
        <w:spacing w:after="0" w:line="146"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tax benefit increased $7.9 million in the twelve months ended April 30, 2020 compared to the twelve months ended April 30, 2019 primarily due to a decrease in income before taxes as a result of decreased operating income, increased total other expense and discrete items related to the CARES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April 30, 2020, net cash used in operating activities was $15.8 million compared to net cash provided by operating activities of $4.0 million for the six months ended April 30, 2019. The significant components of our cash flows used in operating activities were as follows:</w:t>
      </w:r>
    </w:p>
    <w:p>
      <w:pPr>
        <w:spacing w:after="0" w:line="146" w:lineRule="exact"/>
        <w:rPr>
          <w:sz w:val="20"/>
          <w:szCs w:val="20"/>
          <w:color w:val="auto"/>
        </w:rPr>
      </w:pPr>
    </w:p>
    <w:p>
      <w:pPr>
        <w:jc w:val="both"/>
        <w:ind w:left="500" w:hanging="330"/>
        <w:spacing w:after="0" w:line="31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loss for the six months ended April 30, 2020 was $12.2 million compared to net loss of $1.9 million for the six months ended April 30, 2019. The components of net loss in the six months ended April 30, 2020 compared to the same period in fiscal year 2019 consist of a decrease in operating income of $7.3 million, an increase in total other (expense) income of $9.0 million and an increase in income tax benefit of $6.0 million.</w:t>
      </w:r>
    </w:p>
    <w:p>
      <w:pPr>
        <w:spacing w:after="0" w:line="148" w:lineRule="exact"/>
        <w:rPr>
          <w:rFonts w:ascii="Arial" w:cs="Arial" w:eastAsia="Arial" w:hAnsi="Arial"/>
          <w:sz w:val="16"/>
          <w:szCs w:val="16"/>
          <w:color w:val="auto"/>
        </w:rPr>
      </w:pPr>
    </w:p>
    <w:p>
      <w:pPr>
        <w:jc w:val="both"/>
        <w:ind w:left="500" w:hanging="330"/>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adjustments to reconcile net loss to net cash used in operating activities provided $6.6 million of cash in the six months ended April 30, 2020 compared to providing $3.4 million of cash in the same period in fiscal year 2019 primarily due to significant changes in depreciation and amortization, deferred taxes, loss on stock in Calavo and equity in loss (earnings) of investments.</w:t>
      </w:r>
    </w:p>
    <w:p>
      <w:pPr>
        <w:spacing w:after="0" w:line="183"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changes in operating assets and liabilities used $10.4 million of operating cash in the six months ended April 30, 2020 compared to providing $2.5 million of operating cash in the same period in fiscal year 2019 primarily due to significant changes in accounts receivable, prepaid expenses and other current assets, accounts payable and growers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April 30, 2020, net cash provided by investing activities was $1.2 million compared to net cash used in investing activities of $16.4 million during the same period in fiscal year 2019. Net cash provided by investing activities for the six months ended April 30, 2020 was primarily comprised of proceeds from sale of stock in Calavo, offset by capital expenditures and investments.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$5.4 million in the six months ended April 30, 2020, comprised of $5.3 million for property, plant and equipment primarily related to orchard and vineyard development and $0.1 million for real estate development projects. Additionally, in the six months ended April 30, 2020, we received proceeds from sale of stock in Calavo of $11.0 million, contributed $2.8 million to the Joint Venture for the development of our East Area I real estate development project and loaned $1.8 million to the Joint Venture.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Capital expenditures were $8.2 million in the six months ended April 30, 2019, comprised of $7.9 million for property, plant and equipment primarily related to orchard and vineyard development and the purchase of a photovoltaic solar array and $0.3 million for real estate development projects. Additionally, in the six months ended April 30, 2019, we purchased an agriculture property for $0.4 million, contributed $4.0 million to the Joint Venture for the development of our East Area I real estate development project and paid $4.0 million to FGF towards the joint venture formation in Argentina.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April 30, 2020 and 2019, net cash provided by financing activities was $15.4 million and $13.3 million,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$15.4 million of cash provided by financing activities during the six months ended April 30, 2020 was primarily comprised of net borrowings of long-term debt in the amount $18.5 million partially offset by common and preferred dividends, in aggregate, of $2.9 million. The $13.3 million of cash provided by financing activities during the six months ended April 30, 2019 was primarily comprised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of net borrowings of long-term debt in the amount $16.5 million partially offset by common and preferred dividends, in aggregate, of $2.9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we entered into a Master Loan Agreement (the “Loan Agreement”) with Farm Credit West, FLCA ("Farm Credit West") which includes a Revolving Credit Supplement and a Non-Revolving Credit Supplement (the “Supplements”). In January 2018, we amended the Revolving Credit Supplement to increase the borrowing capacity from $60.0 million to $75.0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2020,we entered into a revolving equity line of credit promissory note and loan agreement with Farm Credit West for a $15.0 million Revolving Equity Line of Credit (the "RELOC") secured by a first lien on the Windfall Investors, LLC property. The loan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April 30, 2020.</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2019,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2020, we entered into a Promissory Note with City National Bank for a $3.6 million loan (the “PPP Loan”) pursuant to the Paycheck Protection Program under the CARES Act. The PPP Loan had a two-year term, an interest rate of 1.0% per annum, and was able to be prepaid at any time prior to maturity with no prepayment penalties. In April 2020, we returned the $3.6 million in proceeds from the PPP Loan.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Loan Agreement we are required to comply with a minimum debt service coverage ratio (as calculated in accordance with the Loan Agreement) of 1.25:1.0 measured as of October 31 each year. On May 29, 2020, the Loan Agreement was amended to adjust the debt service ratio to 1.00:1.0 for October 31, 2020. We currently expect to be in compliance with our financial covenants as of October 31, 2020 based on current projections. However, changes in the forecasts, estimates related to the impact of COVID-19, new developments and future disruptions could result in us not maintaining compliance with our financial covenants as of October 31, 2020.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2020, we received an annual patronage dividend of $1.0 million from Farm Credit West, of which $0.7 million was recorded as a reduction in interest expense and $0.3 million reduced our real estate development assets.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which includes the Loan Agreement, Supplements and RELOC. In addition, we have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disclosed in our fiscal year 2019 Annual Report on Form 10-K, except as follows: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Joint Venture recorded a $45.0 million outstanding loan balance at April 30, 2020 related to this Loan. The obligations under the Loan are guaranteed by certain principals from Lewis and by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and in Note 7 – Real Estate Development and Note 8 – Equity in Investments in the notes to consolidated financial statements included in our fiscal year 2019 Annual Report on Form 10-K, we have investments in joint ventures and partnerships that are accounted for using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2019, we adopted Financial Accounting Standards Board ("FASB") Accounting Standards Update ("ASU") No. 2016-02, Leases (as amended, "ASU 2016-02" or the "new lease standard"). A lease is defined as a contract that conveys the right to control the use of an identified asset for a period of time in exchange for consideration. We enter into contracts that are, or contain, leases as both a lessee and a lessor. The following accounting policies have been updated as part of the adoption of the new lease standard.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Accounting for Operating Leases as a Lessee </w:t>
      </w:r>
      <w:r>
        <w:rPr>
          <w:rFonts w:ascii="Arial" w:cs="Arial" w:eastAsia="Arial" w:hAnsi="Arial"/>
          <w:sz w:val="18"/>
          <w:szCs w:val="18"/>
          <w:color w:val="auto"/>
        </w:rPr>
        <w:t>- In our ordinary course of business, we enter into leases as a lessee generally for agricultural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equipment. We determine if an arrangement is a lease or contains a lease at inception. Operating leases are included in other assets, accrued liabilities and other long-term liabilities on our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date. As none of our leases provide an implicit rate, we use our incremental borrowing rate based on the information available at commencement date in determining the present value of future payments.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Leases with an initial term of 12 months or less are not recorded on the balance sheet as we have elected to recognize lease expense for these leases on a straight-line basis over the lease term. We have material leases with related parties which are further described in Note 15 - Related-Party Transactions of the notes to consolidated financial statements included in this Quarterly Report on Form 10-Q. Certain of our agricultural land agreements contain variable costs based on a percentage of the operating results of the leased property. Such variable lease costs are expensed as incurred. These land agreements also contain costs for non-lease components such as water usage. We account for the lease and non-lease components separately. For all other agreements, we generally combine lease and non-lease components in calculating the ROU assets and lease liabilities. See Note 13 - Leases of the notes to consolidated financial statements included in this Quarterly Report on Form 10-Q for additional information.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Accounting for Leases as a Lessor </w:t>
      </w:r>
      <w:r>
        <w:rPr>
          <w:rFonts w:ascii="Arial" w:cs="Arial" w:eastAsia="Arial" w:hAnsi="Arial"/>
          <w:sz w:val="16"/>
          <w:szCs w:val="16"/>
          <w:color w:val="auto"/>
        </w:rPr>
        <w:t>- Leases in which we act as the lessor include land and residential and commercial units and are all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leases. Certain of our contracts contain variable income based on a percentage of the operating results of the leased asset. Certain of our contracts contain non-lease components such as water, utilities and common area services. We have elected to not separate lease and non-lease components for our lessor arrangements and the combined component is accounted for entirely under ASC 842. The underlying asset in an operating lease arrangement is carried at depreciated cost within Property, plant and equipment, net on the consolidated balance sheets. Depreciation is calculated using the straight-line method over the useful life of the underlying asset. We recognize operating lease revenue on a straight-line basis over the lease term.</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account for our agribusiness revenue in accordance with ASC 606, Revenue from Contracts with Customers. The core principle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standard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We deliver the majority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statements of operations.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us by Calavo and other third-party packinghouses at the time of delivery, have not materially differed from the actual amounts that are paid after the monthly or harvest period pools are closed.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brokerage arrangements with third-party international packinghouses. In these arrangements, we have the exclusive ability to direct the use of, and obtain substantially all of the remaining benefits from the fruit, and are therefore acting as a principal. As such, we record the related revenue and costs of the fruit gross in the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Rental Revenue </w:t>
      </w:r>
      <w:r>
        <w:rPr>
          <w:rFonts w:ascii="Arial" w:cs="Arial" w:eastAsia="Arial" w:hAnsi="Arial"/>
          <w:sz w:val="17"/>
          <w:szCs w:val="17"/>
          <w:color w:val="auto"/>
        </w:rPr>
        <w:t>- We account for our rental operations revenue in accordance with ASC 842, Leases. Minimum rental revenues are generally recognized on</w:t>
      </w:r>
      <w:r>
        <w:rPr>
          <w:rFonts w:ascii="Arial" w:cs="Arial" w:eastAsia="Arial" w:hAnsi="Arial"/>
          <w:sz w:val="17"/>
          <w:szCs w:val="17"/>
          <w:i w:val="1"/>
          <w:iCs w:val="1"/>
          <w:color w:val="auto"/>
        </w:rPr>
        <w:t xml:space="preserve"> </w:t>
      </w:r>
      <w:r>
        <w:rPr>
          <w:rFonts w:ascii="Arial" w:cs="Arial" w:eastAsia="Arial" w:hAnsi="Arial"/>
          <w:sz w:val="17"/>
          <w:szCs w:val="17"/>
          <w:color w:val="auto"/>
        </w:rPr>
        <w:t>a straight-line basis over the respective initial lease term. Contingent 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excluded from revenues.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original expected lengths of one year or less or (ii) contracts for which we recognize revenue at the amount to which we have the right to invoice for the services performed.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Their balance sheets are translated to U.S. dollars at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the carrying value of these assets may not be recoverable.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Third-party actuarial consultants provide this information to us. In developing this data, certain estimates and assumptions are used, including among other things, discount rate, long-term rate of return and mortality tables. During 2019, the Society of Actuaries (“SOA”) released a new mortality improvement scale table, referred to as MP-2019, which is believed to better reflect mortality improvements and is to be used in calculating defined benefit pension obligations. In addition, during fiscal year 2019, the assumed discount rate to measure the pension obligation decreased to 3.0%. We used the latest mortality tables released by the SOA through October 2019 to measure our pension obligation as of October 31, 2019 and combined with the assumed discount rate and other demographic assumptions, our pension liability increased by approximately $0.6 million as of October 31, 2019. Further changes in any of these estimates could materially affect the amounts recorded that are related to our defined benefit retirement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for the broad effects of COVID-19 as a result of its negative impact on the global economy and major financial markets, there have been no material changes in the disclosures discussed in the section entitled “Quantitative and Qualitative Disclosures about Market Risk” in Part II, Item 7A of our Annual Report on Form 10-K for the fiscal year ended October 31, 2019 as filed with the Securities and Exchange Commission ("SEC") on January 13, 2020. The outbreak of COVID-19 poses increasing risks and has accounting implications for us with exposure to a broader economic downturn and decline in financial markets. We have experienced a decrease in demand for our fresh citrus which has resulted in supply chain disruptions and reduced export sales to areas acutely affected by the virus.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April 30, 2020,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risk factors should be read in conjunction with, and supplement the section entitled “Risk Factors” in Part I, Item 1A of our Annual Report on Form 10-K for the fiscal year ended October 31, 2019, as filed with the SEC on January 13,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and results of operations for fiscal year 2020 and beyond have been and are expected to continue to be adversely affected by the recent novel coronavirus (or COVID-19) pandemic.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a novel coronavirus disease (“COVID-19”) was initially reported and on March 11, 2020, the World Health Organization characterized COVID-19 as a pandemic. COVID-19 has had a widespread and detrimental effect on the global economy and has created significant volatility and disruption of financial markets as a result of the continued increase in the number of cases and affected countries and actions by public health and governmental authorities, businesses, other organizations and individuals to address the outbreak, including travel bans and restrictions, quarantines, shelter in place, stay at home or lock-down orders and business limitations and shutdowns. The duration and severity of COVID-19 and the degree of its impact on our business is uncertain and difficult to predict.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and services; increased customer losses; increased challenges in or cost of acquiring new customers; increased competition; increased risk in collectability of accounts receivable; reduced productivity due to remote work arrangements; lost productivity due to illness and/or illness of family members or adherence to mandated stay-at-home order; inability to hire key roles; adverse effects on our strategic partners’ businesses; impairment charges; inability to recover costs from insurance carriers; business continuity concerns for us and our third-party vendors and suppliers; increased risk of privacy and cybersecurity breaches from increased remote working; and challenges with Internet infrastructure due to high loads. If we are not able to respond to and manage the potential impact of such events effectively, our business could be harmed.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the COVID-19 outbreak has subsided, we may continue to experience impacts to our business as a result of the coronavirus’ global economic impact and any recession that has occurred or may occur in the future. Since the COVID-19 situation is unprecedented and continuously evolving, COVID-19 may also affect our operating and financial results in a manner that is not presently known to us, or in a manner that we currently do not consider as presenting significant risks to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volatile and is impacted by factors other than our financial performance.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 stock market fluctuations related to the current COVID-19 pandemic have been particularly significant. These fluctuations have often been unrelated to our operating performance. Factors that can cause such fluctuations include the impact of natural disasters and global events, such as the current COVID-19 pandemic, general market fluctuations and macroeconomic conditions, any of which may cause the market price of our common stock to fluctuate widely.</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A substantial and sustained downturn in our operations due to the COVID-19 pandemic or other factors may cause us to be in breach of our covenants.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maintain affirmative and restrictive covenants, among other customary covenants, specifically a debt service coverage ratio, under our loan agreements. We are equal partners in a joint venture with the Lewis Group (“Joint Venture”) which is also required to maintain affirmative and restrictive covenants, among other customary covenants under its loan agreement. We serve as guarantor on the Joint Venture’s loan agreement. The Joint Venture or we may be unable to be in compliance with covenants as a result of a substantial and sustained downturn in our operations due to the COVID-19 pandemic. If the Joint Venture were to default on its obligations, it may cause us to be liable for any such obligations and could create a cross default under our loan agreements. If conditions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7" w:right="3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8"/>
          <w:szCs w:val="18"/>
          <w:color w:val="auto"/>
        </w:rPr>
        <w:t>change in the future and if we expect to be out of compliance as a result, we would seek waivers from the lenders prior to any covenant violation. Any covenant waiver may lead to increased costs, increased interest rates, additional restrictive covenants and other available lender protections that would be applicable. Absent a waiver or amendment from participating lenders, failure to meet the covenants under our loan agreements would constitute an event of default and cause acceleration of the outstanding obligations under the loan Agreements, termination of the lenders’ commitment to provide a revolving line of credit, an increase in our effective cost of funds and cross-default of other credit arrangements, which would have a material adverse impact on our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720" w:type="dxa"/>
            <w:vAlign w:val="bottom"/>
            <w:gridSpan w:val="12"/>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w w:val="96"/>
              </w:rPr>
            </w:pPr>
            <w:hyperlink r:id="rId26">
              <w:r>
                <w:rPr>
                  <w:rFonts w:ascii="Arial" w:cs="Arial" w:eastAsia="Arial" w:hAnsi="Arial"/>
                  <w:sz w:val="18"/>
                  <w:szCs w:val="18"/>
                  <w:color w:val="0000FF"/>
                  <w:w w:val="96"/>
                </w:rPr>
                <w:t>Restated Certificate of Incorporation of Limoneira Company, dated July 5, 1990 (Incorporated by reference to exhibit 3.1 to the</w:t>
              </w:r>
            </w:hyperlink>
          </w:p>
        </w:tc>
      </w:tr>
      <w:tr>
        <w:trPr>
          <w:trHeight w:val="237"/>
        </w:trPr>
        <w:tc>
          <w:tcPr>
            <w:tcW w:w="1120" w:type="dxa"/>
            <w:vAlign w:val="bottom"/>
          </w:tcPr>
          <w:p>
            <w:pPr>
              <w:ind w:left="40"/>
              <w:spacing w:after="0"/>
              <w:rPr>
                <w:sz w:val="20"/>
                <w:szCs w:val="20"/>
                <w:color w:val="auto"/>
              </w:rPr>
            </w:pPr>
            <w:r>
              <w:rPr>
                <w:rFonts w:ascii="Arial" w:cs="Arial" w:eastAsia="Arial" w:hAnsi="Arial"/>
                <w:sz w:val="18"/>
                <w:szCs w:val="18"/>
                <w:color w:val="auto"/>
              </w:rPr>
              <w:t>3.1</w:t>
            </w:r>
          </w:p>
        </w:tc>
        <w:tc>
          <w:tcPr>
            <w:tcW w:w="9680" w:type="dxa"/>
            <w:vAlign w:val="bottom"/>
            <w:tcBorders>
              <w:top w:val="single" w:sz="8" w:color="0000FF"/>
            </w:tcBorders>
            <w:gridSpan w:val="10"/>
          </w:tcPr>
          <w:p>
            <w:pPr>
              <w:spacing w:after="0"/>
              <w:rPr>
                <w:rFonts w:ascii="Arial" w:cs="Arial" w:eastAsia="Arial" w:hAnsi="Arial"/>
                <w:sz w:val="18"/>
                <w:szCs w:val="18"/>
                <w:u w:val="single" w:color="auto"/>
                <w:color w:val="0000FF"/>
                <w:w w:val="93"/>
              </w:rPr>
            </w:pPr>
            <w:hyperlink r:id="rId26">
              <w:r>
                <w:rPr>
                  <w:rFonts w:ascii="Arial" w:cs="Arial" w:eastAsia="Arial" w:hAnsi="Arial"/>
                  <w:sz w:val="18"/>
                  <w:szCs w:val="18"/>
                  <w:u w:val="single" w:color="auto"/>
                  <w:color w:val="0000FF"/>
                  <w:w w:val="93"/>
                </w:rPr>
                <w:t>Company’s Registration Statement on Form 10, and amendments thereto, declared effective April 13, 2010 (File No. 000-53885))</w:t>
              </w:r>
            </w:hyperlink>
          </w:p>
        </w:tc>
        <w:tc>
          <w:tcPr>
            <w:tcW w:w="40" w:type="dxa"/>
            <w:vAlign w:val="bottom"/>
            <w:gridSpan w:val="2"/>
          </w:tcPr>
          <w:p>
            <w:pPr>
              <w:spacing w:after="0"/>
              <w:rPr>
                <w:sz w:val="20"/>
                <w:szCs w:val="20"/>
                <w:color w:val="auto"/>
              </w:rPr>
            </w:pPr>
          </w:p>
        </w:tc>
      </w:tr>
      <w:tr>
        <w:trPr>
          <w:trHeight w:val="499"/>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Certificate of Merger of Limoneira Company and The Samuel Edwards Associates into Limoneira Company, dated October 31,</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1990 (Incorporated by reference to exhibit 3.2 to the Company’s Registration Statement on Form 10, and amendments thereto,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720" w:type="dxa"/>
            <w:vAlign w:val="bottom"/>
            <w:gridSpan w:val="1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declared effective April 13, 2010 (File No. 000-53885))</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Certificate of Merger of McKevett Corporation into Limoneira Company dated December 31, 1994 (Incorporated by reference to</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exhibit 3.3 to the Company’s Registration Statement on Form 10, and amendments thereto, declared effective April 13, 2010 (File No.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Agreement of Merger Between Ronald Michaelis Ranches, Inc. and Limoneira Company, dated June 24, 1997 (Incorporated by</w:t>
              </w:r>
            </w:hyperlink>
          </w:p>
        </w:tc>
      </w:tr>
      <w:tr>
        <w:trPr>
          <w:trHeight w:val="20"/>
        </w:trPr>
        <w:tc>
          <w:tcPr>
            <w:tcW w:w="11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reference to exhibit 3.6 to the Company’s Registration Statement on Form 10, and amendments thereto, declared effective April 13,</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6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700" w:type="dxa"/>
            <w:vAlign w:val="bottom"/>
            <w:tcBorders>
              <w:bottom w:val="single" w:sz="8" w:color="0000FF"/>
            </w:tcBorders>
            <w:gridSpan w:val="11"/>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Certificate of Amendment of Certificate of Incorporation of Limoneira Company, dated April 22, 2003 (Incorporated by reference to</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exhibit 3.7 to the Company’s Registration Statement on Form 10, and amendments thereto, declared effective April 13, 2010 (File No.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Certificate of Amendment of Certificate of Incorporation of Limoneira Company, dated March 24, 2010 (Incorporated by reference to</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exhibit 3.9 to the Company’s Registration Statement on Form 10, and amendments thereto, declared effective April 13, 2010 (File No.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000-53885))</w:t>
              </w:r>
            </w:hyperlink>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Certificate of Amendment of Certificate of Incorporation of Limoneira Company, dated March 29, 2017 (Incorporated by reference to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exhibit 3.1 to the Company’s Current Report on Form 8-K, filed March 31, 2017 (File No. 001-34755))</w:t>
              </w:r>
            </w:hyperlink>
          </w:p>
        </w:tc>
        <w:tc>
          <w:tcPr>
            <w:tcW w:w="22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Amended and Restated Bylaws of Limoneira Company (Incorporated by reference to exhibit 3.10 to the Company’s Annual Report</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43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on Form 10-K, filed January 14, 2013 (File No. 001-34755))</w:t>
              </w:r>
            </w:hyperlink>
          </w:p>
        </w:tc>
        <w:tc>
          <w:tcPr>
            <w:tcW w:w="5340" w:type="dxa"/>
            <w:vAlign w:val="bottom"/>
            <w:gridSpan w:val="8"/>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720" w:type="dxa"/>
            <w:vAlign w:val="bottom"/>
            <w:gridSpan w:val="1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Current Report on Form 8-K, filed September 25, 2013 (File No. 001-34755))</w:t>
              </w:r>
            </w:hyperlink>
          </w:p>
        </w:tc>
      </w:tr>
      <w:tr>
        <w:trPr>
          <w:trHeight w:val="20"/>
        </w:trPr>
        <w:tc>
          <w:tcPr>
            <w:tcW w:w="112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Current Report on Form 8-K, filed December 18, 2014 (File No. 001-34755))</w:t>
              </w:r>
            </w:hyperlink>
          </w:p>
        </w:tc>
        <w:tc>
          <w:tcPr>
            <w:tcW w:w="4100" w:type="dxa"/>
            <w:vAlign w:val="bottom"/>
            <w:gridSpan w:val="4"/>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Current Report on Form 8-K, filed January 25, 2017 (File No. 001-34755))</w:t>
              </w:r>
            </w:hyperlink>
          </w:p>
        </w:tc>
        <w:tc>
          <w:tcPr>
            <w:tcW w:w="4300" w:type="dxa"/>
            <w:vAlign w:val="bottom"/>
            <w:gridSpan w:val="6"/>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Current Report on Form 8-K, filed July 26, 2017 (File No. 001-34755))</w:t>
              </w:r>
            </w:hyperlink>
          </w:p>
        </w:tc>
        <w:tc>
          <w:tcPr>
            <w:tcW w:w="4560" w:type="dxa"/>
            <w:vAlign w:val="bottom"/>
            <w:gridSpan w:val="7"/>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 xml:space="preserve">Specimen Certificate representing shares of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per share (Incorporated by reference to exhibit 4.1 to the</w:t>
              </w:r>
            </w:hyperlink>
          </w:p>
        </w:tc>
      </w:tr>
      <w:tr>
        <w:trPr>
          <w:trHeight w:val="237"/>
        </w:trPr>
        <w:tc>
          <w:tcPr>
            <w:tcW w:w="1120" w:type="dxa"/>
            <w:vAlign w:val="bottom"/>
          </w:tcPr>
          <w:p>
            <w:pPr>
              <w:ind w:left="40"/>
              <w:spacing w:after="0"/>
              <w:rPr>
                <w:sz w:val="20"/>
                <w:szCs w:val="20"/>
                <w:color w:val="auto"/>
              </w:rPr>
            </w:pPr>
            <w:r>
              <w:rPr>
                <w:rFonts w:ascii="Arial" w:cs="Arial" w:eastAsia="Arial" w:hAnsi="Arial"/>
                <w:sz w:val="18"/>
                <w:szCs w:val="18"/>
                <w:color w:val="auto"/>
              </w:rPr>
              <w:t>4.1</w:t>
            </w:r>
          </w:p>
        </w:tc>
        <w:tc>
          <w:tcPr>
            <w:tcW w:w="9680" w:type="dxa"/>
            <w:vAlign w:val="bottom"/>
            <w:tcBorders>
              <w:top w:val="single" w:sz="8" w:color="0000FF"/>
            </w:tcBorders>
            <w:gridSpan w:val="10"/>
          </w:tcPr>
          <w:p>
            <w:pPr>
              <w:spacing w:after="0"/>
              <w:rPr>
                <w:rFonts w:ascii="Arial" w:cs="Arial" w:eastAsia="Arial" w:hAnsi="Arial"/>
                <w:sz w:val="18"/>
                <w:szCs w:val="18"/>
                <w:u w:val="single" w:color="auto"/>
                <w:color w:val="0000FF"/>
                <w:w w:val="93"/>
              </w:rPr>
            </w:pPr>
            <w:hyperlink r:id="rId38">
              <w:r>
                <w:rPr>
                  <w:rFonts w:ascii="Arial" w:cs="Arial" w:eastAsia="Arial" w:hAnsi="Arial"/>
                  <w:sz w:val="18"/>
                  <w:szCs w:val="18"/>
                  <w:u w:val="single" w:color="auto"/>
                  <w:color w:val="0000FF"/>
                  <w:w w:val="93"/>
                </w:rPr>
                <w:t>Company’s Registration Statement on Form 10, and amendments thereto, declared effective April 13, 2010 (File No. 000-53885))</w:t>
              </w:r>
            </w:hyperlink>
          </w:p>
        </w:tc>
        <w:tc>
          <w:tcPr>
            <w:tcW w:w="40" w:type="dxa"/>
            <w:vAlign w:val="bottom"/>
            <w:gridSpan w:val="2"/>
          </w:tcPr>
          <w:p>
            <w:pPr>
              <w:spacing w:after="0"/>
              <w:rPr>
                <w:sz w:val="20"/>
                <w:szCs w:val="20"/>
                <w:color w:val="auto"/>
              </w:rPr>
            </w:pPr>
          </w:p>
        </w:tc>
      </w:tr>
      <w:tr>
        <w:trPr>
          <w:trHeight w:val="499"/>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8"/>
              </w:rPr>
            </w:pPr>
            <w:hyperlink r:id="rId39">
              <w:r>
                <w:rPr>
                  <w:rFonts w:ascii="Arial" w:cs="Arial" w:eastAsia="Arial" w:hAnsi="Arial"/>
                  <w:sz w:val="18"/>
                  <w:szCs w:val="18"/>
                  <w:color w:val="0000FF"/>
                  <w:w w:val="98"/>
                </w:rPr>
                <w:t>Rights  Agreement  dated  December  20,  2006  between  Limoneira  Company  and  The  Bank  of  New  York,  as  Rights</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Agent (Incorporated by reference to exhibit 4.2 to the Company’s Registration Statement on Form 10, and amendments thereto,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720" w:type="dxa"/>
            <w:vAlign w:val="bottom"/>
            <w:gridSpan w:val="1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declared effective April 13, 2010 (File No. 000-53885))</w:t>
              </w:r>
            </w:hyperlink>
          </w:p>
        </w:tc>
      </w:tr>
      <w:tr>
        <w:trPr>
          <w:trHeight w:val="20"/>
        </w:trPr>
        <w:tc>
          <w:tcPr>
            <w:tcW w:w="112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2"/>
          </w:tcPr>
          <w:p>
            <w:pPr>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 xml:space="preserve">Certificate of Designation, Preferences and Rights of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 xml:space="preserve">8.75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 of Limoneira</w:t>
              </w:r>
            </w:hyperlink>
          </w:p>
        </w:tc>
      </w:tr>
      <w:tr>
        <w:trPr>
          <w:trHeight w:val="20"/>
        </w:trPr>
        <w:tc>
          <w:tcPr>
            <w:tcW w:w="1120" w:type="dxa"/>
            <w:vAlign w:val="bottom"/>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Company, dated May 21, 1997 (Incorporated by reference to exhibit 3.4 to the Company’s Registration Statement on Form 10, and</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55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amendments thereto, declared effective April 13, 2010 (File No. 000-53885))</w:t>
              </w:r>
            </w:hyperlink>
          </w:p>
        </w:tc>
        <w:tc>
          <w:tcPr>
            <w:tcW w:w="41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840"/>
          </w:cols>
          <w:pgMar w:left="320" w:top="341" w:right="7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840"/>
          </w:cols>
          <w:pgMar w:left="320" w:top="341" w:right="7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72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spacing w:after="0"/>
              <w:rPr>
                <w:sz w:val="17"/>
                <w:szCs w:val="17"/>
                <w:color w:val="auto"/>
              </w:rPr>
            </w:pPr>
          </w:p>
        </w:tc>
        <w:tc>
          <w:tcPr>
            <w:tcW w:w="9720" w:type="dxa"/>
            <w:vAlign w:val="bottom"/>
            <w:gridSpan w:val="7"/>
          </w:tcPr>
          <w:p>
            <w:pPr>
              <w:spacing w:after="0" w:line="196"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 xml:space="preserve">Amended Certificate of Designation, Preferences and Rights of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 xml:space="preserve">8.75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 of</w:t>
              </w:r>
            </w:hyperlink>
          </w:p>
        </w:tc>
      </w:tr>
      <w:tr>
        <w:trPr>
          <w:trHeight w:val="20"/>
        </w:trPr>
        <w:tc>
          <w:tcPr>
            <w:tcW w:w="1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Limoneira Company, dated May 21, 1997 (Incorporated by reference to exhibit 3.5 to the Company’s Registration Statement on Form</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6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10, and amendments thereto, declared effective April 13, 2010 (File No. 000-53885))</w:t>
              </w:r>
            </w:hyperlink>
          </w:p>
        </w:tc>
        <w:tc>
          <w:tcPr>
            <w:tcW w:w="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6"/>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Certificate of Designation, Preferences and Rights of Series A Junior Participating Preferred Stock, $.01 Par Value, of Limoneira</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7"/>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Company, dated November 21, 2006 (Incorporated by reference to exhibit 3.8 to the Company’s Registration Statement on Form 10,</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and amendments thereto, declared effective April 13, 2010 (File No. 000-53885))</w:t>
              </w:r>
            </w:hyperlink>
          </w:p>
        </w:tc>
        <w:tc>
          <w:tcPr>
            <w:tcW w:w="380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6"/>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 xml:space="preserve">Certificate of Designation, Preferences and Rights of 4%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B-2 of Limoneira</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680" w:type="dxa"/>
            <w:vAlign w:val="bottom"/>
            <w:tcBorders>
              <w:bottom w:val="single" w:sz="8" w:color="0000FF"/>
            </w:tcBorders>
            <w:gridSpan w:val="6"/>
          </w:tcPr>
          <w:p>
            <w:pPr>
              <w:spacing w:after="0" w:line="19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Company, dated March 20, 2014 (Incorporated by reference to exhibit 3.1 to the Company’s Current Report on Form 8-K, filed</w:t>
              </w:r>
            </w:hyperlink>
          </w:p>
        </w:tc>
        <w:tc>
          <w:tcPr>
            <w:tcW w:w="40" w:type="dxa"/>
            <w:vAlign w:val="bottom"/>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28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March 24, 2014 (File No. 001-34755))</w:t>
              </w:r>
            </w:hyperlink>
          </w:p>
        </w:tc>
        <w:tc>
          <w:tcPr>
            <w:tcW w:w="6920" w:type="dxa"/>
            <w:vAlign w:val="bottom"/>
            <w:gridSpan w:val="4"/>
          </w:tcPr>
          <w:p>
            <w:pPr>
              <w:spacing w:after="0"/>
              <w:rPr>
                <w:sz w:val="17"/>
                <w:szCs w:val="17"/>
                <w:color w:val="auto"/>
              </w:rPr>
            </w:pPr>
          </w:p>
        </w:tc>
      </w:tr>
      <w:tr>
        <w:trPr>
          <w:trHeight w:val="561"/>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9720" w:type="dxa"/>
            <w:vAlign w:val="bottom"/>
            <w:gridSpan w:val="7"/>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of the Principal Executive Officer pursuant to Exchange Act Rule 13a-14(a) and 15d-14(a)</w:t>
              </w:r>
            </w:hyperlink>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9720" w:type="dxa"/>
            <w:vAlign w:val="bottom"/>
            <w:gridSpan w:val="7"/>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the Principal Financial Officer pursuant to Exchange Act Rule 13a-14(a) and 15d-14(a)</w:t>
              </w:r>
            </w:hyperlink>
          </w:p>
        </w:tc>
      </w:tr>
      <w:tr>
        <w:trPr>
          <w:trHeight w:val="499"/>
        </w:trPr>
        <w:tc>
          <w:tcPr>
            <w:tcW w:w="1120" w:type="dxa"/>
            <w:vAlign w:val="bottom"/>
          </w:tcPr>
          <w:p>
            <w:pPr>
              <w:spacing w:after="0"/>
              <w:rPr>
                <w:sz w:val="24"/>
                <w:szCs w:val="24"/>
                <w:color w:val="auto"/>
              </w:rPr>
            </w:pPr>
          </w:p>
        </w:tc>
        <w:tc>
          <w:tcPr>
            <w:tcW w:w="968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56">
              <w:r>
                <w:rPr>
                  <w:rFonts w:ascii="Arial" w:cs="Arial" w:eastAsia="Arial" w:hAnsi="Arial"/>
                  <w:sz w:val="18"/>
                  <w:szCs w:val="18"/>
                  <w:color w:val="0000FF"/>
                  <w:w w:val="97"/>
                </w:rPr>
                <w:t>Certification of the Principal Executive Officer pursuant to 18 U.S.C. Section 1350, as adopted pursuant to Section 906 of the</w:t>
              </w:r>
            </w:hyperlink>
          </w:p>
        </w:tc>
        <w:tc>
          <w:tcPr>
            <w:tcW w:w="40" w:type="dxa"/>
            <w:vAlign w:val="bottom"/>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56">
              <w:r>
                <w:rPr>
                  <w:rFonts w:ascii="Arial" w:cs="Arial" w:eastAsia="Arial" w:hAnsi="Arial"/>
                  <w:sz w:val="18"/>
                  <w:szCs w:val="18"/>
                  <w:color w:val="0000FF"/>
                  <w:w w:val="91"/>
                </w:rPr>
                <w:t>Sarbanes-Oxley Act of 2002</w:t>
              </w:r>
            </w:hyperlink>
          </w:p>
        </w:tc>
        <w:tc>
          <w:tcPr>
            <w:tcW w:w="7640" w:type="dxa"/>
            <w:vAlign w:val="bottom"/>
            <w:gridSpan w:val="5"/>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57">
              <w:r>
                <w:rPr>
                  <w:rFonts w:ascii="Arial" w:cs="Arial" w:eastAsia="Arial" w:hAnsi="Arial"/>
                  <w:sz w:val="18"/>
                  <w:szCs w:val="18"/>
                  <w:color w:val="0000FF"/>
                  <w:w w:val="97"/>
                </w:rPr>
                <w:t>Certification of the Principal Financial Officer pursuant to 18 U.S.C. Section 1350, as adopted pursuant to Section 906 of the</w:t>
              </w:r>
            </w:hyperlink>
          </w:p>
        </w:tc>
        <w:tc>
          <w:tcPr>
            <w:tcW w:w="40" w:type="dxa"/>
            <w:vAlign w:val="bottom"/>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720" w:type="dxa"/>
            <w:vAlign w:val="bottom"/>
            <w:gridSpan w:val="7"/>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Sarbanes-Oxley Act of 2002</w:t>
              </w:r>
            </w:hyperlink>
          </w:p>
        </w:tc>
      </w:tr>
      <w:tr>
        <w:trPr>
          <w:trHeight w:val="561"/>
        </w:trPr>
        <w:tc>
          <w:tcPr>
            <w:tcW w:w="1120" w:type="dxa"/>
            <w:vAlign w:val="bottom"/>
          </w:tcPr>
          <w:p>
            <w:pPr>
              <w:ind w:left="40"/>
              <w:spacing w:after="0"/>
              <w:rPr>
                <w:sz w:val="20"/>
                <w:szCs w:val="20"/>
                <w:color w:val="auto"/>
              </w:rPr>
            </w:pPr>
            <w:r>
              <w:rPr>
                <w:rFonts w:ascii="Arial" w:cs="Arial" w:eastAsia="Arial" w:hAnsi="Arial"/>
                <w:sz w:val="18"/>
                <w:szCs w:val="18"/>
                <w:color w:val="auto"/>
              </w:rPr>
              <w:t>101.INS*</w:t>
            </w:r>
          </w:p>
        </w:tc>
        <w:tc>
          <w:tcPr>
            <w:tcW w:w="20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8"/>
              </w:rPr>
              <w:t>XBRL Instance Document</w:t>
            </w:r>
          </w:p>
        </w:tc>
        <w:tc>
          <w:tcPr>
            <w:tcW w:w="7660" w:type="dxa"/>
            <w:vAlign w:val="bottom"/>
            <w:gridSpan w:val="6"/>
          </w:tcPr>
          <w:p>
            <w:pPr>
              <w:spacing w:after="0"/>
              <w:rPr>
                <w:sz w:val="24"/>
                <w:szCs w:val="24"/>
                <w:color w:val="auto"/>
              </w:rPr>
            </w:pP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101.SCH*</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101.CAL*</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101.DEF*</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101.LAB*</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101.PRE*</w:t>
            </w:r>
          </w:p>
        </w:tc>
        <w:tc>
          <w:tcPr>
            <w:tcW w:w="97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1120" w:hanging="424"/>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333" w:lineRule="exact"/>
        <w:rPr>
          <w:rFonts w:ascii="Arial" w:cs="Arial" w:eastAsia="Arial" w:hAnsi="Arial"/>
          <w:sz w:val="18"/>
          <w:szCs w:val="18"/>
          <w:color w:val="auto"/>
        </w:rPr>
      </w:pPr>
    </w:p>
    <w:p>
      <w:pPr>
        <w:jc w:val="both"/>
        <w:ind w:left="1120" w:right="2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40"/>
          </w:cols>
          <w:pgMar w:left="320" w:top="499" w:right="7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300" w:val="left"/>
          <w:tab w:leader="none" w:pos="586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3420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300" w:val="left"/>
          <w:tab w:leader="none" w:pos="586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3420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60" w:hanging="439"/>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hanging="439"/>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92075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60" w:hanging="439"/>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hanging="439"/>
        <w:spacing w:after="0" w:line="26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92075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59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2020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92075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9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2020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June 9, 2020</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92075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26" Type="http://schemas.openxmlformats.org/officeDocument/2006/relationships/hyperlink" Target="http://www.sec.gov/Archives/edgar/data/1342423/000114420410007241/v173157_ex3-1.htm" TargetMode="External"/><Relationship Id="rId27" Type="http://schemas.openxmlformats.org/officeDocument/2006/relationships/hyperlink" Target="http://www.sec.gov/Archives/edgar/data/1342423/000114420410007241/v173157_ex3-2.htm" TargetMode="External"/><Relationship Id="rId28" Type="http://schemas.openxmlformats.org/officeDocument/2006/relationships/hyperlink" Target="http://www.sec.gov/Archives/edgar/data/1342423/000114420410007241/v173157_ex3-3.htm" TargetMode="External"/><Relationship Id="rId29" Type="http://schemas.openxmlformats.org/officeDocument/2006/relationships/hyperlink" Target="http://www.sec.gov/Archives/edgar/data/1342423/000114420410007241/v173157_ex3-6.htm" TargetMode="External"/><Relationship Id="rId30" Type="http://schemas.openxmlformats.org/officeDocument/2006/relationships/hyperlink" Target="http://www.sec.gov/Archives/edgar/data/1342423/000114420410007241/v173157_ex3-7.htm" TargetMode="External"/><Relationship Id="rId31" Type="http://schemas.openxmlformats.org/officeDocument/2006/relationships/hyperlink" Target="http://www.sec.gov/Archives/edgar/data/1342423/000114420410017415/v178900_ex3-9.htm" TargetMode="External"/><Relationship Id="rId32" Type="http://schemas.openxmlformats.org/officeDocument/2006/relationships/hyperlink" Target="http://www.sec.gov/Archives/edgar/data/1342423/000114420417018212/v463210_ex3-1.htm" TargetMode="External"/><Relationship Id="rId33" Type="http://schemas.openxmlformats.org/officeDocument/2006/relationships/hyperlink" Target="http://www.sec.gov/Archives/edgar/data/1342423/000114420413002202/v330368_ex3-10.htm" TargetMode="External"/><Relationship Id="rId34" Type="http://schemas.openxmlformats.org/officeDocument/2006/relationships/hyperlink" Target="http://www.sec.gov/Archives/edgar/data/1342423/000114420413052234/v354983_ex3-1.htm" TargetMode="External"/><Relationship Id="rId35" Type="http://schemas.openxmlformats.org/officeDocument/2006/relationships/hyperlink" Target="http://www.sec.gov/Archives/edgar/data/1342423/000114420414074732/v396904_ex3-1.htm" TargetMode="External"/><Relationship Id="rId36" Type="http://schemas.openxmlformats.org/officeDocument/2006/relationships/hyperlink" Target="http://www.sec.gov/Archives/edgar/data/1342423/000114420417003812/v457525_ex3-1.htm" TargetMode="External"/><Relationship Id="rId37" Type="http://schemas.openxmlformats.org/officeDocument/2006/relationships/hyperlink" Target="http://www.sec.gov/Archives/edgar/data/1342423/000114420417038316/v471546_ex3-1.htm" TargetMode="External"/><Relationship Id="rId38" Type="http://schemas.openxmlformats.org/officeDocument/2006/relationships/hyperlink" Target="http://www.sec.gov/Archives/edgar/data/1342423/000114420410007241/v173157_ex4-1.htm" TargetMode="External"/><Relationship Id="rId39" Type="http://schemas.openxmlformats.org/officeDocument/2006/relationships/hyperlink" Target="http://www.sec.gov/Archives/edgar/data/1342423/000114420410007241/v173157_ex4-2.htm" TargetMode="External"/><Relationship Id="rId40" Type="http://schemas.openxmlformats.org/officeDocument/2006/relationships/hyperlink" Target="http://www.sec.gov/Archives/edgar/data/1342423/000114420410007241/v173157_ex3-4.htm" TargetMode="External"/><Relationship Id="rId41" Type="http://schemas.openxmlformats.org/officeDocument/2006/relationships/hyperlink" Target="http://www.sec.gov/Archives/edgar/data/1342423/000114420410007241/v173157_ex3-5.htm" TargetMode="External"/><Relationship Id="rId42" Type="http://schemas.openxmlformats.org/officeDocument/2006/relationships/hyperlink" Target="http://www.sec.gov/Archives/edgar/data/1342423/000114420410007241/v173157_ex3-8.htm" TargetMode="External"/><Relationship Id="rId43"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2020-06-09T15:13:39Z</dcterms:created>
  <dcterms:modified xsi:type="dcterms:W3CDTF">2020-06-09T15:13:39Z</dcterms:modified>
</cp:coreProperties>
</file>