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29210</wp:posOffset>
            </wp:positionV>
            <wp:extent cx="41662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-175895</wp:posOffset>
            </wp:positionV>
            <wp:extent cx="4166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82" w:lineRule="exact"/>
        <w:rPr>
          <w:sz w:val="24"/>
          <w:szCs w:val="24"/>
          <w:color w:val="auto"/>
        </w:rPr>
      </w:pPr>
    </w:p>
    <w:p>
      <w:pPr>
        <w:ind w:left="3740" w:right="2700" w:hanging="3714"/>
        <w:spacing w:after="0" w:line="360" w:lineRule="auto"/>
        <w:tabs>
          <w:tab w:leader="none" w:pos="303"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 xml:space="preserve">QUARTERLY REPORT PURSUANT TO SECTION 13 OR 15(d) OF THE SECURITIES EXCHANGE ACT OF 1934 For The Quarterly Period Ended </w:t>
      </w:r>
      <w:r>
        <w:rPr>
          <w:rFonts w:ascii="Arial" w:cs="Arial" w:eastAsia="Arial" w:hAnsi="Arial"/>
          <w:sz w:val="25"/>
          <w:szCs w:val="25"/>
          <w:b w:val="1"/>
          <w:bCs w:val="1"/>
          <w:color w:val="auto"/>
        </w:rPr>
        <w:t>July 31, 2023</w:t>
      </w:r>
    </w:p>
    <w:p>
      <w:pPr>
        <w:spacing w:after="0" w:line="238" w:lineRule="exact"/>
        <w:rPr>
          <w:sz w:val="24"/>
          <w:szCs w:val="24"/>
          <w:color w:val="auto"/>
        </w:rPr>
      </w:pPr>
    </w:p>
    <w:p>
      <w:pPr>
        <w:ind w:left="300" w:hanging="274"/>
        <w:spacing w:after="0"/>
        <w:tabs>
          <w:tab w:leader="none" w:pos="3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86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001-347</w:t>
      </w:r>
      <w:r>
        <w:rPr>
          <w:rFonts w:ascii="Arial" w:cs="Arial" w:eastAsia="Arial" w:hAnsi="Arial"/>
          <w:sz w:val="17"/>
          <w:szCs w:val="17"/>
          <w:b w:val="1"/>
          <w:bCs w:val="1"/>
          <w:color w:val="auto"/>
        </w:rPr>
        <w:t>55</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LIMONEIRA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-294640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8890</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p>
      <w:pPr>
        <w:spacing w:after="0" w:line="244"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Delaware</w:t>
      </w:r>
    </w:p>
    <w:p>
      <w:pPr>
        <w:spacing w:after="0" w:line="36" w:lineRule="exact"/>
        <w:rPr>
          <w:sz w:val="24"/>
          <w:szCs w:val="24"/>
          <w:color w:val="auto"/>
        </w:rPr>
      </w:pPr>
    </w:p>
    <w:p>
      <w:pPr>
        <w:jc w:val="center"/>
        <w:ind w:right="74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77-0260692</w:t>
      </w:r>
    </w:p>
    <w:p>
      <w:pPr>
        <w:spacing w:after="0" w:line="36" w:lineRule="exact"/>
        <w:rPr>
          <w:sz w:val="24"/>
          <w:szCs w:val="24"/>
          <w:color w:val="auto"/>
        </w:rPr>
      </w:pPr>
    </w:p>
    <w:p>
      <w:pPr>
        <w:jc w:val="center"/>
        <w:ind w:right="1480"/>
        <w:spacing w:after="0"/>
        <w:rPr>
          <w:sz w:val="20"/>
          <w:szCs w:val="20"/>
          <w:color w:val="auto"/>
        </w:rPr>
      </w:pPr>
      <w:r>
        <w:rPr>
          <w:rFonts w:ascii="Arial" w:cs="Arial" w:eastAsia="Arial" w:hAnsi="Arial"/>
          <w:sz w:val="15"/>
          <w:szCs w:val="15"/>
          <w:color w:val="auto"/>
        </w:rPr>
        <w:t>(I.R.S. Employer Identification Number)</w:t>
      </w:r>
    </w:p>
    <w:p>
      <w:pPr>
        <w:spacing w:after="0" w:line="161" w:lineRule="exact"/>
        <w:rPr>
          <w:sz w:val="24"/>
          <w:szCs w:val="24"/>
          <w:color w:val="auto"/>
        </w:rPr>
      </w:pPr>
    </w:p>
    <w:p>
      <w:pPr>
        <w:sectPr>
          <w:pgSz w:w="11900" w:h="16838" w:orient="portrait"/>
          <w:cols w:equalWidth="0" w:num="2">
            <w:col w:w="6380" w:space="720"/>
            <w:col w:w="4140"/>
          </w:cols>
          <w:pgMar w:left="320" w:top="1368"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1141 Cummings Road</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Santa Paula, CA 93060</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and zip code)</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(805) 525-5541</w:t>
      </w:r>
    </w:p>
    <w:p>
      <w:pPr>
        <w:spacing w:after="0" w:line="113" w:lineRule="exact"/>
        <w:rPr>
          <w:sz w:val="24"/>
          <w:szCs w:val="24"/>
          <w:color w:val="auto"/>
        </w:rPr>
      </w:pPr>
    </w:p>
    <w:tbl>
      <w:tblPr>
        <w:tblLayout w:type="fixed"/>
        <w:tblInd w:w="110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60" w:type="dxa"/>
            <w:vAlign w:val="bottom"/>
            <w:gridSpan w:val="5"/>
          </w:tcPr>
          <w:p>
            <w:pPr>
              <w:jc w:val="center"/>
              <w:ind w:right="269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195"/>
        </w:trPr>
        <w:tc>
          <w:tcPr>
            <w:tcW w:w="5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6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83"/>
        </w:trPr>
        <w:tc>
          <w:tcPr>
            <w:tcW w:w="2380" w:type="dxa"/>
            <w:vAlign w:val="bottom"/>
            <w:gridSpan w:val="3"/>
          </w:tcPr>
          <w:p>
            <w:pPr>
              <w:jc w:val="center"/>
              <w:ind w:right="160"/>
              <w:spacing w:after="0" w:line="183" w:lineRule="exact"/>
              <w:rPr>
                <w:sz w:val="20"/>
                <w:szCs w:val="20"/>
                <w:color w:val="auto"/>
              </w:rPr>
            </w:pPr>
            <w:r>
              <w:rPr>
                <w:rFonts w:ascii="Arial" w:cs="Arial" w:eastAsia="Arial" w:hAnsi="Arial"/>
                <w:sz w:val="16"/>
                <w:szCs w:val="16"/>
                <w:b w:val="1"/>
                <w:bCs w:val="1"/>
                <w:color w:val="auto"/>
                <w:w w:val="92"/>
              </w:rPr>
              <w:t>Common Stock, par value $0.01</w:t>
            </w:r>
          </w:p>
        </w:tc>
        <w:tc>
          <w:tcPr>
            <w:tcW w:w="1580" w:type="dxa"/>
            <w:vAlign w:val="bottom"/>
          </w:tcPr>
          <w:p>
            <w:pPr>
              <w:spacing w:after="0"/>
              <w:rPr>
                <w:sz w:val="15"/>
                <w:szCs w:val="15"/>
                <w:color w:val="auto"/>
              </w:rPr>
            </w:pPr>
          </w:p>
        </w:tc>
        <w:tc>
          <w:tcPr>
            <w:tcW w:w="1780" w:type="dxa"/>
            <w:vAlign w:val="bottom"/>
            <w:gridSpan w:val="2"/>
          </w:tcPr>
          <w:p>
            <w:pPr>
              <w:jc w:val="center"/>
              <w:ind w:right="680"/>
              <w:spacing w:after="0" w:line="183" w:lineRule="exact"/>
              <w:rPr>
                <w:sz w:val="20"/>
                <w:szCs w:val="20"/>
                <w:color w:val="auto"/>
              </w:rPr>
            </w:pPr>
            <w:r>
              <w:rPr>
                <w:rFonts w:ascii="Arial" w:cs="Arial" w:eastAsia="Arial" w:hAnsi="Arial"/>
                <w:sz w:val="16"/>
                <w:szCs w:val="16"/>
                <w:b w:val="1"/>
                <w:bCs w:val="1"/>
                <w:color w:val="auto"/>
              </w:rPr>
              <w:t>LMNR</w:t>
            </w:r>
          </w:p>
        </w:tc>
        <w:tc>
          <w:tcPr>
            <w:tcW w:w="680" w:type="dxa"/>
            <w:vAlign w:val="bottom"/>
          </w:tcPr>
          <w:p>
            <w:pPr>
              <w:spacing w:after="0"/>
              <w:rPr>
                <w:sz w:val="15"/>
                <w:szCs w:val="15"/>
                <w:color w:val="auto"/>
              </w:rPr>
            </w:pPr>
          </w:p>
        </w:tc>
        <w:tc>
          <w:tcPr>
            <w:tcW w:w="302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7"/>
              </w:rPr>
              <w:t>The NASDAQ Stock Market LLC</w:t>
            </w:r>
          </w:p>
        </w:tc>
      </w:tr>
      <w:tr>
        <w:trPr>
          <w:trHeight w:val="210"/>
        </w:trPr>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6"/>
                <w:szCs w:val="16"/>
                <w:b w:val="1"/>
                <w:bCs w:val="1"/>
                <w:color w:val="auto"/>
                <w:w w:val="95"/>
              </w:rPr>
              <w:t>(NASDAQ Global Select Market)</w:t>
            </w:r>
          </w:p>
        </w:tc>
      </w:tr>
    </w:tbl>
    <w:p>
      <w:pPr>
        <w:spacing w:after="0" w:line="198" w:lineRule="exact"/>
        <w:rPr>
          <w:sz w:val="24"/>
          <w:szCs w:val="24"/>
          <w:color w:val="auto"/>
        </w:rPr>
      </w:pPr>
    </w:p>
    <w:p>
      <w:pPr>
        <w:jc w:val="both"/>
        <w:ind w:firstLine="648"/>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jc w:val="both"/>
        <w:ind w:firstLine="648"/>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5" w:lineRule="exact"/>
        <w:rPr>
          <w:sz w:val="24"/>
          <w:szCs w:val="24"/>
          <w:color w:val="auto"/>
        </w:rPr>
      </w:pPr>
    </w:p>
    <w:p>
      <w:pPr>
        <w:jc w:val="both"/>
        <w:ind w:firstLine="648"/>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61"/>
        </w:trPr>
        <w:tc>
          <w:tcPr>
            <w:tcW w:w="2180" w:type="dxa"/>
            <w:vAlign w:val="bottom"/>
            <w:vMerge w:val="restart"/>
          </w:tcPr>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2200" w:type="dxa"/>
            <w:vAlign w:val="bottom"/>
            <w:vMerge w:val="restart"/>
          </w:tcPr>
          <w:p>
            <w:pPr>
              <w:ind w:left="5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c>
          <w:tcPr>
            <w:tcW w:w="2440" w:type="dxa"/>
            <w:vAlign w:val="bottom"/>
            <w:vMerge w:val="restart"/>
          </w:tcPr>
          <w:p>
            <w:pPr>
              <w:ind w:left="4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2140" w:type="dxa"/>
            <w:vAlign w:val="bottom"/>
          </w:tcPr>
          <w:p>
            <w:pPr>
              <w:jc w:val="center"/>
              <w:ind w:right="39"/>
              <w:spacing w:after="0" w:line="161" w:lineRule="exact"/>
              <w:rPr>
                <w:sz w:val="20"/>
                <w:szCs w:val="20"/>
                <w:color w:val="auto"/>
              </w:rPr>
            </w:pPr>
            <w:r>
              <w:rPr>
                <w:rFonts w:ascii="Arial" w:cs="Arial" w:eastAsia="Arial" w:hAnsi="Arial"/>
                <w:sz w:val="16"/>
                <w:szCs w:val="16"/>
                <w:color w:val="auto"/>
                <w:w w:val="93"/>
              </w:rPr>
              <w:t>Smaller reporting</w:t>
            </w:r>
          </w:p>
        </w:tc>
        <w:tc>
          <w:tcPr>
            <w:tcW w:w="1700" w:type="dxa"/>
            <w:vAlign w:val="bottom"/>
          </w:tcPr>
          <w:p>
            <w:pPr>
              <w:jc w:val="center"/>
              <w:ind w:left="479"/>
              <w:spacing w:after="0" w:line="161" w:lineRule="exact"/>
              <w:rPr>
                <w:sz w:val="20"/>
                <w:szCs w:val="20"/>
                <w:color w:val="auto"/>
              </w:rPr>
            </w:pPr>
            <w:r>
              <w:rPr>
                <w:rFonts w:ascii="Arial" w:cs="Arial" w:eastAsia="Arial" w:hAnsi="Arial"/>
                <w:sz w:val="16"/>
                <w:szCs w:val="16"/>
                <w:color w:val="auto"/>
                <w:w w:val="94"/>
              </w:rPr>
              <w:t>Emerging growth</w:t>
            </w:r>
          </w:p>
        </w:tc>
        <w:tc>
          <w:tcPr>
            <w:tcW w:w="0" w:type="dxa"/>
            <w:vAlign w:val="bottom"/>
          </w:tcPr>
          <w:p>
            <w:pPr>
              <w:spacing w:after="0"/>
              <w:rPr>
                <w:sz w:val="1"/>
                <w:szCs w:val="1"/>
                <w:color w:val="auto"/>
              </w:rPr>
            </w:pPr>
          </w:p>
        </w:tc>
      </w:tr>
      <w:tr>
        <w:trPr>
          <w:trHeight w:val="272"/>
        </w:trPr>
        <w:tc>
          <w:tcPr>
            <w:tcW w:w="2180" w:type="dxa"/>
            <w:vAlign w:val="bottom"/>
            <w:vMerge w:val="continue"/>
          </w:tcPr>
          <w:p>
            <w:pPr>
              <w:spacing w:after="0"/>
              <w:rPr>
                <w:sz w:val="23"/>
                <w:szCs w:val="23"/>
                <w:color w:val="auto"/>
              </w:rPr>
            </w:pPr>
          </w:p>
        </w:tc>
        <w:tc>
          <w:tcPr>
            <w:tcW w:w="2200" w:type="dxa"/>
            <w:vAlign w:val="bottom"/>
            <w:vMerge w:val="continue"/>
          </w:tcPr>
          <w:p>
            <w:pPr>
              <w:spacing w:after="0"/>
              <w:rPr>
                <w:sz w:val="23"/>
                <w:szCs w:val="23"/>
                <w:color w:val="auto"/>
              </w:rPr>
            </w:pPr>
          </w:p>
        </w:tc>
        <w:tc>
          <w:tcPr>
            <w:tcW w:w="2440" w:type="dxa"/>
            <w:vAlign w:val="bottom"/>
            <w:vMerge w:val="continue"/>
          </w:tcPr>
          <w:p>
            <w:pPr>
              <w:spacing w:after="0"/>
              <w:rPr>
                <w:sz w:val="23"/>
                <w:szCs w:val="23"/>
                <w:color w:val="auto"/>
              </w:rPr>
            </w:pPr>
          </w:p>
        </w:tc>
        <w:tc>
          <w:tcPr>
            <w:tcW w:w="2140" w:type="dxa"/>
            <w:vAlign w:val="bottom"/>
          </w:tcPr>
          <w:p>
            <w:pPr>
              <w:jc w:val="center"/>
              <w:ind w:right="39"/>
              <w:spacing w:after="0" w:line="184" w:lineRule="exact"/>
              <w:rPr>
                <w:sz w:val="20"/>
                <w:szCs w:val="20"/>
                <w:color w:val="auto"/>
              </w:rPr>
            </w:pPr>
            <w:r>
              <w:rPr>
                <w:rFonts w:ascii="Arial" w:cs="Arial" w:eastAsia="Arial" w:hAnsi="Arial"/>
                <w:sz w:val="16"/>
                <w:szCs w:val="16"/>
                <w:color w:val="auto"/>
                <w:w w:val="91"/>
              </w:rPr>
              <w:t xml:space="preserve">company </w:t>
            </w:r>
            <w:r>
              <w:rPr>
                <w:rFonts w:ascii="MS PGothic" w:cs="MS PGothic" w:eastAsia="MS PGothic" w:hAnsi="MS PGothic"/>
                <w:sz w:val="16"/>
                <w:szCs w:val="16"/>
                <w:color w:val="auto"/>
                <w:w w:val="91"/>
              </w:rPr>
              <w:t>☐</w:t>
            </w:r>
          </w:p>
        </w:tc>
        <w:tc>
          <w:tcPr>
            <w:tcW w:w="1700" w:type="dxa"/>
            <w:vAlign w:val="bottom"/>
          </w:tcPr>
          <w:p>
            <w:pPr>
              <w:jc w:val="center"/>
              <w:ind w:left="479"/>
              <w:spacing w:after="0" w:line="184" w:lineRule="exact"/>
              <w:rPr>
                <w:sz w:val="20"/>
                <w:szCs w:val="20"/>
                <w:color w:val="auto"/>
              </w:rPr>
            </w:pPr>
            <w:r>
              <w:rPr>
                <w:rFonts w:ascii="Arial" w:cs="Arial" w:eastAsia="Arial" w:hAnsi="Arial"/>
                <w:sz w:val="16"/>
                <w:szCs w:val="16"/>
                <w:color w:val="auto"/>
                <w:w w:val="91"/>
              </w:rPr>
              <w:t xml:space="preserve">company </w:t>
            </w:r>
            <w:r>
              <w:rPr>
                <w:rFonts w:ascii="MS PGothic" w:cs="MS PGothic" w:eastAsia="MS PGothic" w:hAnsi="MS PGothic"/>
                <w:sz w:val="16"/>
                <w:szCs w:val="16"/>
                <w:color w:val="auto"/>
                <w:w w:val="91"/>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ind w:right="20" w:firstLine="648"/>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660" w:right="2340"/>
        <w:spacing w:after="0" w:line="27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31, 2023, there were 17,978,910 shares outstanding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PART I. FINANCIAL INFORMATION</w:t>
            </w:r>
          </w:p>
        </w:tc>
        <w:tc>
          <w:tcPr>
            <w:tcW w:w="11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9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89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Financial Statements (Unaudited)</w:t>
            </w:r>
          </w:p>
        </w:tc>
        <w:tc>
          <w:tcPr>
            <w:tcW w:w="11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w:t>
            </w: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0100" w:type="dxa"/>
            <w:vAlign w:val="bottom"/>
            <w:tcBorders>
              <w:top w:val="single" w:sz="8" w:color="CCEEFF"/>
            </w:tcBorders>
            <w:gridSpan w:val="2"/>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0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Balance Sheets – July 31, 2023 and October 31, 2022</w:t>
            </w:r>
          </w:p>
        </w:tc>
        <w:tc>
          <w:tcPr>
            <w:tcW w:w="11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w:t>
            </w: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0100" w:type="dxa"/>
            <w:vAlign w:val="bottom"/>
            <w:tcBorders>
              <w:top w:val="single" w:sz="8" w:color="CCEEFF"/>
            </w:tcBorders>
            <w:gridSpan w:val="2"/>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10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Operations – three and nine months ended July 31, 2023 and 2022</w:t>
            </w:r>
          </w:p>
        </w:tc>
        <w:tc>
          <w:tcPr>
            <w:tcW w:w="11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0100" w:type="dxa"/>
            <w:vAlign w:val="bottom"/>
            <w:tcBorders>
              <w:top w:val="single" w:sz="8" w:color="CCEEFF"/>
            </w:tcBorders>
            <w:gridSpan w:val="2"/>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10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Comprehensive (Loss) Income – three and nine months ended July 31, 2023 and 2022</w:t>
            </w:r>
          </w:p>
        </w:tc>
        <w:tc>
          <w:tcPr>
            <w:tcW w:w="11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6</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0100" w:type="dxa"/>
            <w:vAlign w:val="bottom"/>
            <w:tcBorders>
              <w:top w:val="single" w:sz="8" w:color="CCEEFF"/>
            </w:tcBorders>
            <w:gridSpan w:val="2"/>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10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8"/>
              </w:rPr>
              <w:t>Consolidated Statements of Stockholders' Equity and Temporary Equity – three and nine months ended July 31, 2023 and 2022</w:t>
            </w:r>
          </w:p>
        </w:tc>
        <w:tc>
          <w:tcPr>
            <w:tcW w:w="11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7</w:t>
            </w:r>
          </w:p>
        </w:tc>
        <w:tc>
          <w:tcPr>
            <w:tcW w:w="20" w:type="dxa"/>
            <w:vAlign w:val="bottom"/>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0100" w:type="dxa"/>
            <w:vAlign w:val="bottom"/>
            <w:tcBorders>
              <w:top w:val="single" w:sz="8" w:color="CCEEFF"/>
            </w:tcBorders>
            <w:gridSpan w:val="2"/>
          </w:tcPr>
          <w:p>
            <w:pPr>
              <w:spacing w:after="0"/>
              <w:rPr>
                <w:sz w:val="9"/>
                <w:szCs w:val="9"/>
                <w:color w:val="auto"/>
              </w:rPr>
            </w:pPr>
          </w:p>
        </w:tc>
        <w:tc>
          <w:tcPr>
            <w:tcW w:w="90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Pr>
          <w:p>
            <w:pPr>
              <w:spacing w:after="0"/>
              <w:rPr>
                <w:sz w:val="9"/>
                <w:szCs w:val="9"/>
                <w:color w:val="auto"/>
              </w:rPr>
            </w:pPr>
          </w:p>
        </w:tc>
      </w:tr>
      <w:tr>
        <w:trPr>
          <w:trHeight w:val="209"/>
        </w:trPr>
        <w:tc>
          <w:tcPr>
            <w:tcW w:w="20" w:type="dxa"/>
            <w:vAlign w:val="bottom"/>
          </w:tcPr>
          <w:p>
            <w:pPr>
              <w:spacing w:after="0"/>
              <w:rPr>
                <w:sz w:val="18"/>
                <w:szCs w:val="18"/>
                <w:color w:val="auto"/>
              </w:rPr>
            </w:pPr>
          </w:p>
        </w:tc>
        <w:tc>
          <w:tcPr>
            <w:tcW w:w="10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Cash Flows – nine months ended July 31, 2023 and 2022</w:t>
            </w:r>
          </w:p>
        </w:tc>
        <w:tc>
          <w:tcPr>
            <w:tcW w:w="11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9</w:t>
            </w: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0100" w:type="dxa"/>
            <w:vAlign w:val="bottom"/>
            <w:tcBorders>
              <w:top w:val="single" w:sz="8" w:color="CCEEFF"/>
            </w:tcBorders>
            <w:gridSpan w:val="2"/>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0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Notes to Consolidated Financial Statements</w:t>
            </w:r>
          </w:p>
        </w:tc>
        <w:tc>
          <w:tcPr>
            <w:tcW w:w="11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11</w:t>
            </w: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9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89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27</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9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89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11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44</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9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89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Controls and Procedures</w:t>
            </w:r>
          </w:p>
        </w:tc>
        <w:tc>
          <w:tcPr>
            <w:tcW w:w="11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44</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0100" w:type="dxa"/>
            <w:vAlign w:val="bottom"/>
            <w:tcBorders>
              <w:top w:val="single" w:sz="8" w:color="CCEEFF"/>
            </w:tcBorders>
            <w:gridSpan w:val="2"/>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101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PART II. OTHER INFORMATION</w:t>
            </w:r>
          </w:p>
        </w:tc>
        <w:tc>
          <w:tcPr>
            <w:tcW w:w="11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45</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9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89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Legal Proceedings</w:t>
            </w:r>
          </w:p>
        </w:tc>
        <w:tc>
          <w:tcPr>
            <w:tcW w:w="11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45</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9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1A.</w:t>
            </w:r>
          </w:p>
        </w:tc>
        <w:tc>
          <w:tcPr>
            <w:tcW w:w="89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Risk Factors</w:t>
            </w:r>
          </w:p>
        </w:tc>
        <w:tc>
          <w:tcPr>
            <w:tcW w:w="11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45</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9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89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Unregistered Sales of Equity Securities and Use of Proceeds</w:t>
            </w:r>
          </w:p>
        </w:tc>
        <w:tc>
          <w:tcPr>
            <w:tcW w:w="11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45</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9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89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Defaults Upon Senior Securities</w:t>
            </w:r>
          </w:p>
        </w:tc>
        <w:tc>
          <w:tcPr>
            <w:tcW w:w="11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45</w:t>
            </w: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9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89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Mine Safety Disclosures</w:t>
            </w:r>
          </w:p>
        </w:tc>
        <w:tc>
          <w:tcPr>
            <w:tcW w:w="11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45</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9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5.</w:t>
            </w:r>
          </w:p>
        </w:tc>
        <w:tc>
          <w:tcPr>
            <w:tcW w:w="89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Other Information</w:t>
            </w:r>
          </w:p>
        </w:tc>
        <w:tc>
          <w:tcPr>
            <w:tcW w:w="11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45</w:t>
            </w: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9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6.</w:t>
            </w:r>
          </w:p>
        </w:tc>
        <w:tc>
          <w:tcPr>
            <w:tcW w:w="89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Exhibits</w:t>
            </w:r>
          </w:p>
        </w:tc>
        <w:tc>
          <w:tcPr>
            <w:tcW w:w="11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46</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89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SIGNATURES</w:t>
            </w:r>
          </w:p>
        </w:tc>
        <w:tc>
          <w:tcPr>
            <w:tcW w:w="896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48</w:t>
            </w:r>
          </w:p>
        </w:tc>
        <w:tc>
          <w:tcPr>
            <w:tcW w:w="20" w:type="dxa"/>
            <w:vAlign w:val="bottom"/>
          </w:tcPr>
          <w:p>
            <w:pPr>
              <w:spacing w:after="0"/>
              <w:rPr>
                <w:sz w:val="18"/>
                <w:szCs w:val="18"/>
                <w:color w:val="auto"/>
              </w:rPr>
            </w:pPr>
          </w:p>
        </w:tc>
      </w:tr>
      <w:tr>
        <w:trPr>
          <w:trHeight w:val="850"/>
        </w:trPr>
        <w:tc>
          <w:tcPr>
            <w:tcW w:w="20" w:type="dxa"/>
            <w:vAlign w:val="bottom"/>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8960" w:type="dxa"/>
            <w:vAlign w:val="bottom"/>
            <w:tcBorders>
              <w:top w:val="single" w:sz="8" w:color="CCEEFF"/>
            </w:tcBorders>
          </w:tcPr>
          <w:p>
            <w:pPr>
              <w:ind w:left="4420"/>
              <w:spacing w:after="0"/>
              <w:rPr>
                <w:sz w:val="20"/>
                <w:szCs w:val="20"/>
                <w:color w:val="auto"/>
              </w:rPr>
            </w:pPr>
            <w:r>
              <w:rPr>
                <w:rFonts w:ascii="Arial" w:cs="Arial" w:eastAsia="Arial" w:hAnsi="Arial"/>
                <w:sz w:val="18"/>
                <w:szCs w:val="18"/>
                <w:color w:val="auto"/>
              </w:rPr>
              <w:t>2</w:t>
            </w:r>
          </w:p>
        </w:tc>
        <w:tc>
          <w:tcPr>
            <w:tcW w:w="9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9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Quarterly Report on Form 10-Q (this “Quarterly Report”) contains both historical and forward-looking statements. Forward-looking statements in this Quarterly Report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 this Quarterly Report include:</w:t>
      </w:r>
    </w:p>
    <w:p>
      <w:pPr>
        <w:spacing w:after="0" w:line="10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 in executing the Company's business plans and strategies and managing the risks involved in the foregoing;</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impacts related to the COVID-19 pandemic and our Company's responses to the pandemic;</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regulations, rules, quotas, tariffs, and import laws;</w:t>
      </w:r>
    </w:p>
    <w:p>
      <w:pPr>
        <w:spacing w:after="0" w:line="7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conditions, natural disasters and other adverse natural conditions, including freezes, rains, fires, winds and droughts that affect the production, transportation, storage, import and export of fresh produce;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responses to industry volume pressures;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pressure from disease, insects and other pests;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of water supplies or changes in water allocations;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in the global supply chain;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and raw materials supplies and pricing;</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energy supply and pricing;</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impact of inflation;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financing for development activities;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for residential and commercial real estate development;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changes and economic crises;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conflict;</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acts of terrorism;</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disruptions, strikes, shortages or work stoppages;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foreign exchange rate movements;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maintain compliance with covenants under our loan agreements;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important intellectual property rights;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other factors disclosed in our public filings with the Securities and Exchange Commission (the “SEC”).</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forward-looking statements involve risks and uncertainties that we have identified as having the potential to cause actual results to differ materially from those contemplated herein. We have described in Part I, Item 1A Risk Factors in our Annual Report on Form 10-K for the fiscal year ended October 31, 2022 additional factors that could cause our actual results to differ from our projections or estimates.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in our Annual Report on Form 10-K for the fiscal year ended October 31, 2022.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Except as required by law, we undertake no obligation to update these forward-looking statements, even if our situation changes in the future.</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All references to “we,” “us,” “our,” “our Company,” “the Company” or “Limoneira” in this Quarterly Report mean Limoneira Company,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July 31, 2023</w:t>
            </w:r>
          </w:p>
        </w:tc>
        <w:tc>
          <w:tcPr>
            <w:tcW w:w="12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October 31, 2022</w:t>
            </w:r>
          </w:p>
        </w:tc>
        <w:tc>
          <w:tcPr>
            <w:tcW w:w="0" w:type="dxa"/>
            <w:vAlign w:val="bottom"/>
          </w:tcPr>
          <w:p>
            <w:pPr>
              <w:spacing w:after="0"/>
              <w:rPr>
                <w:sz w:val="1"/>
                <w:szCs w:val="1"/>
                <w:color w:val="auto"/>
              </w:rPr>
            </w:pPr>
          </w:p>
        </w:tc>
      </w:tr>
      <w:tr>
        <w:trPr>
          <w:trHeight w:val="213"/>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13"/>
        </w:trPr>
        <w:tc>
          <w:tcPr>
            <w:tcW w:w="8060" w:type="dxa"/>
            <w:vAlign w:val="bottom"/>
          </w:tcPr>
          <w:p>
            <w:pPr>
              <w:ind w:left="20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18,067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15,651</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Cultural costs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8,643</w:t>
            </w:r>
          </w:p>
        </w:tc>
        <w:tc>
          <w:tcPr>
            <w:tcW w:w="0" w:type="dxa"/>
            <w:vAlign w:val="bottom"/>
          </w:tcPr>
          <w:p>
            <w:pPr>
              <w:spacing w:after="0"/>
              <w:rPr>
                <w:sz w:val="1"/>
                <w:szCs w:val="1"/>
                <w:color w:val="auto"/>
              </w:rPr>
            </w:pPr>
          </w:p>
        </w:tc>
      </w:tr>
      <w:tr>
        <w:trPr>
          <w:trHeight w:val="213"/>
        </w:trPr>
        <w:tc>
          <w:tcPr>
            <w:tcW w:w="806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8,496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Receivables/other from related parties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w:t>
            </w:r>
          </w:p>
        </w:tc>
        <w:tc>
          <w:tcPr>
            <w:tcW w:w="0" w:type="dxa"/>
            <w:vAlign w:val="bottom"/>
          </w:tcPr>
          <w:p>
            <w:pPr>
              <w:spacing w:after="0"/>
              <w:rPr>
                <w:sz w:val="1"/>
                <w:szCs w:val="1"/>
                <w:color w:val="auto"/>
              </w:rPr>
            </w:pPr>
          </w:p>
        </w:tc>
      </w:tr>
      <w:tr>
        <w:trPr>
          <w:trHeight w:val="207"/>
        </w:trPr>
        <w:tc>
          <w:tcPr>
            <w:tcW w:w="806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43,038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37,535</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222,628</w:t>
            </w:r>
          </w:p>
        </w:tc>
        <w:tc>
          <w:tcPr>
            <w:tcW w:w="0" w:type="dxa"/>
            <w:vAlign w:val="bottom"/>
          </w:tcPr>
          <w:p>
            <w:pPr>
              <w:spacing w:after="0"/>
              <w:rPr>
                <w:sz w:val="1"/>
                <w:szCs w:val="1"/>
                <w:color w:val="auto"/>
              </w:rPr>
            </w:pPr>
          </w:p>
        </w:tc>
      </w:tr>
      <w:tr>
        <w:trPr>
          <w:trHeight w:val="213"/>
        </w:trPr>
        <w:tc>
          <w:tcPr>
            <w:tcW w:w="8060" w:type="dxa"/>
            <w:vAlign w:val="bottom"/>
          </w:tcPr>
          <w:p>
            <w:pPr>
              <w:spacing w:after="0"/>
              <w:rPr>
                <w:sz w:val="20"/>
                <w:szCs w:val="20"/>
                <w:color w:val="auto"/>
              </w:rPr>
            </w:pPr>
            <w:r>
              <w:rPr>
                <w:rFonts w:ascii="Arial" w:cs="Arial" w:eastAsia="Arial" w:hAnsi="Arial"/>
                <w:sz w:val="16"/>
                <w:szCs w:val="16"/>
                <w:color w:val="auto"/>
              </w:rPr>
              <w:t>Real estate development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9,706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spacing w:after="0"/>
              <w:rPr>
                <w:sz w:val="20"/>
                <w:szCs w:val="20"/>
                <w:color w:val="auto"/>
              </w:rPr>
            </w:pPr>
            <w:r>
              <w:rPr>
                <w:rFonts w:ascii="Arial" w:cs="Arial" w:eastAsia="Arial" w:hAnsi="Arial"/>
                <w:sz w:val="16"/>
                <w:szCs w:val="16"/>
                <w:color w:val="auto"/>
              </w:rPr>
              <w:t>Equity in investments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72,855</w:t>
            </w:r>
          </w:p>
        </w:tc>
        <w:tc>
          <w:tcPr>
            <w:tcW w:w="0" w:type="dxa"/>
            <w:vAlign w:val="bottom"/>
          </w:tcPr>
          <w:p>
            <w:pPr>
              <w:spacing w:after="0"/>
              <w:rPr>
                <w:sz w:val="1"/>
                <w:szCs w:val="1"/>
                <w:color w:val="auto"/>
              </w:rPr>
            </w:pPr>
          </w:p>
        </w:tc>
      </w:tr>
      <w:tr>
        <w:trPr>
          <w:trHeight w:val="213"/>
        </w:trPr>
        <w:tc>
          <w:tcPr>
            <w:tcW w:w="8060" w:type="dxa"/>
            <w:vAlign w:val="bottom"/>
          </w:tcPr>
          <w:p>
            <w:pPr>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7,317</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16,971</w:t>
            </w:r>
          </w:p>
        </w:tc>
        <w:tc>
          <w:tcPr>
            <w:tcW w:w="0" w:type="dxa"/>
            <w:vAlign w:val="bottom"/>
          </w:tcPr>
          <w:p>
            <w:pPr>
              <w:spacing w:after="0"/>
              <w:rPr>
                <w:sz w:val="1"/>
                <w:szCs w:val="1"/>
                <w:color w:val="auto"/>
              </w:rPr>
            </w:pPr>
          </w:p>
        </w:tc>
      </w:tr>
      <w:tr>
        <w:trPr>
          <w:trHeight w:val="237"/>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312,673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368,518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Liabilities, Convertible Preferred Stock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8,985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10,663</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Growers and suppliers payable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10,740</w:t>
            </w:r>
          </w:p>
        </w:tc>
        <w:tc>
          <w:tcPr>
            <w:tcW w:w="0" w:type="dxa"/>
            <w:vAlign w:val="bottom"/>
          </w:tcPr>
          <w:p>
            <w:pPr>
              <w:spacing w:after="0"/>
              <w:rPr>
                <w:sz w:val="1"/>
                <w:szCs w:val="1"/>
                <w:color w:val="auto"/>
              </w:rPr>
            </w:pPr>
          </w:p>
        </w:tc>
      </w:tr>
      <w:tr>
        <w:trPr>
          <w:trHeight w:val="213"/>
        </w:trPr>
        <w:tc>
          <w:tcPr>
            <w:tcW w:w="8060" w:type="dxa"/>
            <w:vAlign w:val="bottom"/>
          </w:tcPr>
          <w:p>
            <w:pPr>
              <w:ind w:left="200"/>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8,392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11,060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Payables to related parties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4,860</w:t>
            </w:r>
          </w:p>
        </w:tc>
        <w:tc>
          <w:tcPr>
            <w:tcW w:w="0" w:type="dxa"/>
            <w:vAlign w:val="bottom"/>
          </w:tcPr>
          <w:p>
            <w:pPr>
              <w:spacing w:after="0"/>
              <w:rPr>
                <w:sz w:val="1"/>
                <w:szCs w:val="1"/>
                <w:color w:val="auto"/>
              </w:rPr>
            </w:pPr>
          </w:p>
        </w:tc>
      </w:tr>
      <w:tr>
        <w:trPr>
          <w:trHeight w:val="213"/>
        </w:trPr>
        <w:tc>
          <w:tcPr>
            <w:tcW w:w="8060" w:type="dxa"/>
            <w:vAlign w:val="bottom"/>
          </w:tcPr>
          <w:p>
            <w:pPr>
              <w:ind w:left="20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1,732</w:t>
            </w:r>
          </w:p>
        </w:tc>
        <w:tc>
          <w:tcPr>
            <w:tcW w:w="0" w:type="dxa"/>
            <w:vAlign w:val="bottom"/>
          </w:tcPr>
          <w:p>
            <w:pPr>
              <w:spacing w:after="0"/>
              <w:rPr>
                <w:sz w:val="1"/>
                <w:szCs w:val="1"/>
                <w:color w:val="auto"/>
              </w:rPr>
            </w:pPr>
          </w:p>
        </w:tc>
      </w:tr>
      <w:tr>
        <w:trPr>
          <w:trHeight w:val="206"/>
        </w:trPr>
        <w:tc>
          <w:tcPr>
            <w:tcW w:w="806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37,295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39,274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spacing w:after="0"/>
              <w:rPr>
                <w:sz w:val="20"/>
                <w:szCs w:val="20"/>
                <w:color w:val="auto"/>
              </w:rPr>
            </w:pPr>
            <w:r>
              <w:rPr>
                <w:rFonts w:ascii="Arial" w:cs="Arial" w:eastAsia="Arial" w:hAnsi="Arial"/>
                <w:sz w:val="16"/>
                <w:szCs w:val="16"/>
                <w:color w:val="auto"/>
              </w:rPr>
              <w:t>Long-term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0"/>
              <w:spacing w:after="0"/>
              <w:rPr>
                <w:sz w:val="20"/>
                <w:szCs w:val="20"/>
                <w:color w:val="auto"/>
              </w:rPr>
            </w:pPr>
            <w:r>
              <w:rPr>
                <w:rFonts w:ascii="Arial" w:cs="Arial" w:eastAsia="Arial" w:hAnsi="Arial"/>
                <w:sz w:val="16"/>
                <w:szCs w:val="16"/>
                <w:color w:val="auto"/>
              </w:rPr>
              <w:t>Long-term debt, less current portion</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40,735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104,076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23,497</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9,807</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176,654</w:t>
            </w:r>
          </w:p>
        </w:tc>
        <w:tc>
          <w:tcPr>
            <w:tcW w:w="0" w:type="dxa"/>
            <w:vAlign w:val="bottom"/>
          </w:tcPr>
          <w:p>
            <w:pPr>
              <w:spacing w:after="0"/>
              <w:rPr>
                <w:sz w:val="1"/>
                <w:szCs w:val="1"/>
                <w:color w:val="auto"/>
              </w:rPr>
            </w:pPr>
          </w:p>
        </w:tc>
      </w:tr>
      <w:tr>
        <w:trPr>
          <w:trHeight w:val="213"/>
        </w:trPr>
        <w:tc>
          <w:tcPr>
            <w:tcW w:w="806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2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80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1"/>
              </w:rPr>
              <w:t>Series B Convertible Preferred Stock – $100.00 par value (50,000 shares authorized: 14,790 shares issued and outstanding</w:t>
            </w:r>
          </w:p>
        </w:tc>
        <w:tc>
          <w:tcPr>
            <w:tcW w:w="2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spacing w:after="0"/>
              <w:rPr>
                <w:sz w:val="20"/>
                <w:szCs w:val="20"/>
                <w:color w:val="auto"/>
              </w:rPr>
            </w:pPr>
            <w:r>
              <w:rPr>
                <w:rFonts w:ascii="Arial" w:cs="Arial" w:eastAsia="Arial" w:hAnsi="Arial"/>
                <w:sz w:val="16"/>
                <w:szCs w:val="16"/>
                <w:color w:val="auto"/>
              </w:rPr>
              <w:t>at July 31, 2023 and October 31, 2022) (8.75% coupon rate)</w:t>
            </w:r>
          </w:p>
        </w:tc>
        <w:tc>
          <w:tcPr>
            <w:tcW w:w="2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060" w:type="dxa"/>
            <w:vAlign w:val="bottom"/>
          </w:tcPr>
          <w:p>
            <w:pPr>
              <w:spacing w:after="0" w:line="166" w:lineRule="exact"/>
              <w:rPr>
                <w:sz w:val="20"/>
                <w:szCs w:val="20"/>
                <w:color w:val="auto"/>
              </w:rPr>
            </w:pPr>
            <w:r>
              <w:rPr>
                <w:rFonts w:ascii="Arial" w:cs="Arial" w:eastAsia="Arial" w:hAnsi="Arial"/>
                <w:sz w:val="16"/>
                <w:szCs w:val="16"/>
                <w:color w:val="auto"/>
                <w:w w:val="91"/>
              </w:rPr>
              <w:t>Series B-2 Convertible Preferred Stock – $100.00 par value (10,000 shares authorized: 9,300 shares issued and outstanding</w:t>
            </w:r>
          </w:p>
        </w:tc>
        <w:tc>
          <w:tcPr>
            <w:tcW w:w="2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9,331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9,331</w:t>
            </w:r>
          </w:p>
        </w:tc>
        <w:tc>
          <w:tcPr>
            <w:tcW w:w="0" w:type="dxa"/>
            <w:vAlign w:val="bottom"/>
          </w:tcPr>
          <w:p>
            <w:pPr>
              <w:spacing w:after="0"/>
              <w:rPr>
                <w:sz w:val="1"/>
                <w:szCs w:val="1"/>
                <w:color w:val="auto"/>
              </w:rPr>
            </w:pPr>
          </w:p>
        </w:tc>
      </w:tr>
      <w:tr>
        <w:trPr>
          <w:trHeight w:val="209"/>
        </w:trPr>
        <w:tc>
          <w:tcPr>
            <w:tcW w:w="8060" w:type="dxa"/>
            <w:vAlign w:val="bottom"/>
          </w:tcPr>
          <w:p>
            <w:pPr>
              <w:spacing w:after="0"/>
              <w:rPr>
                <w:sz w:val="20"/>
                <w:szCs w:val="20"/>
                <w:color w:val="auto"/>
              </w:rPr>
            </w:pPr>
            <w:r>
              <w:rPr>
                <w:rFonts w:ascii="Arial" w:cs="Arial" w:eastAsia="Arial" w:hAnsi="Arial"/>
                <w:sz w:val="16"/>
                <w:szCs w:val="16"/>
                <w:color w:val="auto"/>
              </w:rPr>
              <w:t>at July 31, 2023 and October 31, 2022) (4% dividend rate on liquidation value of $1,000 per share)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060" w:type="dxa"/>
            <w:vAlign w:val="bottom"/>
          </w:tcPr>
          <w:p>
            <w:pPr>
              <w:ind w:left="200"/>
              <w:spacing w:after="0" w:line="166" w:lineRule="exact"/>
              <w:rPr>
                <w:sz w:val="20"/>
                <w:szCs w:val="20"/>
                <w:color w:val="auto"/>
              </w:rPr>
            </w:pPr>
            <w:r>
              <w:rPr>
                <w:rFonts w:ascii="Arial" w:cs="Arial" w:eastAsia="Arial" w:hAnsi="Arial"/>
                <w:sz w:val="16"/>
                <w:szCs w:val="16"/>
                <w:color w:val="auto"/>
                <w:w w:val="92"/>
              </w:rPr>
              <w:t>Series A Junior Participating Preferred Stock – $0.01 par value (20,000 shares authorized: zero issued or outstanding at</w:t>
            </w:r>
          </w:p>
        </w:tc>
        <w:tc>
          <w:tcPr>
            <w:tcW w:w="20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60" w:type="dxa"/>
            <w:vAlign w:val="bottom"/>
          </w:tcPr>
          <w:p>
            <w:pPr>
              <w:ind w:left="200"/>
              <w:spacing w:after="0"/>
              <w:rPr>
                <w:sz w:val="20"/>
                <w:szCs w:val="20"/>
                <w:color w:val="auto"/>
              </w:rPr>
            </w:pPr>
            <w:r>
              <w:rPr>
                <w:rFonts w:ascii="Arial" w:cs="Arial" w:eastAsia="Arial" w:hAnsi="Arial"/>
                <w:sz w:val="16"/>
                <w:szCs w:val="16"/>
                <w:color w:val="auto"/>
              </w:rPr>
              <w:t>July 31, 2023 and October 31, 2022)</w:t>
            </w:r>
          </w:p>
        </w:tc>
        <w:tc>
          <w:tcPr>
            <w:tcW w:w="2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06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w w:val="98"/>
              </w:rPr>
              <w:t>Common Stock – $0.01 par value (39,000,000 shares authorized: 18,229,887 and 17,935,292 shares issued and</w:t>
            </w:r>
          </w:p>
        </w:tc>
        <w:tc>
          <w:tcPr>
            <w:tcW w:w="2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17,978,910 and 17,684,315 shares outstanding at July 31, 2023 and October 31, 2022, respectively)</w:t>
            </w:r>
          </w:p>
        </w:tc>
        <w:tc>
          <w:tcPr>
            <w:tcW w:w="2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167,925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165,169</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w:t>
            </w:r>
          </w:p>
        </w:tc>
        <w:tc>
          <w:tcPr>
            <w:tcW w:w="0" w:type="dxa"/>
            <w:vAlign w:val="bottom"/>
          </w:tcPr>
          <w:p>
            <w:pPr>
              <w:spacing w:after="0"/>
              <w:rPr>
                <w:sz w:val="1"/>
                <w:szCs w:val="1"/>
                <w:color w:val="auto"/>
              </w:rPr>
            </w:pPr>
          </w:p>
        </w:tc>
      </w:tr>
      <w:tr>
        <w:trPr>
          <w:trHeight w:val="213"/>
        </w:trPr>
        <w:tc>
          <w:tcPr>
            <w:tcW w:w="806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(7,908)</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Treasury stock, at cost, 250,977 shares at July 31, 2023 and October 31, 2022</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11,609</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195,391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181,054</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Total liabilities, convertible preferred stock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312,673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368,518</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220"/>
          </w:cols>
          <w:pgMar w:left="320" w:top="9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OPERATIONS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4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July 31,</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July 31,</w:t>
            </w:r>
          </w:p>
        </w:tc>
        <w:tc>
          <w:tcPr>
            <w:tcW w:w="960" w:type="dxa"/>
            <w:vAlign w:val="bottom"/>
            <w:tcBorders>
              <w:bottom w:val="single" w:sz="8" w:color="auto"/>
            </w:tcBorders>
          </w:tcPr>
          <w:p>
            <w:pPr>
              <w:spacing w:after="0"/>
              <w:rPr>
                <w:sz w:val="18"/>
                <w:szCs w:val="18"/>
                <w:color w:val="auto"/>
              </w:rPr>
            </w:pPr>
          </w:p>
        </w:tc>
      </w:tr>
      <w:tr>
        <w:trPr>
          <w:trHeight w:val="209"/>
        </w:trPr>
        <w:tc>
          <w:tcPr>
            <w:tcW w:w="56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212"/>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5660" w:type="dxa"/>
            <w:vAlign w:val="bottom"/>
          </w:tcPr>
          <w:p>
            <w:pPr>
              <w:ind w:left="220"/>
              <w:spacing w:after="0"/>
              <w:rPr>
                <w:sz w:val="20"/>
                <w:szCs w:val="20"/>
                <w:color w:val="auto"/>
              </w:rPr>
            </w:pPr>
            <w:r>
              <w:rPr>
                <w:rFonts w:ascii="Arial" w:cs="Arial" w:eastAsia="Arial" w:hAnsi="Arial"/>
                <w:sz w:val="16"/>
                <w:szCs w:val="16"/>
                <w:color w:val="auto"/>
              </w:rPr>
              <w:t>Agribusiness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51,092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57,594</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134,296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141,046</w:t>
            </w:r>
          </w:p>
        </w:tc>
      </w:tr>
      <w:tr>
        <w:trPr>
          <w:trHeight w:val="219"/>
        </w:trPr>
        <w:tc>
          <w:tcPr>
            <w:tcW w:w="5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3,901</w:t>
            </w:r>
          </w:p>
        </w:tc>
      </w:tr>
      <w:tr>
        <w:trPr>
          <w:trHeight w:val="206"/>
        </w:trPr>
        <w:tc>
          <w:tcPr>
            <w:tcW w:w="5660" w:type="dxa"/>
            <w:vAlign w:val="bottom"/>
          </w:tcPr>
          <w:p>
            <w:pPr>
              <w:ind w:left="20"/>
              <w:spacing w:after="0"/>
              <w:rPr>
                <w:sz w:val="20"/>
                <w:szCs w:val="20"/>
                <w:color w:val="auto"/>
              </w:rPr>
            </w:pPr>
            <w:r>
              <w:rPr>
                <w:rFonts w:ascii="Arial" w:cs="Arial" w:eastAsia="Arial" w:hAnsi="Arial"/>
                <w:sz w:val="16"/>
                <w:szCs w:val="16"/>
                <w:color w:val="auto"/>
              </w:rPr>
              <w:t>Total net revenues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52,497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58,923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138,468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144,947</w:t>
            </w: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5660" w:type="dxa"/>
            <w:vAlign w:val="bottom"/>
          </w:tcPr>
          <w:p>
            <w:pPr>
              <w:ind w:left="220"/>
              <w:spacing w:after="0"/>
              <w:rPr>
                <w:sz w:val="20"/>
                <w:szCs w:val="20"/>
                <w:color w:val="auto"/>
              </w:rPr>
            </w:pPr>
            <w:r>
              <w:rPr>
                <w:rFonts w:ascii="Arial" w:cs="Arial" w:eastAsia="Arial" w:hAnsi="Arial"/>
                <w:sz w:val="16"/>
                <w:szCs w:val="16"/>
                <w:color w:val="auto"/>
              </w:rPr>
              <w:t>Agribusiness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46,845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41,463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126,275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120,306</w:t>
            </w:r>
          </w:p>
        </w:tc>
      </w:tr>
      <w:tr>
        <w:trPr>
          <w:trHeight w:val="219"/>
        </w:trPr>
        <w:tc>
          <w:tcPr>
            <w:tcW w:w="5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3,294</w:t>
            </w:r>
          </w:p>
        </w:tc>
      </w:tr>
      <w:tr>
        <w:trPr>
          <w:trHeight w:val="213"/>
        </w:trPr>
        <w:tc>
          <w:tcPr>
            <w:tcW w:w="5660" w:type="dxa"/>
            <w:vAlign w:val="bottom"/>
          </w:tcPr>
          <w:p>
            <w:pPr>
              <w:ind w:left="220"/>
              <w:spacing w:after="0"/>
              <w:rPr>
                <w:sz w:val="20"/>
                <w:szCs w:val="20"/>
                <w:color w:val="auto"/>
              </w:rPr>
            </w:pPr>
            <w:r>
              <w:rPr>
                <w:rFonts w:ascii="Arial" w:cs="Arial" w:eastAsia="Arial" w:hAnsi="Arial"/>
                <w:sz w:val="16"/>
                <w:szCs w:val="16"/>
                <w:color w:val="auto"/>
              </w:rPr>
              <w:t>Loss (gain) on disposal of assets, net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(29,199)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503</w:t>
            </w:r>
          </w:p>
        </w:tc>
      </w:tr>
      <w:tr>
        <w:trPr>
          <w:trHeight w:val="219"/>
        </w:trPr>
        <w:tc>
          <w:tcPr>
            <w:tcW w:w="5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legal settlement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19,907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16,756</w:t>
            </w:r>
          </w:p>
        </w:tc>
      </w:tr>
      <w:tr>
        <w:trPr>
          <w:trHeight w:val="213"/>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costs and expenses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54,046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47,863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117,995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140,859</w:t>
            </w:r>
          </w:p>
        </w:tc>
      </w:tr>
      <w:tr>
        <w:trPr>
          <w:trHeight w:val="206"/>
        </w:trPr>
        <w:tc>
          <w:tcPr>
            <w:tcW w:w="5660" w:type="dxa"/>
            <w:vAlign w:val="bottom"/>
          </w:tcPr>
          <w:p>
            <w:pPr>
              <w:ind w:left="20"/>
              <w:spacing w:after="0"/>
              <w:rPr>
                <w:sz w:val="20"/>
                <w:szCs w:val="20"/>
                <w:color w:val="auto"/>
              </w:rPr>
            </w:pPr>
            <w:r>
              <w:rPr>
                <w:rFonts w:ascii="Arial" w:cs="Arial" w:eastAsia="Arial" w:hAnsi="Arial"/>
                <w:sz w:val="16"/>
                <w:szCs w:val="16"/>
                <w:color w:val="auto"/>
              </w:rPr>
              <w:t>Operating (loss) income</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11,060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20,473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4,088</w:t>
            </w: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56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9"/>
        </w:trPr>
        <w:tc>
          <w:tcPr>
            <w:tcW w:w="5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net of patronage dividends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w:t>
            </w:r>
          </w:p>
        </w:tc>
      </w:tr>
      <w:tr>
        <w:trPr>
          <w:trHeight w:val="213"/>
        </w:trPr>
        <w:tc>
          <w:tcPr>
            <w:tcW w:w="5660" w:type="dxa"/>
            <w:vAlign w:val="bottom"/>
          </w:tcPr>
          <w:p>
            <w:pPr>
              <w:ind w:left="220"/>
              <w:spacing w:after="0"/>
              <w:rPr>
                <w:sz w:val="20"/>
                <w:szCs w:val="20"/>
                <w:color w:val="auto"/>
              </w:rPr>
            </w:pPr>
            <w:r>
              <w:rPr>
                <w:rFonts w:ascii="Arial" w:cs="Arial" w:eastAsia="Arial" w:hAnsi="Arial"/>
                <w:sz w:val="16"/>
                <w:szCs w:val="16"/>
                <w:color w:val="auto"/>
              </w:rPr>
              <w:t>Equity in earnings of investments, net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681</w:t>
            </w:r>
          </w:p>
        </w:tc>
      </w:tr>
      <w:tr>
        <w:trPr>
          <w:trHeight w:val="219"/>
        </w:trPr>
        <w:tc>
          <w:tcPr>
            <w:tcW w:w="5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06"/>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w:t>
            </w:r>
          </w:p>
        </w:tc>
      </w:tr>
      <w:tr>
        <w:trPr>
          <w:trHeight w:val="213"/>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 benefit (provision)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3,676</w:t>
            </w:r>
          </w:p>
        </w:tc>
      </w:tr>
      <w:tr>
        <w:trPr>
          <w:trHeight w:val="21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(provision)</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w:t>
            </w:r>
          </w:p>
        </w:tc>
      </w:tr>
      <w:tr>
        <w:trPr>
          <w:trHeight w:val="213"/>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w:t>
            </w:r>
          </w:p>
        </w:tc>
      </w:tr>
      <w:tr>
        <w:trPr>
          <w:trHeight w:val="21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attributable to noncontrolling interest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r>
      <w:tr>
        <w:trPr>
          <w:trHeight w:val="212"/>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Limoneira Company</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r>
      <w:tr>
        <w:trPr>
          <w:trHeight w:val="21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Preferred dividends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r>
      <w:tr>
        <w:trPr>
          <w:trHeight w:val="23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applicable to common stock</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2,044</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41"/>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net (loss) income per common share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41"/>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(loss) income per common share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common shares outstanding-basic</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17,481</w:t>
            </w:r>
          </w:p>
        </w:tc>
      </w:tr>
      <w:tr>
        <w:trPr>
          <w:trHeight w:val="210"/>
        </w:trPr>
        <w:tc>
          <w:tcPr>
            <w:tcW w:w="566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outstanding-diluted</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17,621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18,334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17,481</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COMPREHENSIVE (LOSS) INCOME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42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800"/>
              <w:spacing w:after="0"/>
              <w:rPr>
                <w:sz w:val="20"/>
                <w:szCs w:val="20"/>
                <w:color w:val="auto"/>
              </w:rPr>
            </w:pPr>
            <w:r>
              <w:rPr>
                <w:rFonts w:ascii="Arial" w:cs="Arial" w:eastAsia="Arial" w:hAnsi="Arial"/>
                <w:sz w:val="16"/>
                <w:szCs w:val="16"/>
                <w:b w:val="1"/>
                <w:bCs w:val="1"/>
                <w:color w:val="auto"/>
              </w:rPr>
              <w:t>July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July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Other comprehensive (loss) income, net of tax:</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166"/>
        </w:trPr>
        <w:tc>
          <w:tcPr>
            <w:tcW w:w="5680" w:type="dxa"/>
            <w:vAlign w:val="bottom"/>
          </w:tcPr>
          <w:p>
            <w:pPr>
              <w:ind w:left="220"/>
              <w:spacing w:after="0" w:line="166" w:lineRule="exact"/>
              <w:rPr>
                <w:sz w:val="20"/>
                <w:szCs w:val="20"/>
                <w:color w:val="auto"/>
              </w:rPr>
            </w:pPr>
            <w:r>
              <w:rPr>
                <w:rFonts w:ascii="Arial" w:cs="Arial" w:eastAsia="Arial" w:hAnsi="Arial"/>
                <w:sz w:val="16"/>
                <w:szCs w:val="16"/>
                <w:color w:val="auto"/>
                <w:w w:val="97"/>
              </w:rPr>
              <w:t>Minimum pension liability adjustments, net of tax of $0, $27, $(135) and $81 for</w:t>
            </w:r>
          </w:p>
        </w:tc>
        <w:tc>
          <w:tcPr>
            <w:tcW w:w="280" w:type="dxa"/>
            <w:vAlign w:val="bottom"/>
          </w:tcPr>
          <w:p>
            <w:pPr>
              <w:spacing w:after="0"/>
              <w:rPr>
                <w:sz w:val="14"/>
                <w:szCs w:val="14"/>
                <w:color w:val="auto"/>
              </w:rPr>
            </w:pPr>
          </w:p>
        </w:tc>
        <w:tc>
          <w:tcPr>
            <w:tcW w:w="1120" w:type="dxa"/>
            <w:vAlign w:val="bottom"/>
            <w:gridSpan w:val="2"/>
            <w:vMerge w:val="restart"/>
          </w:tcPr>
          <w:p>
            <w:pPr>
              <w:ind w:left="8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09"/>
        </w:trPr>
        <w:tc>
          <w:tcPr>
            <w:tcW w:w="5680" w:type="dxa"/>
            <w:vAlign w:val="bottom"/>
          </w:tcPr>
          <w:p>
            <w:pPr>
              <w:ind w:left="220"/>
              <w:spacing w:after="0"/>
              <w:rPr>
                <w:sz w:val="20"/>
                <w:szCs w:val="20"/>
                <w:color w:val="auto"/>
              </w:rPr>
            </w:pPr>
            <w:r>
              <w:rPr>
                <w:rFonts w:ascii="Arial" w:cs="Arial" w:eastAsia="Arial" w:hAnsi="Arial"/>
                <w:sz w:val="16"/>
                <w:szCs w:val="16"/>
                <w:color w:val="auto"/>
              </w:rPr>
              <w:t>the three and nine months ended July 31, 2023 and 2022, respectively</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68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5"/>
              </w:rPr>
              <w:t>Pension settlement cost, net of tax of $0 and $756 for the three and nine months</w:t>
            </w:r>
          </w:p>
        </w:tc>
        <w:tc>
          <w:tcPr>
            <w:tcW w:w="2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ended July 31, 2023</w:t>
            </w:r>
          </w:p>
        </w:tc>
        <w:tc>
          <w:tcPr>
            <w:tcW w:w="2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comprehensive (loss) income, net of tax</w:t>
            </w: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3,412</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(1,562)</w:t>
            </w:r>
          </w:p>
        </w:tc>
        <w:tc>
          <w:tcPr>
            <w:tcW w:w="0" w:type="dxa"/>
            <w:vAlign w:val="bottom"/>
          </w:tcPr>
          <w:p>
            <w:pPr>
              <w:spacing w:after="0"/>
              <w:rPr>
                <w:sz w:val="1"/>
                <w:szCs w:val="1"/>
                <w:color w:val="auto"/>
              </w:rPr>
            </w:pPr>
          </w:p>
        </w:tc>
      </w:tr>
      <w:tr>
        <w:trPr>
          <w:trHeight w:val="213"/>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 income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Comprehensive loss attributable to noncontrolling interest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3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income attributable to Limoneira Company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 AND TEMPORARY EQUITY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7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Stockholders' Equity</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3"/>
                <w:szCs w:val="13"/>
                <w:b w:val="1"/>
                <w:bCs w:val="1"/>
                <w:color w:val="auto"/>
              </w:rPr>
              <w:t>Temporary Equity</w:t>
            </w:r>
          </w:p>
        </w:tc>
        <w:tc>
          <w:tcPr>
            <w:tcW w:w="0" w:type="dxa"/>
            <w:vAlign w:val="bottom"/>
          </w:tcPr>
          <w:p>
            <w:pPr>
              <w:spacing w:after="0"/>
              <w:rPr>
                <w:sz w:val="1"/>
                <w:szCs w:val="1"/>
                <w:color w:val="auto"/>
              </w:rPr>
            </w:pPr>
          </w:p>
        </w:tc>
      </w:tr>
      <w:tr>
        <w:trPr>
          <w:trHeight w:val="136"/>
        </w:trPr>
        <w:tc>
          <w:tcPr>
            <w:tcW w:w="1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00"/>
              <w:spacing w:after="0" w:line="136" w:lineRule="exact"/>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2"/>
              </w:rPr>
              <w:t>Series B</w:t>
            </w:r>
          </w:p>
        </w:tc>
        <w:tc>
          <w:tcPr>
            <w:tcW w:w="100" w:type="dxa"/>
            <w:vAlign w:val="bottom"/>
          </w:tcPr>
          <w:p>
            <w:pPr>
              <w:spacing w:after="0"/>
              <w:rPr>
                <w:sz w:val="11"/>
                <w:szCs w:val="11"/>
                <w:color w:val="auto"/>
              </w:rPr>
            </w:pPr>
          </w:p>
        </w:tc>
        <w:tc>
          <w:tcPr>
            <w:tcW w:w="74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1"/>
              </w:rPr>
              <w:t>Series B-2</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700" w:type="dxa"/>
            <w:vAlign w:val="bottom"/>
            <w:gridSpan w:val="4"/>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760" w:type="dxa"/>
            <w:vAlign w:val="bottom"/>
          </w:tcPr>
          <w:p>
            <w:pPr>
              <w:spacing w:after="0"/>
              <w:rPr>
                <w:sz w:val="15"/>
                <w:szCs w:val="15"/>
                <w:color w:val="auto"/>
              </w:rPr>
            </w:pPr>
          </w:p>
        </w:tc>
        <w:tc>
          <w:tcPr>
            <w:tcW w:w="1700" w:type="dxa"/>
            <w:vAlign w:val="bottom"/>
            <w:tcBorders>
              <w:bottom w:val="single" w:sz="8" w:color="auto"/>
            </w:tcBorders>
            <w:gridSpan w:val="4"/>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controlling</w:t>
            </w: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Preferred</w:t>
            </w:r>
          </w:p>
        </w:tc>
        <w:tc>
          <w:tcPr>
            <w:tcW w:w="100" w:type="dxa"/>
            <w:vAlign w:val="bottom"/>
          </w:tcPr>
          <w:p>
            <w:pPr>
              <w:spacing w:after="0"/>
              <w:rPr>
                <w:sz w:val="15"/>
                <w:szCs w:val="15"/>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Preferred</w:t>
            </w: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92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(Loss) Income</w:t>
            </w:r>
          </w:p>
        </w:tc>
        <w:tc>
          <w:tcPr>
            <w:tcW w:w="100" w:type="dxa"/>
            <w:vAlign w:val="bottom"/>
          </w:tcPr>
          <w:p>
            <w:pPr>
              <w:spacing w:after="0"/>
              <w:rPr>
                <w:sz w:val="15"/>
                <w:szCs w:val="15"/>
                <w:color w:val="auto"/>
              </w:rPr>
            </w:pPr>
          </w:p>
        </w:tc>
        <w:tc>
          <w:tcPr>
            <w:tcW w:w="780" w:type="dxa"/>
            <w:vAlign w:val="bottom"/>
            <w:gridSpan w:val="2"/>
          </w:tcPr>
          <w:p>
            <w:pPr>
              <w:ind w:left="140"/>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Interest</w:t>
            </w:r>
          </w:p>
        </w:tc>
        <w:tc>
          <w:tcPr>
            <w:tcW w:w="120" w:type="dxa"/>
            <w:vAlign w:val="bottom"/>
          </w:tcPr>
          <w:p>
            <w:pPr>
              <w:spacing w:after="0"/>
              <w:rPr>
                <w:sz w:val="15"/>
                <w:szCs w:val="15"/>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15"/>
                <w:szCs w:val="15"/>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0"/>
              </w:rPr>
              <w:t>Stock</w:t>
            </w:r>
          </w:p>
        </w:tc>
        <w:tc>
          <w:tcPr>
            <w:tcW w:w="0" w:type="dxa"/>
            <w:vAlign w:val="bottom"/>
          </w:tcPr>
          <w:p>
            <w:pPr>
              <w:spacing w:after="0"/>
              <w:rPr>
                <w:sz w:val="1"/>
                <w:szCs w:val="1"/>
                <w:color w:val="auto"/>
              </w:rPr>
            </w:pPr>
          </w:p>
        </w:tc>
      </w:tr>
      <w:tr>
        <w:trPr>
          <w:trHeight w:val="176"/>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October 31,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17,684,315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165,169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15,500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w w:val="92"/>
              </w:rPr>
              <w:t>(3,493)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11,609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181,054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34"/>
        </w:trPr>
        <w:tc>
          <w:tcPr>
            <w:tcW w:w="1760" w:type="dxa"/>
            <w:vAlign w:val="bottom"/>
          </w:tcPr>
          <w:p>
            <w:pPr>
              <w:ind w:left="20"/>
              <w:spacing w:after="0" w:line="134" w:lineRule="exact"/>
              <w:rPr>
                <w:sz w:val="20"/>
                <w:szCs w:val="20"/>
                <w:color w:val="auto"/>
              </w:rPr>
            </w:pPr>
            <w:r>
              <w:rPr>
                <w:rFonts w:ascii="Arial" w:cs="Arial" w:eastAsia="Arial" w:hAnsi="Arial"/>
                <w:sz w:val="13"/>
                <w:szCs w:val="13"/>
                <w:color w:val="auto"/>
                <w:w w:val="93"/>
              </w:rPr>
              <w:t>Dividends Common ($0.075 per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(1,337)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176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w w:val="99"/>
              </w:rPr>
              <w:t>Dividends Series B ($2.19 per</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760" w:type="dxa"/>
            <w:vAlign w:val="bottom"/>
          </w:tcPr>
          <w:p>
            <w:pPr>
              <w:ind w:left="20"/>
              <w:spacing w:after="0" w:line="134" w:lineRule="exact"/>
              <w:rPr>
                <w:sz w:val="20"/>
                <w:szCs w:val="20"/>
                <w:color w:val="auto"/>
              </w:rPr>
            </w:pPr>
            <w:r>
              <w:rPr>
                <w:rFonts w:ascii="Arial" w:cs="Arial" w:eastAsia="Arial" w:hAnsi="Arial"/>
                <w:sz w:val="13"/>
                <w:szCs w:val="13"/>
                <w:color w:val="auto"/>
                <w:w w:val="99"/>
              </w:rPr>
              <w:t>Dividends Series B-2 ($10 per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146,289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760" w:type="dxa"/>
            <w:vAlign w:val="bottom"/>
          </w:tcPr>
          <w:p>
            <w:pPr>
              <w:ind w:left="20"/>
              <w:spacing w:after="0" w:line="134" w:lineRule="exact"/>
              <w:rPr>
                <w:sz w:val="20"/>
                <w:szCs w:val="20"/>
                <w:color w:val="auto"/>
              </w:rPr>
            </w:pPr>
            <w:r>
              <w:rPr>
                <w:rFonts w:ascii="Arial" w:cs="Arial" w:eastAsia="Arial" w:hAnsi="Arial"/>
                <w:sz w:val="13"/>
                <w:szCs w:val="13"/>
                <w:color w:val="auto"/>
              </w:rPr>
              <w:t>Noncontrolling interest</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rPr>
                <w:sz w:val="20"/>
                <w:szCs w:val="20"/>
                <w:color w:val="auto"/>
              </w:rPr>
            </w:pPr>
            <w:r>
              <w:rPr>
                <w:rFonts w:ascii="Arial" w:cs="Arial" w:eastAsia="Arial" w:hAnsi="Arial"/>
                <w:sz w:val="13"/>
                <w:szCs w:val="13"/>
                <w:color w:val="auto"/>
              </w:rPr>
              <w:t>adjustment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15,631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15,534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760" w:type="dxa"/>
            <w:vAlign w:val="bottom"/>
          </w:tcPr>
          <w:p>
            <w:pPr>
              <w:ind w:left="20"/>
              <w:spacing w:after="0" w:line="134" w:lineRule="exact"/>
              <w:rPr>
                <w:sz w:val="20"/>
                <w:szCs w:val="20"/>
                <w:color w:val="auto"/>
              </w:rPr>
            </w:pPr>
            <w:r>
              <w:rPr>
                <w:rFonts w:ascii="Arial" w:cs="Arial" w:eastAsia="Arial" w:hAnsi="Arial"/>
                <w:sz w:val="13"/>
                <w:szCs w:val="13"/>
                <w:color w:val="auto"/>
                <w:w w:val="88"/>
              </w:rPr>
              <w:t>Other comprehensive income, net</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760" w:type="dxa"/>
            <w:vAlign w:val="bottom"/>
          </w:tcPr>
          <w:p>
            <w:pPr>
              <w:ind w:left="20"/>
              <w:spacing w:after="0"/>
              <w:rPr>
                <w:sz w:val="20"/>
                <w:szCs w:val="20"/>
                <w:color w:val="auto"/>
              </w:rPr>
            </w:pPr>
            <w:r>
              <w:rPr>
                <w:rFonts w:ascii="Arial" w:cs="Arial" w:eastAsia="Arial" w:hAnsi="Arial"/>
                <w:sz w:val="13"/>
                <w:szCs w:val="13"/>
                <w:color w:val="auto"/>
              </w:rPr>
              <w:t>of tax</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January 31,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17,830,604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166,232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29,669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(3,961)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w w:val="92"/>
              </w:rPr>
              <w:t>(3,493)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11,434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200,059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14"/>
        </w:trPr>
        <w:tc>
          <w:tcPr>
            <w:tcW w:w="1760" w:type="dxa"/>
            <w:vAlign w:val="bottom"/>
          </w:tcPr>
          <w:p>
            <w:pPr>
              <w:ind w:left="20"/>
              <w:spacing w:after="0" w:line="114" w:lineRule="exact"/>
              <w:rPr>
                <w:sz w:val="20"/>
                <w:szCs w:val="20"/>
                <w:color w:val="auto"/>
              </w:rPr>
            </w:pPr>
            <w:r>
              <w:rPr>
                <w:rFonts w:ascii="Arial" w:cs="Arial" w:eastAsia="Arial" w:hAnsi="Arial"/>
                <w:sz w:val="13"/>
                <w:szCs w:val="13"/>
                <w:color w:val="auto"/>
                <w:w w:val="93"/>
              </w:rPr>
              <w:t>Dividends Common ($0.075 per</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(1,348)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176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w w:val="99"/>
              </w:rPr>
              <w:t>Dividends Series B ($2.19 per</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760" w:type="dxa"/>
            <w:vAlign w:val="bottom"/>
          </w:tcPr>
          <w:p>
            <w:pPr>
              <w:ind w:left="20"/>
              <w:spacing w:after="0" w:line="134" w:lineRule="exact"/>
              <w:rPr>
                <w:sz w:val="20"/>
                <w:szCs w:val="20"/>
                <w:color w:val="auto"/>
              </w:rPr>
            </w:pPr>
            <w:r>
              <w:rPr>
                <w:rFonts w:ascii="Arial" w:cs="Arial" w:eastAsia="Arial" w:hAnsi="Arial"/>
                <w:sz w:val="13"/>
                <w:szCs w:val="13"/>
                <w:color w:val="auto"/>
                <w:w w:val="99"/>
              </w:rPr>
              <w:t>Dividends Series B-2 ($10 per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149,900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rPr>
                <w:sz w:val="20"/>
                <w:szCs w:val="20"/>
                <w:color w:val="auto"/>
              </w:rPr>
            </w:pPr>
            <w:r>
              <w:rPr>
                <w:rFonts w:ascii="Arial" w:cs="Arial" w:eastAsia="Arial" w:hAnsi="Arial"/>
                <w:sz w:val="13"/>
                <w:szCs w:val="13"/>
                <w:color w:val="auto"/>
              </w:rPr>
              <w:t>Exchange of common stock</w:t>
            </w:r>
          </w:p>
        </w:tc>
        <w:tc>
          <w:tcPr>
            <w:tcW w:w="820" w:type="dxa"/>
            <w:vAlign w:val="bottom"/>
          </w:tcPr>
          <w:p>
            <w:pPr>
              <w:jc w:val="right"/>
              <w:spacing w:after="0"/>
              <w:rPr>
                <w:sz w:val="20"/>
                <w:szCs w:val="20"/>
                <w:color w:val="auto"/>
              </w:rPr>
            </w:pPr>
            <w:r>
              <w:rPr>
                <w:rFonts w:ascii="Arial" w:cs="Arial" w:eastAsia="Arial" w:hAnsi="Arial"/>
                <w:sz w:val="13"/>
                <w:szCs w:val="13"/>
                <w:color w:val="auto"/>
              </w:rPr>
              <w:t>(1,594)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760" w:type="dxa"/>
            <w:vAlign w:val="bottom"/>
          </w:tcPr>
          <w:p>
            <w:pPr>
              <w:ind w:left="20"/>
              <w:spacing w:after="0" w:line="134" w:lineRule="exact"/>
              <w:rPr>
                <w:sz w:val="20"/>
                <w:szCs w:val="20"/>
                <w:color w:val="auto"/>
              </w:rPr>
            </w:pPr>
            <w:r>
              <w:rPr>
                <w:rFonts w:ascii="Arial" w:cs="Arial" w:eastAsia="Arial" w:hAnsi="Arial"/>
                <w:sz w:val="13"/>
                <w:szCs w:val="13"/>
                <w:color w:val="auto"/>
                <w:w w:val="90"/>
              </w:rPr>
              <w:t>Other comprehensive loss, net of</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760" w:type="dxa"/>
            <w:vAlign w:val="bottom"/>
          </w:tcPr>
          <w:p>
            <w:pPr>
              <w:ind w:left="20"/>
              <w:spacing w:after="0"/>
              <w:rPr>
                <w:sz w:val="20"/>
                <w:szCs w:val="20"/>
                <w:color w:val="auto"/>
              </w:rPr>
            </w:pPr>
            <w:r>
              <w:rPr>
                <w:rFonts w:ascii="Arial" w:cs="Arial" w:eastAsia="Arial" w:hAnsi="Arial"/>
                <w:sz w:val="13"/>
                <w:szCs w:val="13"/>
                <w:color w:val="auto"/>
              </w:rPr>
              <w:t>tax</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April 30,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17,978,910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167,169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w w:val="92"/>
              </w:rPr>
              <w:t>(3,493)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197,844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bottom w:val="single" w:sz="8" w:color="CCEEFF"/>
            </w:tcBorders>
            <w:vMerge w:val="restart"/>
          </w:tcPr>
          <w:p>
            <w:pPr>
              <w:ind w:left="20"/>
              <w:spacing w:after="0" w:line="121" w:lineRule="exact"/>
              <w:rPr>
                <w:sz w:val="20"/>
                <w:szCs w:val="20"/>
                <w:color w:val="auto"/>
              </w:rPr>
            </w:pPr>
            <w:r>
              <w:rPr>
                <w:rFonts w:ascii="Arial" w:cs="Arial" w:eastAsia="Arial" w:hAnsi="Arial"/>
                <w:sz w:val="13"/>
                <w:szCs w:val="13"/>
                <w:color w:val="auto"/>
                <w:w w:val="93"/>
              </w:rPr>
              <w:t>Dividends Common ($0.075 per</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7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(1,349)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176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w w:val="99"/>
              </w:rPr>
              <w:t>Dividends Series B ($2.19 per</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760" w:type="dxa"/>
            <w:vAlign w:val="bottom"/>
          </w:tcPr>
          <w:p>
            <w:pPr>
              <w:ind w:left="20"/>
              <w:spacing w:after="0" w:line="134" w:lineRule="exact"/>
              <w:rPr>
                <w:sz w:val="20"/>
                <w:szCs w:val="20"/>
                <w:color w:val="auto"/>
              </w:rPr>
            </w:pPr>
            <w:r>
              <w:rPr>
                <w:rFonts w:ascii="Arial" w:cs="Arial" w:eastAsia="Arial" w:hAnsi="Arial"/>
                <w:sz w:val="13"/>
                <w:szCs w:val="13"/>
                <w:color w:val="auto"/>
                <w:w w:val="99"/>
              </w:rPr>
              <w:t>Dividends Series B-2 ($10 per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(1,163)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17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w w:val="90"/>
              </w:rPr>
              <w:t>Other comprehensive loss, net of</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60" w:type="dxa"/>
            <w:vAlign w:val="bottom"/>
          </w:tcPr>
          <w:p>
            <w:pPr>
              <w:ind w:left="20"/>
              <w:spacing w:after="0"/>
              <w:rPr>
                <w:sz w:val="20"/>
                <w:szCs w:val="20"/>
                <w:color w:val="auto"/>
              </w:rPr>
            </w:pPr>
            <w:r>
              <w:rPr>
                <w:rFonts w:ascii="Arial" w:cs="Arial" w:eastAsia="Arial" w:hAnsi="Arial"/>
                <w:sz w:val="13"/>
                <w:szCs w:val="13"/>
                <w:color w:val="auto"/>
              </w:rPr>
              <w:t>Balance at July 31, 2023</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17,978,910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167,925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23,945</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(4,496)</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3"/>
                <w:szCs w:val="13"/>
                <w:color w:val="auto"/>
                <w:w w:val="92"/>
              </w:rPr>
              <w:t>(3,493)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11,330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195,391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3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9" w:right="35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STOCKHOLDERS' EQUITY AND TEMPORARY EQUITY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17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Stockholders' Equity</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3"/>
                <w:szCs w:val="13"/>
                <w:b w:val="1"/>
                <w:bCs w:val="1"/>
                <w:color w:val="auto"/>
              </w:rPr>
              <w:t>Temporary Equity</w:t>
            </w:r>
          </w:p>
        </w:tc>
        <w:tc>
          <w:tcPr>
            <w:tcW w:w="0" w:type="dxa"/>
            <w:vAlign w:val="bottom"/>
          </w:tcPr>
          <w:p>
            <w:pPr>
              <w:spacing w:after="0"/>
              <w:rPr>
                <w:sz w:val="1"/>
                <w:szCs w:val="1"/>
                <w:color w:val="auto"/>
              </w:rPr>
            </w:pPr>
          </w:p>
        </w:tc>
      </w:tr>
      <w:tr>
        <w:trPr>
          <w:trHeight w:val="136"/>
        </w:trPr>
        <w:tc>
          <w:tcPr>
            <w:tcW w:w="1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00"/>
              <w:spacing w:after="0" w:line="136" w:lineRule="exact"/>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2"/>
              </w:rPr>
              <w:t>Series B</w:t>
            </w:r>
          </w:p>
        </w:tc>
        <w:tc>
          <w:tcPr>
            <w:tcW w:w="100" w:type="dxa"/>
            <w:vAlign w:val="bottom"/>
          </w:tcPr>
          <w:p>
            <w:pPr>
              <w:spacing w:after="0"/>
              <w:rPr>
                <w:sz w:val="11"/>
                <w:szCs w:val="11"/>
                <w:color w:val="auto"/>
              </w:rPr>
            </w:pPr>
          </w:p>
        </w:tc>
        <w:tc>
          <w:tcPr>
            <w:tcW w:w="74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1"/>
              </w:rPr>
              <w:t>Series B-2</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700" w:type="dxa"/>
            <w:vAlign w:val="bottom"/>
            <w:gridSpan w:val="4"/>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760" w:type="dxa"/>
            <w:vAlign w:val="bottom"/>
          </w:tcPr>
          <w:p>
            <w:pPr>
              <w:spacing w:after="0"/>
              <w:rPr>
                <w:sz w:val="15"/>
                <w:szCs w:val="15"/>
                <w:color w:val="auto"/>
              </w:rPr>
            </w:pPr>
          </w:p>
        </w:tc>
        <w:tc>
          <w:tcPr>
            <w:tcW w:w="1700" w:type="dxa"/>
            <w:vAlign w:val="bottom"/>
            <w:tcBorders>
              <w:bottom w:val="single" w:sz="8" w:color="auto"/>
            </w:tcBorders>
            <w:gridSpan w:val="4"/>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controlling</w:t>
            </w: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Preferred</w:t>
            </w:r>
          </w:p>
        </w:tc>
        <w:tc>
          <w:tcPr>
            <w:tcW w:w="100" w:type="dxa"/>
            <w:vAlign w:val="bottom"/>
          </w:tcPr>
          <w:p>
            <w:pPr>
              <w:spacing w:after="0"/>
              <w:rPr>
                <w:sz w:val="15"/>
                <w:szCs w:val="15"/>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Preferred</w:t>
            </w: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92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(Loss) Income</w:t>
            </w:r>
          </w:p>
        </w:tc>
        <w:tc>
          <w:tcPr>
            <w:tcW w:w="100" w:type="dxa"/>
            <w:vAlign w:val="bottom"/>
          </w:tcPr>
          <w:p>
            <w:pPr>
              <w:spacing w:after="0"/>
              <w:rPr>
                <w:sz w:val="15"/>
                <w:szCs w:val="15"/>
                <w:color w:val="auto"/>
              </w:rPr>
            </w:pPr>
          </w:p>
        </w:tc>
        <w:tc>
          <w:tcPr>
            <w:tcW w:w="780" w:type="dxa"/>
            <w:vAlign w:val="bottom"/>
            <w:gridSpan w:val="2"/>
          </w:tcPr>
          <w:p>
            <w:pPr>
              <w:ind w:left="140"/>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Interest</w:t>
            </w:r>
          </w:p>
        </w:tc>
        <w:tc>
          <w:tcPr>
            <w:tcW w:w="120" w:type="dxa"/>
            <w:vAlign w:val="bottom"/>
          </w:tcPr>
          <w:p>
            <w:pPr>
              <w:spacing w:after="0"/>
              <w:rPr>
                <w:sz w:val="15"/>
                <w:szCs w:val="15"/>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15"/>
                <w:szCs w:val="15"/>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0"/>
              </w:rPr>
              <w:t>Stock</w:t>
            </w:r>
          </w:p>
        </w:tc>
        <w:tc>
          <w:tcPr>
            <w:tcW w:w="0" w:type="dxa"/>
            <w:vAlign w:val="bottom"/>
          </w:tcPr>
          <w:p>
            <w:pPr>
              <w:spacing w:after="0"/>
              <w:rPr>
                <w:sz w:val="1"/>
                <w:szCs w:val="1"/>
                <w:color w:val="auto"/>
              </w:rPr>
            </w:pPr>
          </w:p>
        </w:tc>
      </w:tr>
      <w:tr>
        <w:trPr>
          <w:trHeight w:val="176"/>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October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17,685,400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163,965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21,552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(5,733)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w w:val="92"/>
              </w:rPr>
              <w:t>(3,493)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11,965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188,435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34"/>
        </w:trPr>
        <w:tc>
          <w:tcPr>
            <w:tcW w:w="1760" w:type="dxa"/>
            <w:vAlign w:val="bottom"/>
          </w:tcPr>
          <w:p>
            <w:pPr>
              <w:ind w:left="20"/>
              <w:spacing w:after="0" w:line="134" w:lineRule="exact"/>
              <w:rPr>
                <w:sz w:val="20"/>
                <w:szCs w:val="20"/>
                <w:color w:val="auto"/>
              </w:rPr>
            </w:pPr>
            <w:r>
              <w:rPr>
                <w:rFonts w:ascii="Arial" w:cs="Arial" w:eastAsia="Arial" w:hAnsi="Arial"/>
                <w:sz w:val="13"/>
                <w:szCs w:val="13"/>
                <w:color w:val="auto"/>
                <w:w w:val="93"/>
              </w:rPr>
              <w:t>Dividends Common ($0.075 per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(1,328)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176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w w:val="99"/>
              </w:rPr>
              <w:t>Dividends Series B ($2.19 per</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760" w:type="dxa"/>
            <w:vAlign w:val="bottom"/>
          </w:tcPr>
          <w:p>
            <w:pPr>
              <w:ind w:left="20"/>
              <w:spacing w:after="0" w:line="134" w:lineRule="exact"/>
              <w:rPr>
                <w:sz w:val="20"/>
                <w:szCs w:val="20"/>
                <w:color w:val="auto"/>
              </w:rPr>
            </w:pPr>
            <w:r>
              <w:rPr>
                <w:rFonts w:ascii="Arial" w:cs="Arial" w:eastAsia="Arial" w:hAnsi="Arial"/>
                <w:sz w:val="13"/>
                <w:szCs w:val="13"/>
                <w:color w:val="auto"/>
              </w:rPr>
              <w:t>Dividends Series B-2 $10 per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rPr>
                <w:sz w:val="20"/>
                <w:szCs w:val="20"/>
                <w:color w:val="auto"/>
              </w:rPr>
            </w:pPr>
            <w:r>
              <w:rPr>
                <w:rFonts w:ascii="Arial" w:cs="Arial" w:eastAsia="Arial" w:hAnsi="Arial"/>
                <w:sz w:val="13"/>
                <w:szCs w:val="13"/>
                <w:color w:val="auto"/>
              </w:rPr>
              <w:t>Exchange of common stock</w:t>
            </w:r>
          </w:p>
        </w:tc>
        <w:tc>
          <w:tcPr>
            <w:tcW w:w="820" w:type="dxa"/>
            <w:vAlign w:val="bottom"/>
          </w:tcPr>
          <w:p>
            <w:pPr>
              <w:jc w:val="right"/>
              <w:spacing w:after="0"/>
              <w:rPr>
                <w:sz w:val="20"/>
                <w:szCs w:val="20"/>
                <w:color w:val="auto"/>
              </w:rPr>
            </w:pPr>
            <w:r>
              <w:rPr>
                <w:rFonts w:ascii="Arial" w:cs="Arial" w:eastAsia="Arial" w:hAnsi="Arial"/>
                <w:sz w:val="13"/>
                <w:szCs w:val="13"/>
                <w:color w:val="auto"/>
              </w:rPr>
              <w:t>(55,362)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760" w:type="dxa"/>
            <w:vAlign w:val="bottom"/>
          </w:tcPr>
          <w:p>
            <w:pPr>
              <w:ind w:left="20"/>
              <w:spacing w:after="0" w:line="134" w:lineRule="exact"/>
              <w:rPr>
                <w:sz w:val="20"/>
                <w:szCs w:val="20"/>
                <w:color w:val="auto"/>
              </w:rPr>
            </w:pPr>
            <w:r>
              <w:rPr>
                <w:rFonts w:ascii="Arial" w:cs="Arial" w:eastAsia="Arial" w:hAnsi="Arial"/>
                <w:sz w:val="13"/>
                <w:szCs w:val="13"/>
                <w:color w:val="auto"/>
                <w:w w:val="88"/>
              </w:rPr>
              <w:t>Other comprehensive income, net</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760" w:type="dxa"/>
            <w:vAlign w:val="bottom"/>
          </w:tcPr>
          <w:p>
            <w:pPr>
              <w:ind w:left="20"/>
              <w:spacing w:after="0"/>
              <w:rPr>
                <w:sz w:val="20"/>
                <w:szCs w:val="20"/>
                <w:color w:val="auto"/>
              </w:rPr>
            </w:pPr>
            <w:r>
              <w:rPr>
                <w:rFonts w:ascii="Arial" w:cs="Arial" w:eastAsia="Arial" w:hAnsi="Arial"/>
                <w:sz w:val="13"/>
                <w:szCs w:val="13"/>
                <w:color w:val="auto"/>
              </w:rPr>
              <w:t>of tax</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January 31,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17,700,038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164,061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13,581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(5,606)</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w w:val="92"/>
              </w:rPr>
              <w:t>(3,493)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180,602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14"/>
        </w:trPr>
        <w:tc>
          <w:tcPr>
            <w:tcW w:w="1760" w:type="dxa"/>
            <w:vAlign w:val="bottom"/>
          </w:tcPr>
          <w:p>
            <w:pPr>
              <w:ind w:left="20"/>
              <w:spacing w:after="0" w:line="114" w:lineRule="exact"/>
              <w:rPr>
                <w:sz w:val="20"/>
                <w:szCs w:val="20"/>
                <w:color w:val="auto"/>
              </w:rPr>
            </w:pPr>
            <w:r>
              <w:rPr>
                <w:rFonts w:ascii="Arial" w:cs="Arial" w:eastAsia="Arial" w:hAnsi="Arial"/>
                <w:sz w:val="13"/>
                <w:szCs w:val="13"/>
                <w:color w:val="auto"/>
                <w:w w:val="93"/>
              </w:rPr>
              <w:t>Dividends Common ($0.075 per</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176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w w:val="99"/>
              </w:rPr>
              <w:t>Dividends Series B ($2.19 per</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760" w:type="dxa"/>
            <w:vAlign w:val="bottom"/>
          </w:tcPr>
          <w:p>
            <w:pPr>
              <w:ind w:left="20"/>
              <w:spacing w:after="0" w:line="134" w:lineRule="exact"/>
              <w:rPr>
                <w:sz w:val="20"/>
                <w:szCs w:val="20"/>
                <w:color w:val="auto"/>
              </w:rPr>
            </w:pPr>
            <w:r>
              <w:rPr>
                <w:rFonts w:ascii="Arial" w:cs="Arial" w:eastAsia="Arial" w:hAnsi="Arial"/>
                <w:sz w:val="13"/>
                <w:szCs w:val="13"/>
                <w:color w:val="auto"/>
                <w:w w:val="99"/>
              </w:rPr>
              <w:t>Dividends Series B-2 ($10 per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rPr>
                <w:sz w:val="20"/>
                <w:szCs w:val="20"/>
                <w:color w:val="auto"/>
              </w:rPr>
            </w:pPr>
            <w:r>
              <w:rPr>
                <w:rFonts w:ascii="Arial" w:cs="Arial" w:eastAsia="Arial" w:hAnsi="Arial"/>
                <w:sz w:val="13"/>
                <w:szCs w:val="13"/>
                <w:color w:val="auto"/>
              </w:rPr>
              <w:t>Exchange of common stock</w:t>
            </w:r>
          </w:p>
        </w:tc>
        <w:tc>
          <w:tcPr>
            <w:tcW w:w="820" w:type="dxa"/>
            <w:vAlign w:val="bottom"/>
          </w:tcPr>
          <w:p>
            <w:pPr>
              <w:jc w:val="right"/>
              <w:spacing w:after="0"/>
              <w:rPr>
                <w:sz w:val="20"/>
                <w:szCs w:val="20"/>
                <w:color w:val="auto"/>
              </w:rPr>
            </w:pPr>
            <w:r>
              <w:rPr>
                <w:rFonts w:ascii="Arial" w:cs="Arial" w:eastAsia="Arial" w:hAnsi="Arial"/>
                <w:sz w:val="13"/>
                <w:szCs w:val="13"/>
                <w:color w:val="auto"/>
              </w:rPr>
              <w:t>(12,718)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760" w:type="dxa"/>
            <w:vAlign w:val="bottom"/>
          </w:tcPr>
          <w:p>
            <w:pPr>
              <w:ind w:left="20"/>
              <w:spacing w:after="0" w:line="134" w:lineRule="exact"/>
              <w:rPr>
                <w:sz w:val="20"/>
                <w:szCs w:val="20"/>
                <w:color w:val="auto"/>
              </w:rPr>
            </w:pPr>
            <w:r>
              <w:rPr>
                <w:rFonts w:ascii="Arial" w:cs="Arial" w:eastAsia="Arial" w:hAnsi="Arial"/>
                <w:sz w:val="13"/>
                <w:szCs w:val="13"/>
                <w:color w:val="auto"/>
                <w:w w:val="90"/>
              </w:rPr>
              <w:t>Other comprehensive loss, net of</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760" w:type="dxa"/>
            <w:vAlign w:val="bottom"/>
          </w:tcPr>
          <w:p>
            <w:pPr>
              <w:ind w:left="20"/>
              <w:spacing w:after="0"/>
              <w:rPr>
                <w:sz w:val="20"/>
                <w:szCs w:val="20"/>
                <w:color w:val="auto"/>
              </w:rPr>
            </w:pPr>
            <w:r>
              <w:rPr>
                <w:rFonts w:ascii="Arial" w:cs="Arial" w:eastAsia="Arial" w:hAnsi="Arial"/>
                <w:sz w:val="13"/>
                <w:szCs w:val="13"/>
                <w:color w:val="auto"/>
              </w:rPr>
              <w:t>tax</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1"/>
        </w:trPr>
        <w:tc>
          <w:tcPr>
            <w:tcW w:w="1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April 30,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17,721,551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164,253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w w:val="92"/>
              </w:rPr>
              <w:t>(3,493)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179,976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bottom w:val="single" w:sz="8" w:color="CCEEFF"/>
            </w:tcBorders>
            <w:vMerge w:val="restart"/>
          </w:tcPr>
          <w:p>
            <w:pPr>
              <w:ind w:left="20"/>
              <w:spacing w:after="0" w:line="121" w:lineRule="exact"/>
              <w:rPr>
                <w:sz w:val="20"/>
                <w:szCs w:val="20"/>
                <w:color w:val="auto"/>
              </w:rPr>
            </w:pPr>
            <w:r>
              <w:rPr>
                <w:rFonts w:ascii="Arial" w:cs="Arial" w:eastAsia="Arial" w:hAnsi="Arial"/>
                <w:sz w:val="13"/>
                <w:szCs w:val="13"/>
                <w:color w:val="auto"/>
                <w:w w:val="93"/>
              </w:rPr>
              <w:t>Dividends Common ($0.075 per</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7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176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w w:val="99"/>
              </w:rPr>
              <w:t>Dividends Series B ($2.19 per</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760" w:type="dxa"/>
            <w:vAlign w:val="bottom"/>
          </w:tcPr>
          <w:p>
            <w:pPr>
              <w:ind w:left="20"/>
              <w:spacing w:after="0" w:line="134" w:lineRule="exact"/>
              <w:rPr>
                <w:sz w:val="20"/>
                <w:szCs w:val="20"/>
                <w:color w:val="auto"/>
              </w:rPr>
            </w:pPr>
            <w:r>
              <w:rPr>
                <w:rFonts w:ascii="Arial" w:cs="Arial" w:eastAsia="Arial" w:hAnsi="Arial"/>
                <w:sz w:val="13"/>
                <w:szCs w:val="13"/>
                <w:color w:val="auto"/>
                <w:w w:val="99"/>
              </w:rPr>
              <w:t>Dividends Series B-2 ($10 per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7,377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7,325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17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w w:val="90"/>
              </w:rPr>
              <w:t>Other comprehensive loss, net of</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60" w:type="dxa"/>
            <w:vAlign w:val="bottom"/>
          </w:tcPr>
          <w:p>
            <w:pPr>
              <w:ind w:left="20"/>
              <w:spacing w:after="0"/>
              <w:rPr>
                <w:sz w:val="20"/>
                <w:szCs w:val="20"/>
                <w:color w:val="auto"/>
              </w:rPr>
            </w:pPr>
            <w:r>
              <w:rPr>
                <w:rFonts w:ascii="Arial" w:cs="Arial" w:eastAsia="Arial" w:hAnsi="Arial"/>
                <w:sz w:val="13"/>
                <w:szCs w:val="13"/>
                <w:color w:val="auto"/>
              </w:rPr>
              <w:t>Balance at July 31, 2022</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17,721,551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164,871</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19,618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(7,295)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3"/>
                <w:szCs w:val="13"/>
                <w:color w:val="auto"/>
                <w:w w:val="92"/>
              </w:rPr>
              <w:t>(3,493)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11,804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185,685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67" w:lineRule="exact"/>
        <w:rPr>
          <w:sz w:val="20"/>
          <w:szCs w:val="20"/>
          <w:color w:val="auto"/>
        </w:rPr>
      </w:pPr>
    </w:p>
    <w:p>
      <w:pPr>
        <w:jc w:val="center"/>
        <w:ind w:left="8480"/>
        <w:spacing w:after="0"/>
        <w:rPr>
          <w:sz w:val="20"/>
          <w:szCs w:val="20"/>
          <w:color w:val="auto"/>
        </w:rPr>
      </w:pPr>
      <w:r>
        <w:rPr>
          <w:rFonts w:ascii="Arial" w:cs="Arial" w:eastAsia="Arial" w:hAnsi="Arial"/>
          <w:sz w:val="16"/>
          <w:szCs w:val="16"/>
          <w:b w:val="1"/>
          <w:bCs w:val="1"/>
          <w:color w:val="auto"/>
        </w:rPr>
        <w:t>Nine Months Ended</w:t>
      </w:r>
    </w:p>
    <w:p>
      <w:pPr>
        <w:jc w:val="center"/>
        <w:ind w:left="8480"/>
        <w:spacing w:after="0"/>
        <w:rPr>
          <w:sz w:val="20"/>
          <w:szCs w:val="20"/>
          <w:color w:val="auto"/>
        </w:rPr>
      </w:pPr>
      <w:r>
        <w:rPr>
          <w:rFonts w:ascii="Arial" w:cs="Arial" w:eastAsia="Arial" w:hAnsi="Arial"/>
          <w:sz w:val="16"/>
          <w:szCs w:val="16"/>
          <w:b w:val="1"/>
          <w:bCs w:val="1"/>
          <w:color w:val="auto"/>
        </w:rPr>
        <w:t>July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19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12,654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2,291</w:t>
            </w: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5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7,432</w:t>
            </w:r>
          </w:p>
        </w:tc>
      </w:tr>
      <w:tr>
        <w:trPr>
          <w:trHeight w:val="219"/>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loss on disposal of assets,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r>
      <w:tr>
        <w:trPr>
          <w:trHeight w:val="213"/>
        </w:trPr>
        <w:tc>
          <w:tcPr>
            <w:tcW w:w="8500" w:type="dxa"/>
            <w:vAlign w:val="bottom"/>
          </w:tcPr>
          <w:p>
            <w:pPr>
              <w:ind w:left="220"/>
              <w:spacing w:after="0"/>
              <w:rPr>
                <w:sz w:val="20"/>
                <w:szCs w:val="20"/>
                <w:color w:val="auto"/>
              </w:rPr>
            </w:pPr>
            <w:r>
              <w:rPr>
                <w:rFonts w:ascii="Arial" w:cs="Arial" w:eastAsia="Arial" w:hAnsi="Arial"/>
                <w:sz w:val="16"/>
                <w:szCs w:val="16"/>
                <w:color w:val="auto"/>
              </w:rPr>
              <w:t>Gain on legal settlement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compensation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w:t>
            </w:r>
          </w:p>
        </w:tc>
      </w:tr>
      <w:tr>
        <w:trPr>
          <w:trHeight w:val="213"/>
        </w:trPr>
        <w:tc>
          <w:tcPr>
            <w:tcW w:w="8500" w:type="dxa"/>
            <w:vAlign w:val="bottom"/>
          </w:tcPr>
          <w:p>
            <w:pPr>
              <w:ind w:left="220"/>
              <w:spacing w:after="0"/>
              <w:rPr>
                <w:sz w:val="20"/>
                <w:szCs w:val="20"/>
                <w:color w:val="auto"/>
              </w:rPr>
            </w:pPr>
            <w:r>
              <w:rPr>
                <w:rFonts w:ascii="Arial" w:cs="Arial" w:eastAsia="Arial" w:hAnsi="Arial"/>
                <w:sz w:val="16"/>
                <w:szCs w:val="16"/>
                <w:color w:val="auto"/>
              </w:rPr>
              <w:t>Non-cash lease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19"/>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earnings of investments,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r>
      <w:tr>
        <w:trPr>
          <w:trHeight w:val="213"/>
        </w:trPr>
        <w:tc>
          <w:tcPr>
            <w:tcW w:w="8500" w:type="dxa"/>
            <w:vAlign w:val="bottom"/>
          </w:tcPr>
          <w:p>
            <w:pPr>
              <w:ind w:left="220"/>
              <w:spacing w:after="0"/>
              <w:rPr>
                <w:sz w:val="20"/>
                <w:szCs w:val="20"/>
                <w:color w:val="auto"/>
              </w:rPr>
            </w:pPr>
            <w:r>
              <w:rPr>
                <w:rFonts w:ascii="Arial" w:cs="Arial" w:eastAsia="Arial" w:hAnsi="Arial"/>
                <w:sz w:val="16"/>
                <w:szCs w:val="16"/>
                <w:color w:val="auto"/>
              </w:rPr>
              <w:t>Cash distributions from equity investments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19"/>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w:t>
            </w:r>
          </w:p>
        </w:tc>
      </w:tr>
      <w:tr>
        <w:trPr>
          <w:trHeight w:val="213"/>
        </w:trPr>
        <w:tc>
          <w:tcPr>
            <w:tcW w:w="8500" w:type="dxa"/>
            <w:vAlign w:val="bottom"/>
          </w:tcPr>
          <w:p>
            <w:pPr>
              <w:ind w:left="220"/>
              <w:spacing w:after="0"/>
              <w:rPr>
                <w:sz w:val="20"/>
                <w:szCs w:val="20"/>
                <w:color w:val="auto"/>
              </w:rPr>
            </w:pPr>
            <w:r>
              <w:rPr>
                <w:rFonts w:ascii="Arial" w:cs="Arial" w:eastAsia="Arial" w:hAnsi="Arial"/>
                <w:sz w:val="16"/>
                <w:szCs w:val="16"/>
                <w:color w:val="auto"/>
              </w:rPr>
              <w:t>Other,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816</w:t>
            </w:r>
          </w:p>
        </w:tc>
      </w:tr>
      <w:tr>
        <w:trPr>
          <w:trHeight w:val="219"/>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500" w:type="dxa"/>
            <w:vAlign w:val="bottom"/>
          </w:tcPr>
          <w:p>
            <w:pPr>
              <w:ind w:left="480"/>
              <w:spacing w:after="0"/>
              <w:rPr>
                <w:sz w:val="20"/>
                <w:szCs w:val="20"/>
                <w:color w:val="auto"/>
              </w:rPr>
            </w:pPr>
            <w:r>
              <w:rPr>
                <w:rFonts w:ascii="Arial" w:cs="Arial" w:eastAsia="Arial" w:hAnsi="Arial"/>
                <w:sz w:val="16"/>
                <w:szCs w:val="16"/>
                <w:color w:val="auto"/>
              </w:rPr>
              <w:t>Accounts receivable and receivables/other from related parties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(1,260)</w:t>
            </w:r>
          </w:p>
        </w:tc>
      </w:tr>
      <w:tr>
        <w:trPr>
          <w:trHeight w:val="219"/>
        </w:trPr>
        <w:tc>
          <w:tcPr>
            <w:tcW w:w="8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Cultural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w:t>
            </w:r>
          </w:p>
        </w:tc>
      </w:tr>
      <w:tr>
        <w:trPr>
          <w:trHeight w:val="213"/>
        </w:trPr>
        <w:tc>
          <w:tcPr>
            <w:tcW w:w="8500" w:type="dxa"/>
            <w:vAlign w:val="bottom"/>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(4,181)</w:t>
            </w:r>
          </w:p>
        </w:tc>
      </w:tr>
      <w:tr>
        <w:trPr>
          <w:trHeight w:val="219"/>
        </w:trPr>
        <w:tc>
          <w:tcPr>
            <w:tcW w:w="8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Income taxes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00" w:type="dxa"/>
            <w:vAlign w:val="bottom"/>
          </w:tcPr>
          <w:p>
            <w:pPr>
              <w:ind w:left="48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8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 and growers and suppliers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r>
      <w:tr>
        <w:trPr>
          <w:trHeight w:val="213"/>
        </w:trPr>
        <w:tc>
          <w:tcPr>
            <w:tcW w:w="8500" w:type="dxa"/>
            <w:vAlign w:val="bottom"/>
          </w:tcPr>
          <w:p>
            <w:pPr>
              <w:ind w:left="480"/>
              <w:spacing w:after="0"/>
              <w:rPr>
                <w:sz w:val="20"/>
                <w:szCs w:val="20"/>
                <w:color w:val="auto"/>
              </w:rPr>
            </w:pPr>
            <w:r>
              <w:rPr>
                <w:rFonts w:ascii="Arial" w:cs="Arial" w:eastAsia="Arial" w:hAnsi="Arial"/>
                <w:sz w:val="16"/>
                <w:szCs w:val="16"/>
                <w:color w:val="auto"/>
              </w:rPr>
              <w:t>Accrued liabilities and payables to related parties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1,612</w:t>
            </w:r>
          </w:p>
        </w:tc>
      </w:tr>
      <w:tr>
        <w:trPr>
          <w:trHeight w:val="219"/>
        </w:trPr>
        <w:tc>
          <w:tcPr>
            <w:tcW w:w="8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07"/>
        </w:trPr>
        <w:tc>
          <w:tcPr>
            <w:tcW w:w="8500" w:type="dxa"/>
            <w:vAlign w:val="bottom"/>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(12,588)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10,919</w:t>
            </w: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(7,673)</w:t>
            </w: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proceeds from sales of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Net proceeds from legal settlement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proceeds from sale of real estate development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Cash distribution from Trapani Fresh</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Collection on notes receivable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w:t>
            </w: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Equity investment contributions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mutual water companies and water rights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r>
      <w:tr>
        <w:trPr>
          <w:trHeight w:val="207"/>
        </w:trPr>
        <w:tc>
          <w:tcPr>
            <w:tcW w:w="850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92,358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(5,302)</w:t>
            </w: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Borrowings of long-term debt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57,940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119,204</w:t>
            </w: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(119,327)</w:t>
            </w: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Proceeds from equipment financings</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1,020</w:t>
            </w: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paid on finance lease and equipment financings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Dividends paid – common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(3,978)</w:t>
            </w: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 preferred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r>
      <w:tr>
        <w:trPr>
          <w:trHeight w:val="21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Exchange of common stock</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w:t>
            </w:r>
          </w:p>
        </w:tc>
      </w:tr>
      <w:tr>
        <w:trPr>
          <w:trHeight w:val="213"/>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(69,646)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(4,814)</w:t>
            </w:r>
          </w:p>
        </w:tc>
      </w:tr>
      <w:tr>
        <w:trPr>
          <w:trHeight w:val="206"/>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r>
      <w:tr>
        <w:trPr>
          <w:trHeight w:val="213"/>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r>
      <w:tr>
        <w:trPr>
          <w:trHeight w:val="206"/>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at beginning of period</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r>
      <w:tr>
        <w:trPr>
          <w:trHeight w:val="238"/>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 (UNAUDITED)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167" w:lineRule="exact"/>
        <w:rPr>
          <w:sz w:val="20"/>
          <w:szCs w:val="20"/>
          <w:color w:val="auto"/>
        </w:rPr>
      </w:pPr>
    </w:p>
    <w:p>
      <w:pPr>
        <w:jc w:val="center"/>
        <w:ind w:left="8460"/>
        <w:spacing w:after="0"/>
        <w:rPr>
          <w:sz w:val="20"/>
          <w:szCs w:val="20"/>
          <w:color w:val="auto"/>
        </w:rPr>
      </w:pPr>
      <w:r>
        <w:rPr>
          <w:rFonts w:ascii="Arial" w:cs="Arial" w:eastAsia="Arial" w:hAnsi="Arial"/>
          <w:sz w:val="16"/>
          <w:szCs w:val="16"/>
          <w:b w:val="1"/>
          <w:bCs w:val="1"/>
          <w:color w:val="auto"/>
        </w:rPr>
        <w:t>Nine Months Ended</w:t>
      </w:r>
    </w:p>
    <w:p>
      <w:pPr>
        <w:jc w:val="center"/>
        <w:ind w:left="8460"/>
        <w:spacing w:after="0"/>
        <w:rPr>
          <w:sz w:val="20"/>
          <w:szCs w:val="20"/>
          <w:color w:val="auto"/>
        </w:rPr>
      </w:pPr>
      <w:r>
        <w:rPr>
          <w:rFonts w:ascii="Arial" w:cs="Arial" w:eastAsia="Arial" w:hAnsi="Arial"/>
          <w:sz w:val="16"/>
          <w:szCs w:val="16"/>
          <w:b w:val="1"/>
          <w:bCs w:val="1"/>
          <w:color w:val="auto"/>
        </w:rPr>
        <w:t>July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4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212"/>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Cash paid during the period for interest (net of amounts capitalized)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1,108</w:t>
            </w:r>
          </w:p>
        </w:tc>
      </w:tr>
      <w:tr>
        <w:trPr>
          <w:trHeight w:val="219"/>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during the period for income taxes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 accrued but not paid at period-end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40" w:firstLine="8"/>
        <w:spacing w:after="0" w:line="417"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 Business</w:t>
      </w:r>
    </w:p>
    <w:p>
      <w:pPr>
        <w:jc w:val="both"/>
        <w:spacing w:after="0" w:line="263" w:lineRule="auto"/>
        <w:rPr>
          <w:sz w:val="20"/>
          <w:szCs w:val="20"/>
          <w:color w:val="auto"/>
        </w:rPr>
      </w:pPr>
      <w:r>
        <w:rPr>
          <w:rFonts w:ascii="Arial" w:cs="Arial" w:eastAsia="Arial" w:hAnsi="Arial"/>
          <w:sz w:val="18"/>
          <w:szCs w:val="18"/>
          <w:color w:val="auto"/>
        </w:rPr>
        <w:t>Limoneira Company (together with its consolidated subsidiaries, the “Company”) engages primarily in growing citrus and avocados, picking and hauling citrus, and packing, marketing and selling citrus. The Company is also engaged in residential rentals and other rental operations and real estate development activities.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markets and sells citrus directly to food service, wholesale and retail customers throughout the United States, Canada, Asia, Europe and other international markets. The Company is a member of Sunkist Growers, Inc., an agricultural marketing cooperative, and sells a portion of its oranges, specialty citrus and other crops to Sunkist-licensed and other third-party packinghouses.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Preparation</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accompanying unaudited interim consolidated financial statements include the accounts of the Company and the accounts of all the subsidiaries and investments in which the Company holds a controlling interest. Intercompany balances and transactions have been eliminated in consolidation. In the opinion of the Company, the unaudited interim consolidated financial statements reflect all adjustments, which are normal and recurring in nature, necessary for fair financial statement presentation. The preparation of these unaudited interim consolidated financial statements and accompanying notes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information and footnote disclosures normally included in the annual consolidated financial statements have been condensed or omitted pursuant to the rules and regulations of the SEC. Because the consolidated financial statements do not include all of the information and notes required by GAAP for a complete set of consolidated financial statements, they should be read in conjunction with the audited consolidated financial statements and notes included in the Company’s Annual Report on Form 10-K.</w:t>
      </w:r>
    </w:p>
    <w:p>
      <w:pPr>
        <w:spacing w:after="0" w:line="97" w:lineRule="exact"/>
        <w:rPr>
          <w:sz w:val="20"/>
          <w:szCs w:val="20"/>
          <w:color w:val="auto"/>
        </w:rPr>
      </w:pPr>
    </w:p>
    <w:p>
      <w:pPr>
        <w:ind w:right="7680" w:firstLine="8"/>
        <w:spacing w:after="0" w:line="417"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Comprehensive (Loss) Income</w:t>
      </w:r>
    </w:p>
    <w:p>
      <w:pPr>
        <w:jc w:val="both"/>
        <w:spacing w:after="0" w:line="263" w:lineRule="auto"/>
        <w:rPr>
          <w:sz w:val="20"/>
          <w:szCs w:val="20"/>
          <w:color w:val="auto"/>
        </w:rPr>
      </w:pPr>
      <w:r>
        <w:rPr>
          <w:rFonts w:ascii="Arial" w:cs="Arial" w:eastAsia="Arial" w:hAnsi="Arial"/>
          <w:sz w:val="18"/>
          <w:szCs w:val="18"/>
          <w:color w:val="auto"/>
        </w:rPr>
        <w:t>Comprehensive (loss) income represents all changes in a company’s net assets, except changes resulting from transactions with stockholders. Other comprehensive income or loss includes foreign currency translation items and defined benefit pension items. Accumulated other comprehensive loss is reported as a component of the Company's stockholders' equity.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comprehensive loss by component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8"/>
          </w:tcPr>
          <w:p>
            <w:pPr>
              <w:ind w:left="20"/>
              <w:spacing w:after="0"/>
              <w:rPr>
                <w:sz w:val="20"/>
                <w:szCs w:val="20"/>
                <w:color w:val="auto"/>
              </w:rPr>
            </w:pPr>
            <w:r>
              <w:rPr>
                <w:rFonts w:ascii="Arial" w:cs="Arial" w:eastAsia="Arial" w:hAnsi="Arial"/>
                <w:sz w:val="16"/>
                <w:szCs w:val="16"/>
                <w:b w:val="1"/>
                <w:bCs w:val="1"/>
                <w:color w:val="auto"/>
                <w:w w:val="93"/>
              </w:rPr>
              <w:t>Three Months Ended July 31,</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Pre-tax</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Tax Expense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Net Amount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Pre-tax</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Tax</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Net Amount</w:t>
            </w:r>
          </w:p>
        </w:tc>
        <w:tc>
          <w:tcPr>
            <w:tcW w:w="0" w:type="dxa"/>
            <w:vAlign w:val="bottom"/>
          </w:tcPr>
          <w:p>
            <w:pPr>
              <w:spacing w:after="0"/>
              <w:rPr>
                <w:sz w:val="1"/>
                <w:szCs w:val="1"/>
                <w:color w:val="auto"/>
              </w:rPr>
            </w:pPr>
          </w:p>
        </w:tc>
      </w:tr>
      <w:tr>
        <w:trPr>
          <w:trHeight w:val="213"/>
        </w:trPr>
        <w:tc>
          <w:tcPr>
            <w:tcW w:w="5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Amount</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8"/>
              </w:rPr>
              <w:t>Expense</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center"/>
              <w:ind w:left="319"/>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Minimum pension liability adjustments: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before reclassifications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center"/>
              <w:ind w:left="379"/>
              <w:spacing w:after="0"/>
              <w:rPr>
                <w:sz w:val="20"/>
                <w:szCs w:val="20"/>
                <w:color w:val="auto"/>
              </w:rPr>
            </w:pPr>
            <w:r>
              <w:rPr>
                <w:rFonts w:ascii="Arial" w:cs="Arial" w:eastAsia="Arial" w:hAnsi="Arial"/>
                <w:sz w:val="16"/>
                <w:szCs w:val="16"/>
                <w:color w:val="auto"/>
                <w:w w:val="98"/>
              </w:rPr>
              <w:t>(27)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(485)</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center"/>
              <w:ind w:left="379"/>
              <w:spacing w:after="0"/>
              <w:rPr>
                <w:sz w:val="20"/>
                <w:szCs w:val="20"/>
                <w:color w:val="auto"/>
              </w:rPr>
            </w:pPr>
            <w:r>
              <w:rPr>
                <w:rFonts w:ascii="Arial" w:cs="Arial" w:eastAsia="Arial" w:hAnsi="Arial"/>
                <w:sz w:val="16"/>
                <w:szCs w:val="16"/>
                <w:color w:val="auto"/>
                <w:w w:val="98"/>
              </w:rPr>
              <w:t>(27)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w w:val="95"/>
              </w:rPr>
              <w:t>Nine Months Ended July 31,</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Pre-tax</w:t>
            </w:r>
          </w:p>
        </w:tc>
        <w:tc>
          <w:tcPr>
            <w:tcW w:w="96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2"/>
              </w:rPr>
              <w:t>Tax Benefit</w:t>
            </w:r>
          </w:p>
        </w:tc>
        <w:tc>
          <w:tcPr>
            <w:tcW w:w="10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4"/>
              </w:rPr>
              <w:t>Net Amount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Pre-tax</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Tax</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Net Amount</w:t>
            </w:r>
          </w:p>
        </w:tc>
        <w:tc>
          <w:tcPr>
            <w:tcW w:w="0" w:type="dxa"/>
            <w:vAlign w:val="bottom"/>
          </w:tcPr>
          <w:p>
            <w:pPr>
              <w:spacing w:after="0"/>
              <w:rPr>
                <w:sz w:val="1"/>
                <w:szCs w:val="1"/>
                <w:color w:val="auto"/>
              </w:rPr>
            </w:pPr>
          </w:p>
        </w:tc>
      </w:tr>
      <w:tr>
        <w:trPr>
          <w:trHeight w:val="213"/>
        </w:trPr>
        <w:tc>
          <w:tcPr>
            <w:tcW w:w="5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Amount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8"/>
              </w:rPr>
              <w:t>(Expense)</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8"/>
              </w:rPr>
              <w:t>Expense</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center"/>
              <w:ind w:left="319"/>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Minimum pension liability adjustments: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income before reclassifications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8"/>
              </w:rPr>
              <w:t>(81)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3"/>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6"/>
              </w:rPr>
              <w:t>Amounts reclassified to earnings included in "Other income (expense), net"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8"/>
              </w:rPr>
              <w:t>(81)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loss by component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Foreign Currency</w:t>
            </w:r>
          </w:p>
        </w:tc>
        <w:tc>
          <w:tcPr>
            <w:tcW w:w="100" w:type="dxa"/>
            <w:vAlign w:val="bottom"/>
          </w:tcPr>
          <w:p>
            <w:pPr>
              <w:spacing w:after="0"/>
              <w:rPr>
                <w:sz w:val="16"/>
                <w:szCs w:val="16"/>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1"/>
              </w:rPr>
              <w:t>Defined Benefit</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Accumulated Other</w:t>
            </w:r>
          </w:p>
        </w:tc>
        <w:tc>
          <w:tcPr>
            <w:tcW w:w="0" w:type="dxa"/>
            <w:vAlign w:val="bottom"/>
          </w:tcPr>
          <w:p>
            <w:pPr>
              <w:spacing w:after="0"/>
              <w:rPr>
                <w:sz w:val="1"/>
                <w:szCs w:val="1"/>
                <w:color w:val="auto"/>
              </w:rPr>
            </w:pPr>
          </w:p>
        </w:tc>
      </w:tr>
      <w:tr>
        <w:trPr>
          <w:trHeight w:val="162"/>
        </w:trPr>
        <w:tc>
          <w:tcPr>
            <w:tcW w:w="6980" w:type="dxa"/>
            <w:vAlign w:val="bottom"/>
          </w:tcPr>
          <w:p>
            <w:pPr>
              <w:spacing w:after="0"/>
              <w:rPr>
                <w:sz w:val="14"/>
                <w:szCs w:val="14"/>
                <w:color w:val="auto"/>
              </w:rPr>
            </w:pPr>
          </w:p>
        </w:tc>
        <w:tc>
          <w:tcPr>
            <w:tcW w:w="1420" w:type="dxa"/>
            <w:vAlign w:val="bottom"/>
            <w:gridSpan w:val="3"/>
          </w:tcPr>
          <w:p>
            <w:pPr>
              <w:jc w:val="right"/>
              <w:ind w:right="140"/>
              <w:spacing w:after="0" w:line="162" w:lineRule="exact"/>
              <w:rPr>
                <w:sz w:val="20"/>
                <w:szCs w:val="20"/>
                <w:color w:val="auto"/>
              </w:rPr>
            </w:pPr>
            <w:r>
              <w:rPr>
                <w:rFonts w:ascii="Arial" w:cs="Arial" w:eastAsia="Arial" w:hAnsi="Arial"/>
                <w:sz w:val="16"/>
                <w:szCs w:val="16"/>
                <w:b w:val="1"/>
                <w:bCs w:val="1"/>
                <w:color w:val="auto"/>
                <w:w w:val="90"/>
              </w:rPr>
              <w:t>Translation (Loss)</w:t>
            </w: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99"/>
              <w:spacing w:after="0" w:line="162" w:lineRule="exact"/>
              <w:rPr>
                <w:sz w:val="20"/>
                <w:szCs w:val="20"/>
                <w:color w:val="auto"/>
              </w:rPr>
            </w:pPr>
            <w:r>
              <w:rPr>
                <w:rFonts w:ascii="Arial" w:cs="Arial" w:eastAsia="Arial" w:hAnsi="Arial"/>
                <w:sz w:val="16"/>
                <w:szCs w:val="16"/>
                <w:b w:val="1"/>
                <w:bCs w:val="1"/>
                <w:color w:val="auto"/>
                <w:w w:val="91"/>
              </w:rPr>
              <w:t>Comprehensive</w:t>
            </w:r>
          </w:p>
        </w:tc>
        <w:tc>
          <w:tcPr>
            <w:tcW w:w="0" w:type="dxa"/>
            <w:vAlign w:val="bottom"/>
          </w:tcPr>
          <w:p>
            <w:pPr>
              <w:spacing w:after="0"/>
              <w:rPr>
                <w:sz w:val="1"/>
                <w:szCs w:val="1"/>
                <w:color w:val="auto"/>
              </w:rPr>
            </w:pPr>
          </w:p>
        </w:tc>
      </w:tr>
      <w:tr>
        <w:trPr>
          <w:trHeight w:val="213"/>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Gain</w:t>
            </w: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Pension Plan</w:t>
            </w:r>
          </w:p>
        </w:tc>
        <w:tc>
          <w:tcPr>
            <w:tcW w:w="140" w:type="dxa"/>
            <w:vAlign w:val="bottom"/>
          </w:tcPr>
          <w:p>
            <w:pPr>
              <w:spacing w:after="0"/>
              <w:rPr>
                <w:sz w:val="18"/>
                <w:szCs w:val="18"/>
                <w:color w:val="auto"/>
              </w:rPr>
            </w:pPr>
          </w:p>
        </w:tc>
        <w:tc>
          <w:tcPr>
            <w:tcW w:w="1300" w:type="dxa"/>
            <w:vAlign w:val="bottom"/>
          </w:tcPr>
          <w:p>
            <w:pPr>
              <w:jc w:val="right"/>
              <w:ind w:right="479"/>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212"/>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October 31, 2022</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(7,908)</w:t>
            </w:r>
          </w:p>
        </w:tc>
        <w:tc>
          <w:tcPr>
            <w:tcW w:w="0" w:type="dxa"/>
            <w:vAlign w:val="bottom"/>
          </w:tcPr>
          <w:p>
            <w:pPr>
              <w:spacing w:after="0"/>
              <w:rPr>
                <w:sz w:val="1"/>
                <w:szCs w:val="1"/>
                <w:color w:val="auto"/>
              </w:rPr>
            </w:pPr>
          </w:p>
        </w:tc>
      </w:tr>
      <w:tr>
        <w:trPr>
          <w:trHeight w:val="21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3,412</w:t>
            </w:r>
          </w:p>
        </w:tc>
        <w:tc>
          <w:tcPr>
            <w:tcW w:w="0" w:type="dxa"/>
            <w:vAlign w:val="bottom"/>
          </w:tcPr>
          <w:p>
            <w:pPr>
              <w:spacing w:after="0"/>
              <w:rPr>
                <w:sz w:val="1"/>
                <w:szCs w:val="1"/>
                <w:color w:val="auto"/>
              </w:rPr>
            </w:pPr>
          </w:p>
        </w:tc>
      </w:tr>
      <w:tr>
        <w:trPr>
          <w:trHeight w:val="232"/>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July 31, 2023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2"/>
              </w:rPr>
              <w:t>Foreign Currency</w:t>
            </w:r>
          </w:p>
        </w:tc>
        <w:tc>
          <w:tcPr>
            <w:tcW w:w="100" w:type="dxa"/>
            <w:vAlign w:val="bottom"/>
          </w:tcPr>
          <w:p>
            <w:pPr>
              <w:spacing w:after="0"/>
              <w:rPr>
                <w:sz w:val="16"/>
                <w:szCs w:val="16"/>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1"/>
              </w:rPr>
              <w:t>Defined Benefit</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Accumulated Other</w:t>
            </w:r>
          </w:p>
        </w:tc>
        <w:tc>
          <w:tcPr>
            <w:tcW w:w="0" w:type="dxa"/>
            <w:vAlign w:val="bottom"/>
          </w:tcPr>
          <w:p>
            <w:pPr>
              <w:spacing w:after="0"/>
              <w:rPr>
                <w:sz w:val="1"/>
                <w:szCs w:val="1"/>
                <w:color w:val="auto"/>
              </w:rPr>
            </w:pPr>
          </w:p>
        </w:tc>
      </w:tr>
      <w:tr>
        <w:trPr>
          <w:trHeight w:val="162"/>
        </w:trPr>
        <w:tc>
          <w:tcPr>
            <w:tcW w:w="698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99"/>
              <w:spacing w:after="0" w:line="162" w:lineRule="exact"/>
              <w:rPr>
                <w:sz w:val="20"/>
                <w:szCs w:val="20"/>
                <w:color w:val="auto"/>
              </w:rPr>
            </w:pPr>
            <w:r>
              <w:rPr>
                <w:rFonts w:ascii="Arial" w:cs="Arial" w:eastAsia="Arial" w:hAnsi="Arial"/>
                <w:sz w:val="16"/>
                <w:szCs w:val="16"/>
                <w:b w:val="1"/>
                <w:bCs w:val="1"/>
                <w:color w:val="auto"/>
                <w:w w:val="91"/>
              </w:rPr>
              <w:t>Comprehensive</w:t>
            </w:r>
          </w:p>
        </w:tc>
        <w:tc>
          <w:tcPr>
            <w:tcW w:w="0" w:type="dxa"/>
            <w:vAlign w:val="bottom"/>
          </w:tcPr>
          <w:p>
            <w:pPr>
              <w:spacing w:after="0"/>
              <w:rPr>
                <w:sz w:val="1"/>
                <w:szCs w:val="1"/>
                <w:color w:val="auto"/>
              </w:rPr>
            </w:pPr>
          </w:p>
        </w:tc>
      </w:tr>
      <w:tr>
        <w:trPr>
          <w:trHeight w:val="213"/>
        </w:trPr>
        <w:tc>
          <w:tcPr>
            <w:tcW w:w="6980" w:type="dxa"/>
            <w:vAlign w:val="bottom"/>
          </w:tcPr>
          <w:p>
            <w:pPr>
              <w:spacing w:after="0"/>
              <w:rPr>
                <w:sz w:val="18"/>
                <w:szCs w:val="18"/>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Translation Loss</w:t>
            </w: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Pension Plan</w:t>
            </w:r>
          </w:p>
        </w:tc>
        <w:tc>
          <w:tcPr>
            <w:tcW w:w="140" w:type="dxa"/>
            <w:vAlign w:val="bottom"/>
          </w:tcPr>
          <w:p>
            <w:pPr>
              <w:spacing w:after="0"/>
              <w:rPr>
                <w:sz w:val="18"/>
                <w:szCs w:val="18"/>
                <w:color w:val="auto"/>
              </w:rPr>
            </w:pPr>
          </w:p>
        </w:tc>
        <w:tc>
          <w:tcPr>
            <w:tcW w:w="1300" w:type="dxa"/>
            <w:vAlign w:val="bottom"/>
          </w:tcPr>
          <w:p>
            <w:pPr>
              <w:jc w:val="right"/>
              <w:ind w:right="479"/>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212"/>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October 31, 2021</w:t>
            </w: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(5,733)</w:t>
            </w:r>
          </w:p>
        </w:tc>
        <w:tc>
          <w:tcPr>
            <w:tcW w:w="0" w:type="dxa"/>
            <w:vAlign w:val="bottom"/>
          </w:tcPr>
          <w:p>
            <w:pPr>
              <w:spacing w:after="0"/>
              <w:rPr>
                <w:sz w:val="1"/>
                <w:szCs w:val="1"/>
                <w:color w:val="auto"/>
              </w:rPr>
            </w:pPr>
          </w:p>
        </w:tc>
      </w:tr>
      <w:tr>
        <w:trPr>
          <w:trHeight w:val="21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(loss) income</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w:t>
            </w:r>
          </w:p>
        </w:tc>
        <w:tc>
          <w:tcPr>
            <w:tcW w:w="0" w:type="dxa"/>
            <w:vAlign w:val="bottom"/>
          </w:tcPr>
          <w:p>
            <w:pPr>
              <w:spacing w:after="0"/>
              <w:rPr>
                <w:sz w:val="1"/>
                <w:szCs w:val="1"/>
                <w:color w:val="auto"/>
              </w:rPr>
            </w:pPr>
          </w:p>
        </w:tc>
      </w:tr>
      <w:tr>
        <w:trPr>
          <w:trHeight w:val="23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July 31, 2022</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continued uncertainty around the breadth and duration of the Company's business disruptions related to the COVID-19 pandemic. The decline in demand for the Company's products has negatively impacted the Company's sales and profitability since the beginning of the second quarter of fiscal year 2020. The COVID-19 pandemic may continue to impact the Company's sales and profitability in future periods. The duration of these trends and the magnitude of such impacts are uncertain and therefore cannot be estimated at this time, as they are influenced by a number of factors, many of which are outside management’s control.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Concentrations of credit risk with respect to revenues and accounts receivable are limited due to a large, diverse customer base. One individual customer represented 12% of revenue for the nine months ended July 31, 2023. No individual customer represented more than 10% of accounts receivable, net as of July 31, 2023.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 individual supplier represented 10% of accounts payable as of July 31, 2023.</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Lemons procured from third-party growers were 53% and 51% of the Company's lemon supply for the nine months ended July 31, 2023 and 2022, respectively. One third-party grower was 11% of the lemon supply for the nine months ended July 31, 2023.</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its cash in federally insured financial institutions. The account balances at these institutions periodically exceed Federal Deposit Insurance Corporation (“FDIC”) insurance coverage and, as a result, there is a concentration of risk related to amounts on deposit in excess of FDIC insurance coverage.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9100" w:firstLine="8"/>
        <w:spacing w:after="0" w:line="500" w:lineRule="auto"/>
        <w:tabs>
          <w:tab w:leader="none" w:pos="18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Asset Sales and Disposals Northern Properties</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October 2022, the Company entered into a Purchase and Sale Agreement, as amended, (the “Agreement”) with PGIM Real Estate Finance, LLC (“PGIM”) to sell 3,537 acres of land and citrus orchards in Tulare County, California (the “Northern Properties”) for a purchase price of approximately $100,405,000. On January 25, 2023, the Board approved the Agreement creating a binding agreement of the Company to sell the Northern Properties and the transaction closed on January 31, 2023. During the quarter ended April 30, 2023, the purchase price was decreased by $397,000 for reimbursement of certain cultural costs and prepaid expenses, resulting in a final purchase price of $100,008,000.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The following is a summary of the transaction (in thousands):</w:t>
            </w: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62"/>
        </w:trPr>
        <w:tc>
          <w:tcPr>
            <w:tcW w:w="9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proceeds received</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85,494</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directly repaid through the transaction</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12,917</w:t>
            </w:r>
          </w:p>
        </w:tc>
      </w:tr>
      <w:tr>
        <w:trPr>
          <w:trHeight w:val="223"/>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proceeds received</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98,411</w:t>
            </w: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Less: net book value of assets sold</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9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Cultural costs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w:t>
            </w:r>
          </w:p>
        </w:tc>
      </w:tr>
      <w:tr>
        <w:trPr>
          <w:trHeight w:val="229"/>
        </w:trPr>
        <w:tc>
          <w:tcPr>
            <w:tcW w:w="992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9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53,144</w:t>
            </w:r>
          </w:p>
        </w:tc>
      </w:tr>
      <w:tr>
        <w:trPr>
          <w:trHeight w:val="230"/>
        </w:trPr>
        <w:tc>
          <w:tcPr>
            <w:tcW w:w="992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9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r>
      <w:tr>
        <w:trPr>
          <w:trHeight w:val="229"/>
        </w:trPr>
        <w:tc>
          <w:tcPr>
            <w:tcW w:w="9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Accrued liabilities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99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58,416</w:t>
            </w:r>
          </w:p>
        </w:tc>
      </w:tr>
      <w:tr>
        <w:trPr>
          <w:trHeight w:val="223"/>
        </w:trPr>
        <w:tc>
          <w:tcPr>
            <w:tcW w:w="9920" w:type="dxa"/>
            <w:vAlign w:val="bottom"/>
          </w:tcPr>
          <w:p>
            <w:pPr>
              <w:ind w:left="20"/>
              <w:spacing w:after="0"/>
              <w:rPr>
                <w:sz w:val="20"/>
                <w:szCs w:val="20"/>
                <w:color w:val="auto"/>
              </w:rPr>
            </w:pPr>
            <w:r>
              <w:rPr>
                <w:rFonts w:ascii="Arial" w:cs="Arial" w:eastAsia="Arial" w:hAnsi="Arial"/>
                <w:sz w:val="18"/>
                <w:szCs w:val="18"/>
                <w:color w:val="auto"/>
              </w:rPr>
              <w:t>Gain on disposal of assets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39,995</w:t>
            </w:r>
          </w:p>
        </w:tc>
      </w:tr>
      <w:tr>
        <w:trPr>
          <w:trHeight w:val="20"/>
        </w:trPr>
        <w:tc>
          <w:tcPr>
            <w:tcW w:w="9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proceeds were used to pay down all of the Company’s domestic debt except the AgWest Farm Credit $40,000,000 non-revolving line of credit. The Northern Properties component, including an allocation of interest expense related to the debt directly repaid through the transaction, had a pretax loss of $1,667,000 and $776,000 for the nine months ended July 31, 2023 and 2022, respectively.</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31, 2023, the Company entered into a Farm Management Agreement (“FMA”) with an affiliate of PGIM to provide farming, management and operations services related to the Northern Properties. The FMA has an initial term expiring March 31, 2024, and thereafter continuing from year to year unless earlier terminated under the terms of the FMA. Further, on January 31, 2023, the Company entered into a Grower Packing and Marketing Agreement to provide packing, marketing and selling services for lemons harvested on the Northern Properties for a minimum five-year term, subject to certain benchmarking standards.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Cadiz Ranch</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2023, the Company determined that citrus farming operations were economically unviable on 670 acres of leased agricultural land at the Cadiz Ranch. As a result, the Company ceased farming operations, disposed of the related property, plant and equipment and recorded a loss on disposal of assets of $9,012,000 during the nine months ended July 31, 2023.</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tcPr>
          <w:p>
            <w:pPr>
              <w:spacing w:after="0"/>
              <w:rPr>
                <w:sz w:val="20"/>
                <w:szCs w:val="20"/>
                <w:color w:val="auto"/>
              </w:rPr>
            </w:pPr>
            <w:r>
              <w:rPr>
                <w:rFonts w:ascii="Arial" w:cs="Arial" w:eastAsia="Arial" w:hAnsi="Arial"/>
                <w:sz w:val="18"/>
                <w:szCs w:val="18"/>
                <w:b w:val="1"/>
                <w:bCs w:val="1"/>
                <w:color w:val="auto"/>
              </w:rPr>
              <w:t>4. Prepaid Expenses and Other Current Assets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65"/>
        </w:trPr>
        <w:tc>
          <w:tcPr>
            <w:tcW w:w="8500" w:type="dxa"/>
            <w:vAlign w:val="bottom"/>
          </w:tcPr>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8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October 31,</w:t>
            </w:r>
          </w:p>
        </w:tc>
      </w:tr>
      <w:tr>
        <w:trPr>
          <w:trHeight w:val="243"/>
        </w:trPr>
        <w:tc>
          <w:tcPr>
            <w:tcW w:w="8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July 31, 2023</w:t>
            </w:r>
          </w:p>
        </w:tc>
        <w:tc>
          <w:tcPr>
            <w:tcW w:w="160" w:type="dxa"/>
            <w:vAlign w:val="bottom"/>
          </w:tcPr>
          <w:p>
            <w:pPr>
              <w:spacing w:after="0"/>
              <w:rPr>
                <w:sz w:val="21"/>
                <w:szCs w:val="21"/>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8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supplies and insurance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Real estate development held for sale</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2,670</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tax receivable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Lemon supplier advances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1,188</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223"/>
        </w:trPr>
        <w:tc>
          <w:tcPr>
            <w:tcW w:w="85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8,496</w:t>
            </w:r>
          </w:p>
        </w:tc>
      </w:tr>
      <w:tr>
        <w:trPr>
          <w:trHeight w:val="20"/>
        </w:trPr>
        <w:tc>
          <w:tcPr>
            <w:tcW w:w="8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Real Estate Development</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 estate development assets are comprised primarily of land and land development costs for the East Area II property in the amount of $9,967,000 and $9,706,000 at July 31, 2023 and October 31, 2022,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Area I, Retained Property and East Area II</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fiscal year 2005, the Company began capitalizing the costs of two real estate development projects east of Santa Paula, California, for the development of 550 acres of land into residential units, commercial buildings and civic facilities. In November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as the development entity, contributed its East Area I property to LLCB, and sold a 50% interest to Lewis for $20,000,000.</w:t>
      </w:r>
    </w:p>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and LLCB also entered into a Retained Property Development Agreement on the Transaction Date (the “Retained Property Agreement”). Under the terms of the Retained Property Agreement, LLCB transferred certain contributed East Area I property, which is entitled for commercial development, back to the Company (the “Retained Property”) and arranged for the design and construction of certain improvements to the Retained Property and East Area II, subject to certain reimbursements by the Company. The balance in East Area II includes estimated costs incurred by and reimbursable to LLCB of $3,444,000 at July 31, 2023 and October 31, 2022, which is included in payables to related parties.</w:t>
      </w:r>
    </w:p>
    <w:p>
      <w:pPr>
        <w:spacing w:after="0" w:line="1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2018, LLCB entered into a $45,000,000 unsecured Line of Credit Loan Agreement and Promissory Note (the “Loan”) with Bank of America, N.A. to fund early development activities. Effective as of February 22, 2023, the Loan maturity date was extended to February 22, 2024, and the maximum borrowing amount was reduced to $35,000,000. As of February 1, 2023, the interest rate on the Loan transitioned from the London Interbank Offered Rate (“LIBOR”) to the Bloomberg Short-Term Bank Yield Index rate (“BSBY”) plus 2.85% and is payable monthly. The Loan contains certain customary default provisions and LLCB may prepay any amounts outstanding under the Loan without penalty. The Loan had an outstanding balance of $15,000,000 as of July 31, 2023.</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2018, the Company and certain principals from Lewis guaranteed the obligations under the Loan. The guarantors are jointly and severally liable for all Loan obligations in the event of default by LLCB. The guarantee continues in effect until all of the Loan obligations are fully paid. The $1,080,000 estimated value of the guarantee was recorded in the Company’s consolidated balance sheets and is included in other long-term liabilities with a corresponding value in equity in investments. Additionally, a Reimbursement Agreement was executed between the Lewis guarantors and the Company, which provides for unpaid liabilities of LLCB to be shared pro-rata by the Lewis guarantors and the Company in proportion to their percentage interest in LLCB.</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October 2022, the Company entered into a joint venture with Lewis for the development of the Retained Property. The Company formed LLCB II, LLC (“LLCB II”) as the development entity, contributed the Retained Property to the joint venture and sold a 50% interest to Lewis for $7,975,000. The Company recorded a deferred gain of $465,000 on the transaction, which is included in other long-term liabilities as of July 31, 2023 and October 31, 2022. The joint venture partners will share in the capital contributions to fund project costs until loan proceeds and/or revenues are sufficient to fund the project. The Company made contributions of $275,000 to LLCB II during the nine months ended July 31, 2023.</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Through July 31, 2023, LLCB has closed sales of initial residential lots representing 586 residential units.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Real Estate Development Projects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fiscal year 2020, the Company entered into an agreement to sell its Sevilla property for $2,700,000, which closed in November 2022. After transaction and other costs, the Company received cash proceeds of approximately $2,577,000 and recorded an immaterial loss on disposal of assets during the nine months ended July 31, 2023.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tcPr>
          <w:p>
            <w:pPr>
              <w:spacing w:after="0"/>
              <w:rPr>
                <w:sz w:val="20"/>
                <w:szCs w:val="20"/>
                <w:color w:val="auto"/>
              </w:rPr>
            </w:pPr>
            <w:r>
              <w:rPr>
                <w:rFonts w:ascii="Arial" w:cs="Arial" w:eastAsia="Arial" w:hAnsi="Arial"/>
                <w:sz w:val="18"/>
                <w:szCs w:val="18"/>
                <w:b w:val="1"/>
                <w:bCs w:val="1"/>
                <w:color w:val="auto"/>
              </w:rPr>
              <w:t>6. Equity in Investments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51"/>
        </w:trPr>
        <w:tc>
          <w:tcPr>
            <w:tcW w:w="8500" w:type="dxa"/>
            <w:vAlign w:val="bottom"/>
          </w:tcPr>
          <w:p>
            <w:pPr>
              <w:spacing w:after="0"/>
              <w:rPr>
                <w:sz w:val="20"/>
                <w:szCs w:val="20"/>
                <w:color w:val="auto"/>
              </w:rPr>
            </w:pPr>
            <w:r>
              <w:rPr>
                <w:rFonts w:ascii="Arial" w:cs="Arial" w:eastAsia="Arial" w:hAnsi="Arial"/>
                <w:sz w:val="18"/>
                <w:szCs w:val="18"/>
                <w:color w:val="auto"/>
              </w:rPr>
              <w:t>Equity in investments consist of the following (in thousands):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1"/>
        </w:trPr>
        <w:tc>
          <w:tcPr>
            <w:tcW w:w="8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October 31,</w:t>
            </w:r>
          </w:p>
        </w:tc>
      </w:tr>
      <w:tr>
        <w:trPr>
          <w:trHeight w:val="243"/>
        </w:trPr>
        <w:tc>
          <w:tcPr>
            <w:tcW w:w="8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July 31, 2023</w:t>
            </w:r>
          </w:p>
        </w:tc>
        <w:tc>
          <w:tcPr>
            <w:tcW w:w="160" w:type="dxa"/>
            <w:vAlign w:val="bottom"/>
          </w:tcPr>
          <w:p>
            <w:pPr>
              <w:spacing w:after="0"/>
              <w:rPr>
                <w:sz w:val="21"/>
                <w:szCs w:val="21"/>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8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Limoneira Lewis Community Builders, LLC</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61,154</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LLCB II, LLC</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8,023</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Limco Del Mar, Ltd.</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Rosales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1,147</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Romney Property Partnership</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23"/>
        </w:trPr>
        <w:tc>
          <w:tcPr>
            <w:tcW w:w="85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72,855</w:t>
            </w:r>
          </w:p>
        </w:tc>
      </w:tr>
      <w:tr>
        <w:trPr>
          <w:trHeight w:val="21"/>
        </w:trPr>
        <w:tc>
          <w:tcPr>
            <w:tcW w:w="8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amounts due from Rosales were $2,348,000 and $270,000 at July 31, 2023 and October 31, 2022, respectively, and are included in receivables/other from related parties.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Unconsolidated Significant Subsidiary</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accordance with Rule 10-01(b)(1) of Regulation S-X, which applies to interim reports on Form 10-Q, the Company must determine if its equity method investees are considered “significant subsidiaries.” In evaluating its investments, there are two tests utilized to determine if equity method investees are considered significant subsidiaries: the income test and the investment test. Summarized income statement information of an equity method investee is required in an interim report if either of the two tests exceed 20% in the interim periods presented. During the year-to-date interim periods for the nine months ended July 31, 2023 and 2022, this threshold was not met for any of the Company's equity investments.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7. Goodwill and Intangible Assets, Net</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5"/>
        </w:trPr>
        <w:tc>
          <w:tcPr>
            <w:tcW w:w="9880" w:type="dxa"/>
            <w:vAlign w:val="bottom"/>
            <w:gridSpan w:val="2"/>
          </w:tcPr>
          <w:p>
            <w:pPr>
              <w:spacing w:after="0"/>
              <w:rPr>
                <w:sz w:val="20"/>
                <w:szCs w:val="20"/>
                <w:color w:val="auto"/>
              </w:rPr>
            </w:pPr>
            <w:r>
              <w:rPr>
                <w:rFonts w:ascii="Arial" w:cs="Arial" w:eastAsia="Arial" w:hAnsi="Arial"/>
                <w:sz w:val="18"/>
                <w:szCs w:val="18"/>
                <w:color w:val="auto"/>
              </w:rPr>
              <w:t>A summary of the change in the carrying amount of goodwill is as follows (in thousands):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9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Goodwill</w:t>
            </w:r>
          </w:p>
        </w:tc>
      </w:tr>
      <w:tr>
        <w:trPr>
          <w:trHeight w:val="175"/>
        </w:trPr>
        <w:tc>
          <w:tcPr>
            <w:tcW w:w="40" w:type="dxa"/>
            <w:vAlign w:val="bottom"/>
          </w:tcPr>
          <w:p>
            <w:pPr>
              <w:spacing w:after="0"/>
              <w:rPr>
                <w:sz w:val="15"/>
                <w:szCs w:val="15"/>
                <w:color w:val="auto"/>
              </w:rPr>
            </w:pPr>
          </w:p>
        </w:tc>
        <w:tc>
          <w:tcPr>
            <w:tcW w:w="9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4"/>
              </w:rPr>
              <w:t>Carrying</w:t>
            </w:r>
          </w:p>
        </w:tc>
      </w:tr>
      <w:tr>
        <w:trPr>
          <w:trHeight w:val="239"/>
        </w:trPr>
        <w:tc>
          <w:tcPr>
            <w:tcW w:w="40" w:type="dxa"/>
            <w:vAlign w:val="bottom"/>
          </w:tcPr>
          <w:p>
            <w:pPr>
              <w:spacing w:after="0"/>
              <w:rPr>
                <w:sz w:val="20"/>
                <w:szCs w:val="20"/>
                <w:color w:val="auto"/>
              </w:rPr>
            </w:pPr>
          </w:p>
        </w:tc>
        <w:tc>
          <w:tcPr>
            <w:tcW w:w="98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Amount</w:t>
            </w:r>
          </w:p>
        </w:tc>
      </w:tr>
      <w:tr>
        <w:trPr>
          <w:trHeight w:val="227"/>
        </w:trPr>
        <w:tc>
          <w:tcPr>
            <w:tcW w:w="40" w:type="dxa"/>
            <w:vAlign w:val="bottom"/>
          </w:tcPr>
          <w:p>
            <w:pPr>
              <w:spacing w:after="0"/>
              <w:rPr>
                <w:sz w:val="19"/>
                <w:szCs w:val="19"/>
                <w:color w:val="auto"/>
              </w:rPr>
            </w:pPr>
          </w:p>
        </w:tc>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October 31, 2022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30"/>
        </w:trPr>
        <w:tc>
          <w:tcPr>
            <w:tcW w:w="40" w:type="dxa"/>
            <w:vAlign w:val="bottom"/>
          </w:tcPr>
          <w:p>
            <w:pPr>
              <w:spacing w:after="0"/>
              <w:rPr>
                <w:sz w:val="19"/>
                <w:szCs w:val="19"/>
                <w:color w:val="auto"/>
              </w:rPr>
            </w:pPr>
          </w:p>
        </w:tc>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8"/>
        </w:trPr>
        <w:tc>
          <w:tcPr>
            <w:tcW w:w="40" w:type="dxa"/>
            <w:vAlign w:val="bottom"/>
          </w:tcPr>
          <w:p>
            <w:pPr>
              <w:spacing w:after="0"/>
              <w:rPr>
                <w:sz w:val="21"/>
                <w:szCs w:val="21"/>
                <w:color w:val="auto"/>
              </w:rPr>
            </w:pPr>
          </w:p>
        </w:tc>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31, 2023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r>
      <w:tr>
        <w:trPr>
          <w:trHeight w:val="20"/>
        </w:trPr>
        <w:tc>
          <w:tcPr>
            <w:tcW w:w="40" w:type="dxa"/>
            <w:vAlign w:val="bottom"/>
          </w:tcPr>
          <w:p>
            <w:pPr>
              <w:spacing w:after="0" w:line="20" w:lineRule="exact"/>
              <w:rPr>
                <w:sz w:val="1"/>
                <w:szCs w:val="1"/>
                <w:color w:val="auto"/>
              </w:rPr>
            </w:pPr>
          </w:p>
        </w:tc>
        <w:tc>
          <w:tcPr>
            <w:tcW w:w="9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Goodwill is tested for impairment on an annual basis or when an event or changes in circumstances indicate that its carrying value may not be recoverable.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impairment charges recorded against goodwill as of July 31,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8"/>
                <w:szCs w:val="18"/>
                <w:b w:val="1"/>
                <w:bCs w:val="1"/>
                <w:color w:val="auto"/>
              </w:rPr>
              <w:t>July 31, 2023</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8"/>
                <w:szCs w:val="18"/>
                <w:b w:val="1"/>
                <w:bCs w:val="1"/>
                <w:color w:val="auto"/>
              </w:rPr>
              <w:t>October 31, 2022</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7"/>
              <w:spacing w:after="0" w:line="144"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95"/>
              </w:rPr>
              <w:t>Useful Life in</w:t>
            </w: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7"/>
              <w:spacing w:after="0" w:line="144"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Useful Life in</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7"/>
                <w:szCs w:val="17"/>
                <w:color w:val="auto"/>
              </w:rPr>
            </w:pPr>
          </w:p>
        </w:tc>
        <w:tc>
          <w:tcPr>
            <w:tcW w:w="72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Years</w:t>
            </w:r>
          </w:p>
        </w:tc>
        <w:tc>
          <w:tcPr>
            <w:tcW w:w="14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7"/>
                <w:szCs w:val="17"/>
                <w:color w:val="auto"/>
              </w:rPr>
            </w:pPr>
          </w:p>
        </w:tc>
        <w:tc>
          <w:tcPr>
            <w:tcW w:w="72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Non-competition agreement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water and mineral rights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Indefinite</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Indefinite</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 Net (continued)</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expense totaled $178,000 and $182,000 for the three months ended July 31, 2023 and 2022, respectively. Amortization expense totaled $553,000 and $543,000 for the nine months ended July 31, 2023 and 2022 respectively.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00" w:type="dxa"/>
            <w:vAlign w:val="bottom"/>
            <w:gridSpan w:val="2"/>
          </w:tcPr>
          <w:p>
            <w:pPr>
              <w:spacing w:after="0"/>
              <w:rPr>
                <w:sz w:val="20"/>
                <w:szCs w:val="20"/>
                <w:color w:val="auto"/>
              </w:rPr>
            </w:pPr>
            <w:r>
              <w:rPr>
                <w:rFonts w:ascii="Arial" w:cs="Arial" w:eastAsia="Arial" w:hAnsi="Arial"/>
                <w:sz w:val="18"/>
                <w:szCs w:val="18"/>
                <w:color w:val="auto"/>
              </w:rPr>
              <w:t>Estimated future amortization expense of intangible assets as of July 31, 2023 is as follows (in thousands):</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2023 (remaining three months)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20" w:type="dxa"/>
            <w:vAlign w:val="bottom"/>
          </w:tcPr>
          <w:p>
            <w:pPr>
              <w:spacing w:after="0"/>
              <w:rPr>
                <w:sz w:val="19"/>
                <w:szCs w:val="19"/>
                <w:color w:val="auto"/>
              </w:rPr>
            </w:pPr>
          </w:p>
        </w:tc>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29"/>
        </w:trPr>
        <w:tc>
          <w:tcPr>
            <w:tcW w:w="20" w:type="dxa"/>
            <w:vAlign w:val="bottom"/>
          </w:tcPr>
          <w:p>
            <w:pPr>
              <w:spacing w:after="0"/>
              <w:rPr>
                <w:sz w:val="19"/>
                <w:szCs w:val="19"/>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2025</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29"/>
        </w:trPr>
        <w:tc>
          <w:tcPr>
            <w:tcW w:w="20" w:type="dxa"/>
            <w:vAlign w:val="bottom"/>
          </w:tcPr>
          <w:p>
            <w:pPr>
              <w:spacing w:after="0"/>
              <w:rPr>
                <w:sz w:val="19"/>
                <w:szCs w:val="19"/>
                <w:color w:val="auto"/>
              </w:rPr>
            </w:pPr>
          </w:p>
        </w:tc>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30"/>
        </w:trPr>
        <w:tc>
          <w:tcPr>
            <w:tcW w:w="20" w:type="dxa"/>
            <w:vAlign w:val="bottom"/>
          </w:tcPr>
          <w:p>
            <w:pPr>
              <w:spacing w:after="0"/>
              <w:rPr>
                <w:sz w:val="19"/>
                <w:szCs w:val="19"/>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2027</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29"/>
        </w:trPr>
        <w:tc>
          <w:tcPr>
            <w:tcW w:w="20" w:type="dxa"/>
            <w:vAlign w:val="bottom"/>
          </w:tcPr>
          <w:p>
            <w:pPr>
              <w:spacing w:after="0"/>
              <w:rPr>
                <w:sz w:val="19"/>
                <w:szCs w:val="19"/>
                <w:color w:val="auto"/>
              </w:rPr>
            </w:pPr>
          </w:p>
        </w:tc>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23"/>
        </w:trPr>
        <w:tc>
          <w:tcPr>
            <w:tcW w:w="20" w:type="dxa"/>
            <w:vAlign w:val="bottom"/>
          </w:tcPr>
          <w:p>
            <w:pPr>
              <w:spacing w:after="0"/>
              <w:rPr>
                <w:sz w:val="19"/>
                <w:szCs w:val="19"/>
                <w:color w:val="auto"/>
              </w:rPr>
            </w:pPr>
          </w:p>
        </w:tc>
        <w:tc>
          <w:tcPr>
            <w:tcW w:w="98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w:t>
            </w: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Mutual Water Companies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investments in various not-for-profit mutual water companies provide it with the right to receive a proportionate share of water from each of the not-for-profit mutual water companies that have been invested in and do not constitute voting shares and/or rights. In January 2023, the Company sold an investment in a mutual water company with a net book value of $1,320,000 as part of the Northern Properties sale described in Note 3 - Asset Sales and Disposals. Amounts included in other assets in the consolidated balance sheets as of July 31, 2023 and October 31, 2022 were $5,691,000 and $6,500,000, respectively.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tcPr>
          <w:p>
            <w:pPr>
              <w:spacing w:after="0"/>
              <w:rPr>
                <w:sz w:val="20"/>
                <w:szCs w:val="20"/>
                <w:color w:val="auto"/>
              </w:rPr>
            </w:pPr>
            <w:r>
              <w:rPr>
                <w:rFonts w:ascii="Arial" w:cs="Arial" w:eastAsia="Arial" w:hAnsi="Arial"/>
                <w:sz w:val="18"/>
                <w:szCs w:val="18"/>
                <w:b w:val="1"/>
                <w:bCs w:val="1"/>
                <w:color w:val="auto"/>
              </w:rPr>
              <w:t>9. Accrued Liabilities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51"/>
        </w:trPr>
        <w:tc>
          <w:tcPr>
            <w:tcW w:w="850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24"/>
        </w:trPr>
        <w:tc>
          <w:tcPr>
            <w:tcW w:w="8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October 31,</w:t>
            </w:r>
          </w:p>
        </w:tc>
      </w:tr>
      <w:tr>
        <w:trPr>
          <w:trHeight w:val="243"/>
        </w:trPr>
        <w:tc>
          <w:tcPr>
            <w:tcW w:w="8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July 31, 2023</w:t>
            </w:r>
          </w:p>
        </w:tc>
        <w:tc>
          <w:tcPr>
            <w:tcW w:w="160" w:type="dxa"/>
            <w:vAlign w:val="bottom"/>
          </w:tcPr>
          <w:p>
            <w:pPr>
              <w:spacing w:after="0"/>
              <w:rPr>
                <w:sz w:val="21"/>
                <w:szCs w:val="21"/>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8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Property taxes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Leases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2,026</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r>
      <w:tr>
        <w:trPr>
          <w:trHeight w:val="223"/>
        </w:trPr>
        <w:tc>
          <w:tcPr>
            <w:tcW w:w="85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11,060</w:t>
            </w:r>
          </w:p>
        </w:tc>
      </w:tr>
      <w:tr>
        <w:trPr>
          <w:trHeight w:val="20"/>
        </w:trPr>
        <w:tc>
          <w:tcPr>
            <w:tcW w:w="8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tcPr>
          <w:p>
            <w:pPr>
              <w:spacing w:after="0"/>
              <w:rPr>
                <w:sz w:val="20"/>
                <w:szCs w:val="20"/>
                <w:color w:val="auto"/>
              </w:rPr>
            </w:pPr>
            <w:r>
              <w:rPr>
                <w:rFonts w:ascii="Arial" w:cs="Arial" w:eastAsia="Arial" w:hAnsi="Arial"/>
                <w:sz w:val="18"/>
                <w:szCs w:val="18"/>
                <w:b w:val="1"/>
                <w:bCs w:val="1"/>
                <w:color w:val="auto"/>
              </w:rPr>
              <w:t>10. Long-Term Debt</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51"/>
        </w:trPr>
        <w:tc>
          <w:tcPr>
            <w:tcW w:w="8500" w:type="dxa"/>
            <w:vAlign w:val="bottom"/>
          </w:tcPr>
          <w:p>
            <w:pPr>
              <w:spacing w:after="0"/>
              <w:rPr>
                <w:sz w:val="20"/>
                <w:szCs w:val="20"/>
                <w:color w:val="auto"/>
              </w:rPr>
            </w:pPr>
            <w:r>
              <w:rPr>
                <w:rFonts w:ascii="Arial" w:cs="Arial" w:eastAsia="Arial" w:hAnsi="Arial"/>
                <w:sz w:val="18"/>
                <w:szCs w:val="18"/>
                <w:color w:val="auto"/>
              </w:rPr>
              <w:t>Long-term debt is comprised of the following (in thousands):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1"/>
        </w:trPr>
        <w:tc>
          <w:tcPr>
            <w:tcW w:w="8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October 31,</w:t>
            </w:r>
          </w:p>
        </w:tc>
      </w:tr>
      <w:tr>
        <w:trPr>
          <w:trHeight w:val="243"/>
        </w:trPr>
        <w:tc>
          <w:tcPr>
            <w:tcW w:w="8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July 31, 2023</w:t>
            </w:r>
          </w:p>
        </w:tc>
        <w:tc>
          <w:tcPr>
            <w:tcW w:w="160" w:type="dxa"/>
            <w:vAlign w:val="bottom"/>
          </w:tcPr>
          <w:p>
            <w:pPr>
              <w:spacing w:after="0"/>
              <w:rPr>
                <w:sz w:val="21"/>
                <w:szCs w:val="21"/>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155"/>
        </w:trPr>
        <w:tc>
          <w:tcPr>
            <w:tcW w:w="85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AgWest Farm Credit revolving and non-revolving lines of credit: the interest rate of the revolving line of credit is</w:t>
            </w: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r>
      <w:tr>
        <w:trPr>
          <w:trHeight w:val="188"/>
        </w:trPr>
        <w:tc>
          <w:tcPr>
            <w:tcW w:w="8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variable based on the one-month Secured Overnight Financing Rate (“SOFR”), which was 5.11% at July 31, 2023,</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76"/>
        </w:trPr>
        <w:tc>
          <w:tcPr>
            <w:tcW w:w="8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plus 1.78%. The interest rate for the $40.0 million outstanding balance of the non-revolving line of credit is fixed at</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6"/>
        </w:trPr>
        <w:tc>
          <w:tcPr>
            <w:tcW w:w="8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3.57% through July 1, 2025 and variable thereafter. Interest is payable monthly and the principal is due in full on</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88,521</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w w:val="99"/>
              </w:rPr>
              <w:t>AgWest Farm Credit term loan: The interest rate was fixed at 3.24%. The loan was repaid in January 2023.</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919</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AgWest Farm Credit term loan: The interest rate was fixed at 3.24%. The loan was repaid in January 2023.</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w:t>
            </w:r>
          </w:p>
        </w:tc>
      </w:tr>
      <w:tr>
        <w:trPr>
          <w:trHeight w:val="176"/>
        </w:trPr>
        <w:tc>
          <w:tcPr>
            <w:tcW w:w="8500" w:type="dxa"/>
            <w:vAlign w:val="bottom"/>
          </w:tcPr>
          <w:p>
            <w:pPr>
              <w:ind w:left="20"/>
              <w:spacing w:after="0" w:line="176" w:lineRule="exact"/>
              <w:rPr>
                <w:sz w:val="20"/>
                <w:szCs w:val="20"/>
                <w:color w:val="auto"/>
              </w:rPr>
            </w:pPr>
            <w:r>
              <w:rPr>
                <w:rFonts w:ascii="Arial" w:cs="Arial" w:eastAsia="Arial" w:hAnsi="Arial"/>
                <w:sz w:val="18"/>
                <w:szCs w:val="18"/>
                <w:color w:val="auto"/>
                <w:w w:val="94"/>
              </w:rPr>
              <w:t>AgWest Farm Credit term loan: The interest rate was fixed at 2.77% until July 1, 2025, becoming variable for the</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remainder of the loan. The loan was repaid in January 2023.</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5,555</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AgWest Farm Credit term loan: The interest rate was fixed at 3.19%. The loan was repaid in January 2023.</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176"/>
        </w:trPr>
        <w:tc>
          <w:tcPr>
            <w:tcW w:w="8500" w:type="dxa"/>
            <w:vAlign w:val="bottom"/>
          </w:tcPr>
          <w:p>
            <w:pPr>
              <w:ind w:left="20"/>
              <w:spacing w:after="0" w:line="176" w:lineRule="exact"/>
              <w:rPr>
                <w:sz w:val="20"/>
                <w:szCs w:val="20"/>
                <w:color w:val="auto"/>
              </w:rPr>
            </w:pPr>
            <w:r>
              <w:rPr>
                <w:rFonts w:ascii="Arial" w:cs="Arial" w:eastAsia="Arial" w:hAnsi="Arial"/>
                <w:sz w:val="18"/>
                <w:szCs w:val="18"/>
                <w:color w:val="auto"/>
                <w:w w:val="95"/>
              </w:rPr>
              <w:t>Banco de Chile term loan: The interest rate is fixed at 6.48%. The loan is payable in annual installments through</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January 2025.</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176"/>
        </w:trPr>
        <w:tc>
          <w:tcPr>
            <w:tcW w:w="8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Banco de Chile COVID-19 loans: The interest rates are fixed at 3.48%. The loans are payable in monthly</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installments through September 2024.</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176"/>
        </w:trPr>
        <w:tc>
          <w:tcPr>
            <w:tcW w:w="8500" w:type="dxa"/>
            <w:vAlign w:val="bottom"/>
          </w:tcPr>
          <w:p>
            <w:pPr>
              <w:ind w:left="20"/>
              <w:spacing w:after="0" w:line="176" w:lineRule="exact"/>
              <w:rPr>
                <w:sz w:val="20"/>
                <w:szCs w:val="20"/>
                <w:color w:val="auto"/>
              </w:rPr>
            </w:pPr>
            <w:r>
              <w:rPr>
                <w:rFonts w:ascii="Arial" w:cs="Arial" w:eastAsia="Arial" w:hAnsi="Arial"/>
                <w:sz w:val="18"/>
                <w:szCs w:val="18"/>
                <w:color w:val="auto"/>
                <w:w w:val="91"/>
              </w:rPr>
              <w:t>Banco de Chile COVID-19 loans: The interest rates are fixed at 3.48% and 4.26%. The loans are payable in monthly</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installments through September 2026.</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Subtotal</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105,902</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Less deferred financing costs, net of accumulated amortization</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8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w:t>
            </w: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105,808</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104,076</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entered into a Master Loan Agreement (the “MLA”) with AgWest Farm Credit, formerly known as Farm Credit West, (the “Lender”) dated June 1, 2021, together with a revolving credit facility supplement (the “Revolving Credit Supplement”), a non-revolving credit facility supplement (the “Non-Revolving Credit Supplement,” and together with the Revolving Credit Supplement, the “Supplements”) and an agreement to convert to a fixed interest rate for a period of time as described in the table above (“Fixed Interest Rate Agreement”). The MLA governs the terms of the Supplements. The MLA amends and restates the previous Master Loan Agreement between the Company and the Lender, dated June 19, 2017, and extends the principal repayment to July 1, 2026.</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Company entered into a revolving equity line of credit promissory note and loan agreement with the Lender for a $15,000,000 Revolving Equity Line of Credit (the “RELOC”) secured by a first lien on the Windfall Investors, LLC property. The RELOC featured a 3-year draw period followed by 20 years of fully amortized loan payments. On March 31, 2023, the draw period expired and the RELOC was closed as there was no balance outstanding.</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Supplements provide aggregate borrowing capacity of $115,000,000 comprised of $75,000,000 under the Revolving Credit Supplement, and $40,000,000 under the Non-Revolving Credit Supplement. As of July 31, 2023, the Company's outstanding borrowings under the Supplements were $40,000,000 and it had $75,000,000 available to borrow.</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2023, the Company used the proceeds from the Northern Properties sale as described in Note 3 - Asset Sales and Disposals to reduce the Company's long-term debt.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 (continued)</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interest rate in effect under the Revolving Credit Supplement automatically adjusts on the first day of each month. The interest rate for any amount outstanding under the Revolving Credit Supplement was based on the one-month LIBOR plus or minus an applicable margin. As of January 1, 2023, the rate transitioned from LIBOR to the SOFR. The applicable margin ranges from 1.78% to 2.28% depending on the ratio of current assets, plus the remaining available commitment divided by current liabilities. On each one-year anniversary of July 1, the Company has the option to convert the interest rate in use under the Revolving Credit Supplement from the preceding SOFR-based calculation to a variable interest rate. The Company may prepay any amounts outstanding under the Revolving Credit Supplement without penalty.</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rate in effect under the Non-Revolving Credit Supplement is a fixed interest rate of 3.57% per year until July 1, 2025 (the “Fixed Rate Term”). Thereafter, the interest rate will convert to a variable interest rate established by the Lender corresponding to the applicable interest rate group. The Company may not prepay any amounts under the outstanding Non-Revolving Credit Supplement during the Fixed Rate Term. Thereafter, the Company may prepay any amounts outstanding under the Non-Revolving Credit Supplement, provided that a fee equal to 0.50% of the amount prepaid and any other cost or loss suffered by the Lender must be paid with any prepayment.</w:t>
      </w:r>
    </w:p>
    <w:p>
      <w:pPr>
        <w:spacing w:after="0" w:line="1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indebtedness under the MLA, including any indebtedness under the Supplements, is secured by a first lien on Company-owned stock or participation certificates, Company funds maintained with the Lender, the Lender’s unallocated surplus, and certain of the Company’s agricultural properties in Ventura counties in California and certain of the Company’s building fixtures and improvements and investments in mutual water companies associated with the pledged agricultural properties. The MLA includes customary default provisions that provide should an event of default occur, the Lender, at its option, may declare all or any portion of the indebtedness under the MLA to be immediately due and payable without demand, notice of nonpayment, protest or prior recourse to collateral, and terminate or suspend the Company’s right to draw or request funds on any loan or line of credit.</w:t>
      </w:r>
    </w:p>
    <w:p>
      <w:pPr>
        <w:spacing w:after="0" w:line="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MLA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financial covenant that requires it to maintain compliance with a specific debt service coverage ratio greater than or equal to 1.25:1.0 when measured as of October 31, 2023, and annually thereafter. The Company was in compliance with the covenants as of October 31, 2022. In September 2023, the Lender modified the covenant to defer measurement at October 31, 2023 and resume a debt service coverage ratio of 1.25:1.0 measured as of October 31, 2024.</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2023, the Lender declared an annual cash patronage dividend of 1.25% of average eligible loan balances and the Company received $1,413,000 in the second quarter of fiscal year 2023. In December 2021, the Lender declared an annual cash patronage dividend of 1.25% of average eligible loan balances and the Company received $1,582,000 in February 2022.</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is capitalized on non-bearing orchards, real estate development projects and significant construction in progress. The Company capitalized interest of $207,000 and $235,000 during the three months ended July 31, 2023 and 2022, respectively and $513,000 and $235,000 during the nine months ended July 31, 2023 and 2022, respectively. Capitalized interest is included in property, plant and equipment and real estate development assets in the Company’s consolidated balance sheets.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tcPr>
          <w:p>
            <w:pPr>
              <w:spacing w:after="0"/>
              <w:rPr>
                <w:sz w:val="20"/>
                <w:szCs w:val="20"/>
                <w:color w:val="auto"/>
              </w:rPr>
            </w:pPr>
            <w:r>
              <w:rPr>
                <w:rFonts w:ascii="Arial" w:cs="Arial" w:eastAsia="Arial" w:hAnsi="Arial"/>
                <w:sz w:val="18"/>
                <w:szCs w:val="18"/>
                <w:b w:val="1"/>
                <w:bCs w:val="1"/>
                <w:color w:val="auto"/>
              </w:rPr>
              <w:t>11. Other Long-Term Liabilities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65"/>
        </w:trPr>
        <w:tc>
          <w:tcPr>
            <w:tcW w:w="8500" w:type="dxa"/>
            <w:vAlign w:val="bottom"/>
          </w:tcPr>
          <w:p>
            <w:pPr>
              <w:spacing w:after="0"/>
              <w:rPr>
                <w:sz w:val="20"/>
                <w:szCs w:val="20"/>
                <w:color w:val="auto"/>
              </w:rPr>
            </w:pPr>
            <w:r>
              <w:rPr>
                <w:rFonts w:ascii="Arial" w:cs="Arial" w:eastAsia="Arial" w:hAnsi="Arial"/>
                <w:sz w:val="18"/>
                <w:szCs w:val="18"/>
                <w:color w:val="auto"/>
              </w:rPr>
              <w:t>Other long-term liabilities consist of the following (in thousands):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1"/>
        </w:trPr>
        <w:tc>
          <w:tcPr>
            <w:tcW w:w="8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October 31,</w:t>
            </w:r>
          </w:p>
        </w:tc>
      </w:tr>
      <w:tr>
        <w:trPr>
          <w:trHeight w:val="243"/>
        </w:trPr>
        <w:tc>
          <w:tcPr>
            <w:tcW w:w="8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July 31, 2023</w:t>
            </w:r>
          </w:p>
        </w:tc>
        <w:tc>
          <w:tcPr>
            <w:tcW w:w="160" w:type="dxa"/>
            <w:vAlign w:val="bottom"/>
          </w:tcPr>
          <w:p>
            <w:pPr>
              <w:spacing w:after="0"/>
              <w:rPr>
                <w:sz w:val="21"/>
                <w:szCs w:val="21"/>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8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pension liability</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Loan guarantee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r>
      <w:tr>
        <w:trPr>
          <w:trHeight w:val="248"/>
        </w:trPr>
        <w:tc>
          <w:tcPr>
            <w:tcW w:w="8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 Arrangements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enters into leasing transactions in which it rents certain of its assets and the Company is the lessor. These lease contracts are typically classified as operating leases with remaining terms ranging from one month to 20 years, with various renewal terms available. All of the residential rentals have month-to-month lease terms.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rental operations revenue consists of the following (in thousands):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80" w:type="dxa"/>
            <w:vAlign w:val="bottom"/>
          </w:tcPr>
          <w:p>
            <w:pPr>
              <w:spacing w:after="0"/>
              <w:rPr>
                <w:sz w:val="17"/>
                <w:szCs w:val="17"/>
                <w:color w:val="auto"/>
              </w:rPr>
            </w:pPr>
          </w:p>
        </w:tc>
        <w:tc>
          <w:tcPr>
            <w:tcW w:w="2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6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July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July 31,</w:t>
            </w:r>
          </w:p>
        </w:tc>
        <w:tc>
          <w:tcPr>
            <w:tcW w:w="940" w:type="dxa"/>
            <w:vAlign w:val="bottom"/>
            <w:tcBorders>
              <w:bottom w:val="single" w:sz="8" w:color="auto"/>
            </w:tcBorders>
          </w:tcPr>
          <w:p>
            <w:pPr>
              <w:spacing w:after="0"/>
              <w:rPr>
                <w:sz w:val="20"/>
                <w:szCs w:val="20"/>
                <w:color w:val="auto"/>
              </w:rPr>
            </w:pPr>
          </w:p>
        </w:tc>
      </w:tr>
      <w:tr>
        <w:trPr>
          <w:trHeight w:val="223"/>
        </w:trPr>
        <w:tc>
          <w:tcPr>
            <w:tcW w:w="56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revenue</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r>
      <w:tr>
        <w:trPr>
          <w:trHeight w:val="229"/>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revenue</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revenue</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 Arrangements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enters into leasing transactions in which the Company is the lessee. These lease contracts are classified as either operating or finance leases. The Company’s lease contracts are generally for agricultural land and packinghouse facilities and equipment with remaining lease terms ranging from one to 15 years, with various term extensions available. The Company’s lease agreements do not contain any residual value guarantees or material restrictive covenants. Leases with an initial term of 12 months or less are not recorded on the balance sheet and the Company recognizes lease expense for these leases on a straight-line basis over the lease term. All lease costs are primarily included in agribusiness costs and expenses in the Company's consolidated statements of operations.</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Operating lease costs were $522,000 and $137,000 for the three months ended July 31, 2023 and 2022, respectively, and $1,504,000 and $395,000 for the nine months ended July 31, 2023 and 2022, respectively. Finance lease costs were immaterial for the three months ended July 31, 2023 and 2022, and $122,000 and $112,000 for the nine months ended July 31, 2023 and 2022, respectively. Variable lease costs were immaterial for the three and nine months ended July 31, 2023 and 2022. Short term lease costs were $155,000 and immaterial for the three months ended July 31, 2023 and 2022, respectively, and $493,000 and $174,000 for the nine months ended July 31, 2023 and 2022,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consists of the following (in thousands):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6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October 31,</w:t>
            </w:r>
          </w:p>
        </w:tc>
      </w:tr>
      <w:tr>
        <w:trPr>
          <w:trHeight w:val="234"/>
        </w:trPr>
        <w:tc>
          <w:tcPr>
            <w:tcW w:w="366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b w:val="1"/>
                <w:bCs w:val="1"/>
                <w:color w:val="auto"/>
              </w:rPr>
              <w:t>Classification</w:t>
            </w:r>
          </w:p>
        </w:tc>
        <w:tc>
          <w:tcPr>
            <w:tcW w:w="14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July 31, 2023</w:t>
            </w:r>
          </w:p>
        </w:tc>
        <w:tc>
          <w:tcPr>
            <w:tcW w:w="16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10"/>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Operating lease ROU assets</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6,190</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assets</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r>
      <w:tr>
        <w:trPr>
          <w:trHeight w:val="223"/>
        </w:trPr>
        <w:tc>
          <w:tcPr>
            <w:tcW w:w="366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7,281</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366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operating lease liabilities</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 and payables to related parties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Current finance lease liabilities</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w:t>
            </w:r>
          </w:p>
        </w:tc>
      </w:tr>
      <w:tr>
        <w:trPr>
          <w:trHeight w:val="230"/>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finance lease liabilities</w:t>
            </w:r>
          </w:p>
        </w:tc>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r>
      <w:tr>
        <w:trPr>
          <w:trHeight w:val="248"/>
        </w:trPr>
        <w:tc>
          <w:tcPr>
            <w:tcW w:w="366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7,222</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12. Leases (continued)</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51"/>
        </w:trPr>
        <w:tc>
          <w:tcPr>
            <w:tcW w:w="848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consists of the following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July 31,</w:t>
            </w:r>
          </w:p>
        </w:tc>
        <w:tc>
          <w:tcPr>
            <w:tcW w:w="940" w:type="dxa"/>
            <w:vAlign w:val="bottom"/>
            <w:tcBorders>
              <w:bottom w:val="single" w:sz="8" w:color="auto"/>
            </w:tcBorders>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84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460" w:type="dxa"/>
            <w:vAlign w:val="bottom"/>
          </w:tcPr>
          <w:p>
            <w:pPr>
              <w:ind w:left="120"/>
              <w:spacing w:after="0"/>
              <w:rPr>
                <w:sz w:val="20"/>
                <w:szCs w:val="20"/>
                <w:color w:val="auto"/>
              </w:rPr>
            </w:pPr>
            <w:r>
              <w:rPr>
                <w:rFonts w:ascii="Arial" w:cs="Arial" w:eastAsia="Arial" w:hAnsi="Arial"/>
                <w:sz w:val="18"/>
                <w:szCs w:val="18"/>
                <w:color w:val="auto"/>
              </w:rPr>
              <w:t>Operating cash outflows from operating leases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20" w:type="dxa"/>
            <w:vAlign w:val="bottom"/>
          </w:tcPr>
          <w:p>
            <w:pPr>
              <w:spacing w:after="0"/>
              <w:rPr>
                <w:sz w:val="19"/>
                <w:szCs w:val="19"/>
                <w:color w:val="auto"/>
              </w:rPr>
            </w:pPr>
          </w:p>
        </w:tc>
        <w:tc>
          <w:tcPr>
            <w:tcW w:w="8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cash outflows from finance 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19"/>
                <w:szCs w:val="19"/>
                <w:color w:val="auto"/>
              </w:rPr>
            </w:pPr>
          </w:p>
        </w:tc>
        <w:tc>
          <w:tcPr>
            <w:tcW w:w="8460" w:type="dxa"/>
            <w:vAlign w:val="bottom"/>
          </w:tcPr>
          <w:p>
            <w:pPr>
              <w:ind w:left="120"/>
              <w:spacing w:after="0"/>
              <w:rPr>
                <w:sz w:val="20"/>
                <w:szCs w:val="20"/>
                <w:color w:val="auto"/>
              </w:rPr>
            </w:pPr>
            <w:r>
              <w:rPr>
                <w:rFonts w:ascii="Arial" w:cs="Arial" w:eastAsia="Arial" w:hAnsi="Arial"/>
                <w:sz w:val="18"/>
                <w:szCs w:val="18"/>
                <w:color w:val="auto"/>
              </w:rPr>
              <w:t>Financing cash outflows from finance leases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20" w:type="dxa"/>
            <w:vAlign w:val="bottom"/>
          </w:tcPr>
          <w:p>
            <w:pPr>
              <w:spacing w:after="0"/>
              <w:rPr>
                <w:sz w:val="19"/>
                <w:szCs w:val="19"/>
                <w:color w:val="auto"/>
              </w:rPr>
            </w:pPr>
          </w:p>
        </w:tc>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Basic and Diluted Net (Loss) Income Per Share</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net (loss) income per common share is calculated using the weighted-average number of common shares outstanding during the period without consideration of the dilutive effect of conversion of preferred stock. Diluted net (loss) income per common share is calculated using the weighted-average number of common shares outstanding during the period plus the dilutive effect of unvested, restricted stock and conversion of preferred stock. The computations for basic and diluted net (loss) income per common share are as follows (in thousands, except per share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4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5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July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July 31,</w:t>
            </w:r>
          </w:p>
        </w:tc>
        <w:tc>
          <w:tcPr>
            <w:tcW w:w="960" w:type="dxa"/>
            <w:vAlign w:val="bottom"/>
            <w:tcBorders>
              <w:bottom w:val="single" w:sz="8" w:color="auto"/>
            </w:tcBorders>
          </w:tcPr>
          <w:p>
            <w:pPr>
              <w:spacing w:after="0"/>
              <w:rPr>
                <w:sz w:val="20"/>
                <w:szCs w:val="20"/>
                <w:color w:val="auto"/>
              </w:rPr>
            </w:pPr>
          </w:p>
        </w:tc>
      </w:tr>
      <w:tr>
        <w:trPr>
          <w:trHeight w:val="227"/>
        </w:trPr>
        <w:tc>
          <w:tcPr>
            <w:tcW w:w="57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(loss) income per common share: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Net (loss) income applicable to common stock</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7,252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12,479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2,044</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unvested, restricted stock</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Numerator: Net (loss) income for basic EPS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 Weighted average common shares-basic</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17,481</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Basic net (loss) income per common share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5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Diluted net (loss) income per common share: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for basic EPS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Effect of dilutive preferred stock</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 Net (loss) income for diluted EPS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Weighted average common shares–basic</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17,481</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preferred stock</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Denominator: Weighted average common shares–diluted</w:t>
            </w: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17,621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18,381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17,481</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(loss) income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Diluted net (loss) income per common share is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Diluted net (loss) income per common share was calculated under the two-class method for the three and nine months ended July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Related-Party Transactions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transactions with equity method investments and various related parties summarized in Note 6 - Equity in Investments and in the tables below (in thousands):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2"/>
              </w:rPr>
              <w:t>July 31, 2023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2"/>
              </w:rPr>
              <w:t>October 31, 2022</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4"/>
                <w:szCs w:val="14"/>
                <w:b w:val="1"/>
                <w:bCs w:val="1"/>
                <w:color w:val="auto"/>
                <w:w w:val="89"/>
              </w:rPr>
              <w:t>Balance Sheet</w:t>
            </w: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Receivable/Other</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89"/>
              </w:rPr>
              <w:t>Payables to</w:t>
            </w:r>
          </w:p>
        </w:tc>
        <w:tc>
          <w:tcPr>
            <w:tcW w:w="100" w:type="dxa"/>
            <w:vAlign w:val="bottom"/>
          </w:tcPr>
          <w:p>
            <w:pPr>
              <w:spacing w:after="0"/>
              <w:rPr>
                <w:sz w:val="12"/>
                <w:szCs w:val="12"/>
                <w:color w:val="auto"/>
              </w:rPr>
            </w:pPr>
          </w:p>
        </w:tc>
        <w:tc>
          <w:tcPr>
            <w:tcW w:w="880" w:type="dxa"/>
            <w:vAlign w:val="bottom"/>
          </w:tcPr>
          <w:p>
            <w:pPr>
              <w:jc w:val="center"/>
              <w:ind w:right="23"/>
              <w:spacing w:after="0" w:line="139" w:lineRule="exact"/>
              <w:rPr>
                <w:sz w:val="20"/>
                <w:szCs w:val="20"/>
                <w:color w:val="auto"/>
              </w:rPr>
            </w:pPr>
            <w:r>
              <w:rPr>
                <w:rFonts w:ascii="Arial" w:cs="Arial" w:eastAsia="Arial" w:hAnsi="Arial"/>
                <w:sz w:val="14"/>
                <w:szCs w:val="14"/>
                <w:b w:val="1"/>
                <w:bCs w:val="1"/>
                <w:color w:val="auto"/>
                <w:w w:val="97"/>
              </w:rPr>
              <w:t>Other Long-</w:t>
            </w:r>
          </w:p>
        </w:tc>
        <w:tc>
          <w:tcPr>
            <w:tcW w:w="100" w:type="dxa"/>
            <w:vAlign w:val="bottom"/>
          </w:tcPr>
          <w:p>
            <w:pPr>
              <w:spacing w:after="0"/>
              <w:rPr>
                <w:sz w:val="12"/>
                <w:szCs w:val="12"/>
                <w:color w:val="auto"/>
              </w:rPr>
            </w:pPr>
          </w:p>
        </w:tc>
        <w:tc>
          <w:tcPr>
            <w:tcW w:w="120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Receivable/Other</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89"/>
              </w:rPr>
              <w:t>Payables to</w:t>
            </w:r>
          </w:p>
        </w:tc>
        <w:tc>
          <w:tcPr>
            <w:tcW w:w="80" w:type="dxa"/>
            <w:vAlign w:val="bottom"/>
          </w:tcPr>
          <w:p>
            <w:pPr>
              <w:spacing w:after="0"/>
              <w:rPr>
                <w:sz w:val="12"/>
                <w:szCs w:val="12"/>
                <w:color w:val="auto"/>
              </w:rPr>
            </w:pPr>
          </w:p>
        </w:tc>
        <w:tc>
          <w:tcPr>
            <w:tcW w:w="880" w:type="dxa"/>
            <w:vAlign w:val="bottom"/>
          </w:tcPr>
          <w:p>
            <w:pPr>
              <w:jc w:val="center"/>
              <w:ind w:right="23"/>
              <w:spacing w:after="0" w:line="139" w:lineRule="exact"/>
              <w:rPr>
                <w:sz w:val="20"/>
                <w:szCs w:val="20"/>
                <w:color w:val="auto"/>
              </w:rPr>
            </w:pPr>
            <w:r>
              <w:rPr>
                <w:rFonts w:ascii="Arial" w:cs="Arial" w:eastAsia="Arial" w:hAnsi="Arial"/>
                <w:sz w:val="14"/>
                <w:szCs w:val="14"/>
                <w:b w:val="1"/>
                <w:bCs w:val="1"/>
                <w:color w:val="auto"/>
                <w:w w:val="97"/>
              </w:rPr>
              <w:t>Other Long-</w:t>
            </w:r>
          </w:p>
        </w:tc>
        <w:tc>
          <w:tcPr>
            <w:tcW w:w="0" w:type="dxa"/>
            <w:vAlign w:val="bottom"/>
          </w:tcPr>
          <w:p>
            <w:pPr>
              <w:spacing w:after="0"/>
              <w:rPr>
                <w:sz w:val="1"/>
                <w:szCs w:val="1"/>
                <w:color w:val="auto"/>
              </w:rPr>
            </w:pPr>
          </w:p>
        </w:tc>
      </w:tr>
      <w:tr>
        <w:trPr>
          <w:trHeight w:val="144"/>
        </w:trPr>
        <w:tc>
          <w:tcPr>
            <w:tcW w:w="34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88"/>
              </w:rPr>
              <w:t>Ref</w:t>
            </w:r>
          </w:p>
        </w:tc>
        <w:tc>
          <w:tcPr>
            <w:tcW w:w="100" w:type="dxa"/>
            <w:vAlign w:val="bottom"/>
            <w:vMerge w:val="restart"/>
          </w:tcPr>
          <w:p>
            <w:pPr>
              <w:spacing w:after="0"/>
              <w:rPr>
                <w:sz w:val="12"/>
                <w:szCs w:val="12"/>
                <w:color w:val="auto"/>
              </w:rPr>
            </w:pPr>
          </w:p>
        </w:tc>
        <w:tc>
          <w:tcPr>
            <w:tcW w:w="2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Related-Party</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from Related</w:t>
            </w:r>
          </w:p>
        </w:tc>
        <w:tc>
          <w:tcPr>
            <w:tcW w:w="94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w w:val="96"/>
              </w:rPr>
              <w:t>Other Assets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Related</w:t>
            </w: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2"/>
                <w:szCs w:val="12"/>
                <w:color w:val="auto"/>
              </w:rPr>
            </w:pPr>
          </w:p>
        </w:tc>
        <w:tc>
          <w:tcPr>
            <w:tcW w:w="10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from Related</w:t>
            </w:r>
          </w:p>
        </w:tc>
        <w:tc>
          <w:tcPr>
            <w:tcW w:w="960" w:type="dxa"/>
            <w:vAlign w:val="bottom"/>
            <w:gridSpan w:val="2"/>
            <w:vMerge w:val="restart"/>
          </w:tcPr>
          <w:p>
            <w:pPr>
              <w:jc w:val="right"/>
              <w:ind w:right="22"/>
              <w:spacing w:after="0"/>
              <w:rPr>
                <w:sz w:val="20"/>
                <w:szCs w:val="20"/>
                <w:color w:val="auto"/>
              </w:rPr>
            </w:pPr>
            <w:r>
              <w:rPr>
                <w:rFonts w:ascii="Arial" w:cs="Arial" w:eastAsia="Arial" w:hAnsi="Arial"/>
                <w:sz w:val="14"/>
                <w:szCs w:val="14"/>
                <w:b w:val="1"/>
                <w:bCs w:val="1"/>
                <w:color w:val="auto"/>
                <w:w w:val="96"/>
              </w:rPr>
              <w:t>Other Assets</w:t>
            </w:r>
          </w:p>
        </w:tc>
        <w:tc>
          <w:tcPr>
            <w:tcW w:w="200" w:type="dxa"/>
            <w:vAlign w:val="bottom"/>
          </w:tcPr>
          <w:p>
            <w:pPr>
              <w:spacing w:after="0"/>
              <w:rPr>
                <w:sz w:val="12"/>
                <w:szCs w:val="12"/>
                <w:color w:val="auto"/>
              </w:rPr>
            </w:pPr>
          </w:p>
        </w:tc>
        <w:tc>
          <w:tcPr>
            <w:tcW w:w="9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Related</w:t>
            </w:r>
          </w:p>
        </w:tc>
        <w:tc>
          <w:tcPr>
            <w:tcW w:w="80" w:type="dxa"/>
            <w:vAlign w:val="bottom"/>
          </w:tcPr>
          <w:p>
            <w:pPr>
              <w:spacing w:after="0"/>
              <w:rPr>
                <w:sz w:val="12"/>
                <w:szCs w:val="12"/>
                <w:color w:val="auto"/>
              </w:rPr>
            </w:pPr>
          </w:p>
        </w:tc>
        <w:tc>
          <w:tcPr>
            <w:tcW w:w="880" w:type="dxa"/>
            <w:vAlign w:val="bottom"/>
          </w:tcPr>
          <w:p>
            <w:pPr>
              <w:jc w:val="center"/>
              <w:ind w:right="23"/>
              <w:spacing w:after="0" w:line="145"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6"/>
        </w:trPr>
        <w:tc>
          <w:tcPr>
            <w:tcW w:w="3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Parties</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Parties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Parties</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Parties</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5"/>
              </w:rPr>
              <w:t>Liabilities</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Mutual water companies</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Cadiz / Fenner / WAM</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1,226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162</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1,137</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1,288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219"/>
        </w:trPr>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FGF</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2,586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2,652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837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LLCB</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3,444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3,444</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53"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Three Months Ended July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39370</wp:posOffset>
            </wp:positionV>
            <wp:extent cx="27089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47" w:lineRule="exact"/>
        <w:rPr>
          <w:sz w:val="20"/>
          <w:szCs w:val="20"/>
          <w:color w:val="auto"/>
        </w:rPr>
      </w:pPr>
    </w:p>
    <w:p>
      <w:pPr>
        <w:ind w:left="3100"/>
        <w:spacing w:after="0"/>
        <w:rPr>
          <w:sz w:val="20"/>
          <w:szCs w:val="20"/>
          <w:color w:val="auto"/>
        </w:rPr>
      </w:pPr>
      <w:r>
        <w:rPr>
          <w:rFonts w:ascii="Arial" w:cs="Arial" w:eastAsia="Arial" w:hAnsi="Arial"/>
          <w:sz w:val="14"/>
          <w:szCs w:val="14"/>
          <w:b w:val="1"/>
          <w:bCs w:val="1"/>
          <w:color w:val="auto"/>
        </w:rPr>
        <w:t>Consolidated Statement of Operations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Three Months Ended July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39370</wp:posOffset>
            </wp:positionV>
            <wp:extent cx="27260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Operations</w:t>
      </w:r>
    </w:p>
    <w:p>
      <w:pPr>
        <w:spacing w:after="0" w:line="31" w:lineRule="exact"/>
        <w:rPr>
          <w:sz w:val="20"/>
          <w:szCs w:val="20"/>
          <w:color w:val="auto"/>
        </w:rPr>
      </w:pPr>
    </w:p>
    <w:p>
      <w:pPr>
        <w:sectPr>
          <w:pgSz w:w="11900" w:h="16838" w:orient="portrait"/>
          <w:cols w:equalWidth="0" w:num="2">
            <w:col w:w="6760" w:space="720"/>
            <w:col w:w="3760"/>
          </w:cols>
          <w:pgMar w:left="320" w:top="126" w:right="339" w:bottom="1440" w:gutter="0" w:footer="0" w:header="0"/>
          <w:type w:val="continuous"/>
        </w:sectPr>
      </w:pPr>
    </w:p>
    <w:tbl>
      <w:tblPr>
        <w:tblLayout w:type="fixed"/>
        <w:tblInd w:w="20" w:type="dxa"/>
        <w:tblCellMar>
          <w:top w:w="0" w:type="dxa"/>
          <w:left w:w="0" w:type="dxa"/>
          <w:bottom w:w="0" w:type="dxa"/>
          <w:right w:w="0" w:type="dxa"/>
        </w:tblCellMar>
      </w:tblPr>
      <w:tr>
        <w:trPr>
          <w:trHeight w:val="153"/>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Net Revenue</w:t>
            </w:r>
          </w:p>
        </w:tc>
        <w:tc>
          <w:tcPr>
            <w:tcW w:w="1060" w:type="dxa"/>
            <w:vAlign w:val="bottom"/>
            <w:tcBorders>
              <w:top w:val="single" w:sz="8" w:color="auto"/>
            </w:tcBorders>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Net Revenue</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Agribusiness</w:t>
            </w:r>
          </w:p>
        </w:tc>
        <w:tc>
          <w:tcPr>
            <w:tcW w:w="10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Dividends</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Net Revenue</w:t>
            </w:r>
          </w:p>
        </w:tc>
        <w:tc>
          <w:tcPr>
            <w:tcW w:w="1060" w:type="dxa"/>
            <w:vAlign w:val="bottom"/>
            <w:tcBorders>
              <w:top w:val="single" w:sz="8" w:color="auto"/>
            </w:tcBorders>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Net Revenue</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Agribusiness</w:t>
            </w:r>
          </w:p>
        </w:tc>
        <w:tc>
          <w:tcPr>
            <w:tcW w:w="120" w:type="dxa"/>
            <w:vAlign w:val="bottom"/>
          </w:tcPr>
          <w:p>
            <w:pPr>
              <w:spacing w:after="0"/>
              <w:rPr>
                <w:sz w:val="13"/>
                <w:szCs w:val="13"/>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48"/>
        </w:trPr>
        <w:tc>
          <w:tcPr>
            <w:tcW w:w="36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7"/>
              </w:rPr>
              <w:t>Ref</w:t>
            </w:r>
          </w:p>
        </w:tc>
        <w:tc>
          <w:tcPr>
            <w:tcW w:w="80" w:type="dxa"/>
            <w:vAlign w:val="bottom"/>
            <w:vMerge w:val="restart"/>
          </w:tcPr>
          <w:p>
            <w:pPr>
              <w:spacing w:after="0"/>
              <w:rPr>
                <w:sz w:val="12"/>
                <w:szCs w:val="12"/>
                <w:color w:val="auto"/>
              </w:rPr>
            </w:pPr>
          </w:p>
        </w:tc>
        <w:tc>
          <w:tcPr>
            <w:tcW w:w="2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Related-Party</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Expense and</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Expense and</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Agribusiness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Operations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Agribusiness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Operations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Paid</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Employees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Mutual water companies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Cooperative association</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Cadiz / Fenner / WAM</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895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YMIDD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FGF</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132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ind w:left="74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Principal owner</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type w:val="continuous"/>
        </w:sectPr>
      </w:pPr>
    </w:p>
    <w:p>
      <w:pPr>
        <w:spacing w:after="0" w:line="61"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Nine Months Ended July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39370</wp:posOffset>
            </wp:positionV>
            <wp:extent cx="27089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47" w:lineRule="exact"/>
        <w:rPr>
          <w:sz w:val="20"/>
          <w:szCs w:val="20"/>
          <w:color w:val="auto"/>
        </w:rPr>
      </w:pPr>
    </w:p>
    <w:p>
      <w:pPr>
        <w:ind w:left="3060"/>
        <w:spacing w:after="0"/>
        <w:rPr>
          <w:sz w:val="20"/>
          <w:szCs w:val="20"/>
          <w:color w:val="auto"/>
        </w:rPr>
      </w:pPr>
      <w:r>
        <w:rPr>
          <w:rFonts w:ascii="Arial" w:cs="Arial" w:eastAsia="Arial" w:hAnsi="Arial"/>
          <w:sz w:val="14"/>
          <w:szCs w:val="14"/>
          <w:b w:val="1"/>
          <w:bCs w:val="1"/>
          <w:color w:val="auto"/>
        </w:rPr>
        <w:t>Consolidated Statement of Operations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Nine Months Ended July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39370</wp:posOffset>
            </wp:positionV>
            <wp:extent cx="27260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Operations</w:t>
      </w:r>
    </w:p>
    <w:p>
      <w:pPr>
        <w:spacing w:after="0" w:line="31" w:lineRule="exact"/>
        <w:rPr>
          <w:sz w:val="20"/>
          <w:szCs w:val="20"/>
          <w:color w:val="auto"/>
        </w:rPr>
      </w:pPr>
    </w:p>
    <w:p>
      <w:pPr>
        <w:sectPr>
          <w:pgSz w:w="11900" w:h="16838" w:orient="portrait"/>
          <w:cols w:equalWidth="0" w:num="2">
            <w:col w:w="6760" w:space="720"/>
            <w:col w:w="3760"/>
          </w:cols>
          <w:pgMar w:left="320" w:top="126" w:right="339" w:bottom="1440" w:gutter="0" w:footer="0" w:header="0"/>
          <w:type w:val="continuous"/>
        </w:sectPr>
      </w:pPr>
    </w:p>
    <w:tbl>
      <w:tblPr>
        <w:tblLayout w:type="fixed"/>
        <w:tblInd w:w="20" w:type="dxa"/>
        <w:tblCellMar>
          <w:top w:w="0" w:type="dxa"/>
          <w:left w:w="0" w:type="dxa"/>
          <w:bottom w:w="0" w:type="dxa"/>
          <w:right w:w="0" w:type="dxa"/>
        </w:tblCellMar>
      </w:tblPr>
      <w:tr>
        <w:trPr>
          <w:trHeight w:val="148"/>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Net Revenue</w:t>
            </w:r>
          </w:p>
        </w:tc>
        <w:tc>
          <w:tcPr>
            <w:tcW w:w="1060" w:type="dxa"/>
            <w:vAlign w:val="bottom"/>
            <w:tcBorders>
              <w:top w:val="single" w:sz="8" w:color="auto"/>
            </w:tcBorders>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Net Revenue</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41"/>
              <w:spacing w:after="0" w:line="149" w:lineRule="exact"/>
              <w:rPr>
                <w:sz w:val="20"/>
                <w:szCs w:val="20"/>
                <w:color w:val="auto"/>
              </w:rPr>
            </w:pPr>
            <w:r>
              <w:rPr>
                <w:rFonts w:ascii="Arial" w:cs="Arial" w:eastAsia="Arial" w:hAnsi="Arial"/>
                <w:sz w:val="14"/>
                <w:szCs w:val="14"/>
                <w:b w:val="1"/>
                <w:bCs w:val="1"/>
                <w:color w:val="auto"/>
                <w:w w:val="90"/>
              </w:rPr>
              <w:t>Agribusiness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Dividends</w:t>
            </w: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Net Revenue</w:t>
            </w:r>
          </w:p>
        </w:tc>
        <w:tc>
          <w:tcPr>
            <w:tcW w:w="1060" w:type="dxa"/>
            <w:vAlign w:val="bottom"/>
            <w:tcBorders>
              <w:top w:val="single" w:sz="8" w:color="auto"/>
            </w:tcBorders>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Net Revenue</w:t>
            </w: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Agribusiness</w:t>
            </w:r>
          </w:p>
        </w:tc>
        <w:tc>
          <w:tcPr>
            <w:tcW w:w="120" w:type="dxa"/>
            <w:vAlign w:val="bottom"/>
          </w:tcPr>
          <w:p>
            <w:pPr>
              <w:spacing w:after="0"/>
              <w:rPr>
                <w:sz w:val="12"/>
                <w:szCs w:val="12"/>
                <w:color w:val="auto"/>
              </w:rPr>
            </w:pPr>
          </w:p>
        </w:tc>
        <w:tc>
          <w:tcPr>
            <w:tcW w:w="74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89"/>
              </w:rPr>
              <w:t>Dividends</w:t>
            </w:r>
          </w:p>
        </w:tc>
        <w:tc>
          <w:tcPr>
            <w:tcW w:w="0" w:type="dxa"/>
            <w:vAlign w:val="bottom"/>
          </w:tcPr>
          <w:p>
            <w:pPr>
              <w:spacing w:after="0"/>
              <w:rPr>
                <w:sz w:val="1"/>
                <w:szCs w:val="1"/>
                <w:color w:val="auto"/>
              </w:rPr>
            </w:pPr>
          </w:p>
        </w:tc>
      </w:tr>
      <w:tr>
        <w:trPr>
          <w:trHeight w:val="149"/>
        </w:trPr>
        <w:tc>
          <w:tcPr>
            <w:tcW w:w="36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7"/>
              </w:rPr>
              <w:t>Ref</w:t>
            </w:r>
          </w:p>
        </w:tc>
        <w:tc>
          <w:tcPr>
            <w:tcW w:w="80" w:type="dxa"/>
            <w:vAlign w:val="bottom"/>
            <w:vMerge w:val="restart"/>
          </w:tcPr>
          <w:p>
            <w:pPr>
              <w:spacing w:after="0"/>
              <w:rPr>
                <w:sz w:val="12"/>
                <w:szCs w:val="12"/>
                <w:color w:val="auto"/>
              </w:rPr>
            </w:pPr>
          </w:p>
        </w:tc>
        <w:tc>
          <w:tcPr>
            <w:tcW w:w="2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Related-Party</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Expense and</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Expense and</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Agribusiness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Operations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Agribusiness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Operations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Paid</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Employees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Mutual water companies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979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975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Cooperative association</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Calavo</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Cadiz / Fenner / WAM</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YMIDD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405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FGF</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Third-party growers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Principal owner</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 w:firstLine="8"/>
        <w:spacing w:after="0" w:line="227" w:lineRule="auto"/>
        <w:tabs>
          <w:tab w:leader="none" w:pos="203"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Employees - The Company rents certain of its residential housing assets to employees on a month-to-month basis and recorded rental income from employees. There were no material rental payments due from employees at July 31, 2023 and October 31, 2022.</w:t>
      </w:r>
    </w:p>
    <w:p>
      <w:pPr>
        <w:spacing w:after="0" w:line="134" w:lineRule="exact"/>
        <w:rPr>
          <w:rFonts w:ascii="Arial" w:cs="Arial" w:eastAsia="Arial" w:hAnsi="Arial"/>
          <w:sz w:val="23"/>
          <w:szCs w:val="23"/>
          <w:color w:val="auto"/>
          <w:vertAlign w:val="superscript"/>
        </w:rPr>
      </w:pPr>
    </w:p>
    <w:p>
      <w:pPr>
        <w:jc w:val="both"/>
        <w:ind w:firstLine="8"/>
        <w:spacing w:after="0" w:line="234" w:lineRule="auto"/>
        <w:tabs>
          <w:tab w:leader="none" w:pos="209"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Mutual water companies - The Company has representation on the boards of directors of the mutual water companies in which the Company has investments, as well as other water districts. Refer to Note 8 - Other Assets. The Company recorded capital contributions, purchased water and water delivery services and had water payments due to the mutual water companies and districts.</w:t>
      </w:r>
    </w:p>
    <w:p>
      <w:pPr>
        <w:spacing w:after="0" w:line="121" w:lineRule="exact"/>
        <w:rPr>
          <w:rFonts w:ascii="Arial" w:cs="Arial" w:eastAsia="Arial" w:hAnsi="Arial"/>
          <w:sz w:val="23"/>
          <w:szCs w:val="23"/>
          <w:color w:val="auto"/>
          <w:vertAlign w:val="superscript"/>
        </w:rPr>
      </w:pPr>
    </w:p>
    <w:p>
      <w:pPr>
        <w:ind w:firstLine="8"/>
        <w:spacing w:after="0" w:line="267" w:lineRule="auto"/>
        <w:tabs>
          <w:tab w:leader="none" w:pos="195"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Cooperative association - The Company has representation on the board of directors of a non-profit cooperative association that provides pest control services for the agricultural industry. The Company purchased services and supplies from and had immaterial payments due to the cooperative association.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Related-Party Transactions (continued)</w:t>
      </w:r>
    </w:p>
    <w:p>
      <w:pPr>
        <w:spacing w:after="0" w:line="135" w:lineRule="exact"/>
        <w:rPr>
          <w:sz w:val="20"/>
          <w:szCs w:val="20"/>
          <w:color w:val="auto"/>
        </w:rPr>
      </w:pPr>
    </w:p>
    <w:p>
      <w:pPr>
        <w:jc w:val="both"/>
        <w:ind w:firstLine="8"/>
        <w:spacing w:after="0" w:line="269" w:lineRule="auto"/>
        <w:tabs>
          <w:tab w:leader="none" w:pos="183"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Calavo - Through January 2022, the Company had representation on the board of directors of Calavo. Calavo owned common stock of the Company and the Company paid dividends on such common stock to Calavo. Additionally, the Company leases office space to Calavo. As of February 2022, Calavo is no longer a related-party.</w:t>
      </w:r>
    </w:p>
    <w:p>
      <w:pPr>
        <w:spacing w:after="0" w:line="99" w:lineRule="exact"/>
        <w:rPr>
          <w:rFonts w:ascii="Arial" w:cs="Arial" w:eastAsia="Arial" w:hAnsi="Arial"/>
          <w:sz w:val="21"/>
          <w:szCs w:val="21"/>
          <w:color w:val="auto"/>
          <w:vertAlign w:val="superscript"/>
        </w:rPr>
      </w:pPr>
    </w:p>
    <w:p>
      <w:pPr>
        <w:jc w:val="both"/>
        <w:ind w:firstLine="8"/>
        <w:spacing w:after="0" w:line="277" w:lineRule="auto"/>
        <w:tabs>
          <w:tab w:leader="none" w:pos="187"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Cadiz / Fenner / WAM - A member of the Company’s board of directors serves as the CEO, President and a member of the board of directors of Cadiz, Inc. In 2013, the Company entered a long-term lease agreement (the “Lease”) with Cadiz Real Estate, LLC (“Cadiz”), a wholly owned subsidiary of Cadiz, Inc., and leased 670 acres located in eastern San Bernardino County, California. In 2016, Cadiz assigned this lease to Fenner Valley Farms, LLC (“Fenner”), a subsidiary of Water Asset Management, LLC (“WAM”). As of the date of this lease assignment, the Company no longer has any related-party transactions with Cadiz. An affiliate of WAM is the holder of 9,300 shares of the Company's Series B-2 convertible preferred stock. The annual base rent is equal to the sum of $200 per planted acre and 20% of gross revenues from the sale of harvested lemons (less operating expenses), not to exceed $1,200 per acre per year. Upon the adoption of ASC 842, the Company recorded a right-of-use, or ROU, asset and corresponding lease liability.</w:t>
      </w:r>
    </w:p>
    <w:p>
      <w:pPr>
        <w:spacing w:after="0" w:line="108" w:lineRule="exact"/>
        <w:rPr>
          <w:sz w:val="20"/>
          <w:szCs w:val="20"/>
          <w:color w:val="auto"/>
        </w:rPr>
      </w:pPr>
    </w:p>
    <w:p>
      <w:pPr>
        <w:jc w:val="both"/>
        <w:ind w:firstLine="8"/>
        <w:spacing w:after="0" w:line="238" w:lineRule="auto"/>
        <w:tabs>
          <w:tab w:leader="none" w:pos="211"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Yuma Mesa Irrigation and Drainage District (“YMIDD”) - The Company has representation on the board of directors of YMIDD. The Company purchased water from YMIDD and had no amounts payable to them for such purchases. Additionally, the Company received fallowing revenue from</w:t>
      </w:r>
    </w:p>
    <w:p>
      <w:pPr>
        <w:spacing w:after="0" w:line="1" w:lineRule="exact"/>
        <w:rPr>
          <w:rFonts w:ascii="Arial" w:cs="Arial" w:eastAsia="Arial" w:hAnsi="Arial"/>
          <w:sz w:val="22"/>
          <w:szCs w:val="22"/>
          <w:color w:val="auto"/>
          <w:vertAlign w:val="superscript"/>
        </w:rPr>
      </w:pPr>
    </w:p>
    <w:p>
      <w:pPr>
        <w:spacing w:after="0"/>
        <w:rPr>
          <w:rFonts w:ascii="Arial" w:cs="Arial" w:eastAsia="Arial" w:hAnsi="Arial"/>
          <w:sz w:val="22"/>
          <w:szCs w:val="22"/>
          <w:color w:val="auto"/>
          <w:vertAlign w:val="superscript"/>
        </w:rPr>
      </w:pPr>
      <w:r>
        <w:rPr>
          <w:rFonts w:ascii="Arial" w:cs="Arial" w:eastAsia="Arial" w:hAnsi="Arial"/>
          <w:sz w:val="18"/>
          <w:szCs w:val="18"/>
          <w:color w:val="auto"/>
        </w:rPr>
        <w:t>YMIDD.</w:t>
      </w:r>
    </w:p>
    <w:p>
      <w:pPr>
        <w:spacing w:after="0" w:line="143" w:lineRule="exact"/>
        <w:rPr>
          <w:rFonts w:ascii="Arial" w:cs="Arial" w:eastAsia="Arial" w:hAnsi="Arial"/>
          <w:sz w:val="22"/>
          <w:szCs w:val="22"/>
          <w:color w:val="auto"/>
          <w:vertAlign w:val="superscript"/>
        </w:rPr>
      </w:pPr>
    </w:p>
    <w:p>
      <w:pPr>
        <w:jc w:val="both"/>
        <w:ind w:firstLine="8"/>
        <w:spacing w:after="0" w:line="273" w:lineRule="auto"/>
        <w:tabs>
          <w:tab w:leader="none" w:pos="184"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FGF - The Company advances funds to FGF for fruit purchases, which are recorded as an asset until the sales occur and the remaining proceeds become due to FGF. The Company has a receivable from FGF for lemon sales and the sale of packing supplies and a payable due to FGF for fruit purchases and services. The Company records revenue related to the licensing of intangible assets to FGF. The Company leases the Santa Clara ranch to FGF and records rental revenue related to the leased land.</w:t>
      </w:r>
    </w:p>
    <w:p>
      <w:pPr>
        <w:spacing w:after="0" w:line="71"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LLCB - Refer to Note 5 - Real Estate Development.</w:t>
      </w:r>
    </w:p>
    <w:p>
      <w:pPr>
        <w:spacing w:after="0" w:line="107" w:lineRule="exact"/>
        <w:rPr>
          <w:sz w:val="20"/>
          <w:szCs w:val="20"/>
          <w:color w:val="auto"/>
        </w:rPr>
      </w:pPr>
    </w:p>
    <w:p>
      <w:pPr>
        <w:ind w:firstLine="8"/>
        <w:spacing w:after="0" w:line="267" w:lineRule="auto"/>
        <w:tabs>
          <w:tab w:leader="none" w:pos="263"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Third-party growers - A former member of the Company's board of directors marketed lemons through the Company. The former board member resigned effective June 14, 2022 and is no longer a related-party.</w:t>
      </w:r>
    </w:p>
    <w:p>
      <w:pPr>
        <w:spacing w:after="0" w:line="53" w:lineRule="exact"/>
        <w:rPr>
          <w:rFonts w:ascii="Arial" w:cs="Arial" w:eastAsia="Arial" w:hAnsi="Arial"/>
          <w:sz w:val="21"/>
          <w:szCs w:val="21"/>
          <w:color w:val="auto"/>
          <w:vertAlign w:val="superscript"/>
        </w:rPr>
      </w:pPr>
    </w:p>
    <w:p>
      <w:pPr>
        <w:ind w:left="240" w:hanging="232"/>
        <w:spacing w:after="0"/>
        <w:tabs>
          <w:tab w:leader="none" w:pos="24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Principal owner - The Company has one principal owner with ownership shares over 10% and paid dividends to such owner.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effective tax rate for the nine months ended July 31, 2023 was higher than the federal statutory tax rate of 21% mainly due to foreign jurisdictions that are taxed at different rates, state taxes, tax impact of executive compensation, and nondeductible tax items. The Company has no material uncertain tax positions as of July 31, 2023. The Company recognizes interest expense and penalties related to income tax matters as a component of income tax expense. There was no accrued interest or penalties associated with uncertain tax positions as of July 31, 2023.</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Plans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Limoneira Company Retirement Plan (the “Plan”) was a noncontributory, defined benefit, single employer pension plan, which provided retirement benefits for all eligible employees. Benefits paid by the Plan were calculated based on years of service, highest five-year average earnings, primary Social Security benefit and retirement age. Effective June 2004, the Company froze the Plan and no additional benefits accrued to participants subsequent to that date. The Plan was administered by Principal Bank and Mercer Human Resource Consulting. In fiscal year 2021, the Company terminated the Plan effective December 31, 2021.</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January 31, 2023, the Company made funding contributions of $2,550,000 to fully fund and settle the plan obligations. Lump sum payments were made to a portion of the active and vested terminated participants and annuities were purchased for all remaining participants from an insurance company. There are no remaining benefit obligations or plan assets and the remaining accumulated other comprehensive loss was fully recognized.</w:t>
      </w:r>
    </w:p>
    <w:p>
      <w:pPr>
        <w:spacing w:after="0" w:line="1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Plan was funded consistent with the funding requirements of federal law and regulations. There were no funding contributions during the nine months ended July 31, 2022. Plan assets were invested in a group trust consisting primarily of pooled funds, mutual funds,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Arial" w:cs="Arial" w:eastAsia="Arial" w:hAnsi="Arial"/>
                <w:sz w:val="18"/>
                <w:szCs w:val="18"/>
                <w:b w:val="1"/>
                <w:bCs w:val="1"/>
                <w:color w:val="auto"/>
              </w:rPr>
              <w:t>16. Retirement Plans (continued)</w:t>
            </w: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51"/>
        </w:trPr>
        <w:tc>
          <w:tcPr>
            <w:tcW w:w="6660" w:type="dxa"/>
            <w:vAlign w:val="bottom"/>
            <w:gridSpan w:val="2"/>
          </w:tcPr>
          <w:p>
            <w:pPr>
              <w:spacing w:after="0"/>
              <w:rPr>
                <w:sz w:val="20"/>
                <w:szCs w:val="20"/>
                <w:color w:val="auto"/>
              </w:rPr>
            </w:pPr>
            <w:r>
              <w:rPr>
                <w:rFonts w:ascii="Arial" w:cs="Arial" w:eastAsia="Arial" w:hAnsi="Arial"/>
                <w:sz w:val="18"/>
                <w:szCs w:val="18"/>
                <w:color w:val="auto"/>
                <w:w w:val="93"/>
              </w:rPr>
              <w:t>The components of net periodic pension cost for the Plan were as follows (in thousands):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1"/>
        </w:trPr>
        <w:tc>
          <w:tcPr>
            <w:tcW w:w="5700" w:type="dxa"/>
            <w:vAlign w:val="bottom"/>
          </w:tcPr>
          <w:p>
            <w:pPr>
              <w:spacing w:after="0"/>
              <w:rPr>
                <w:sz w:val="24"/>
                <w:szCs w:val="24"/>
                <w:color w:val="auto"/>
              </w:rPr>
            </w:pPr>
          </w:p>
        </w:tc>
        <w:tc>
          <w:tcPr>
            <w:tcW w:w="22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57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July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July 31,</w:t>
            </w:r>
          </w:p>
        </w:tc>
        <w:tc>
          <w:tcPr>
            <w:tcW w:w="940" w:type="dxa"/>
            <w:vAlign w:val="bottom"/>
            <w:tcBorders>
              <w:bottom w:val="single" w:sz="8" w:color="auto"/>
            </w:tcBorders>
          </w:tcPr>
          <w:p>
            <w:pPr>
              <w:spacing w:after="0"/>
              <w:rPr>
                <w:sz w:val="20"/>
                <w:szCs w:val="20"/>
                <w:color w:val="auto"/>
              </w:rPr>
            </w:pPr>
          </w:p>
        </w:tc>
      </w:tr>
      <w:tr>
        <w:trPr>
          <w:trHeight w:val="227"/>
        </w:trPr>
        <w:tc>
          <w:tcPr>
            <w:tcW w:w="57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96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loss</w:t>
            </w: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Settlement loss recognized</w:t>
            </w:r>
          </w:p>
        </w:tc>
        <w:tc>
          <w:tcPr>
            <w:tcW w:w="96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96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1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was party to a lawsuit, initiated on March 27, 2018, against Southern California Edison in Superior Court of the State of California, County of Los Angeles whereby the Company claimed unspecified damages, attorneys’ fees and other costs, as a result of the Thomas Fire in fiscal year 2018.</w:t>
      </w:r>
    </w:p>
    <w:p>
      <w:pPr>
        <w:spacing w:after="0" w:line="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April 18, 2023, the Company entered into a Confidential Settlement Agreement and Release (the “Settlement Agreement”) with Southern California Edison Company and Edison International to formally resolve any and all claims related to the fire. Under the terms of the Settlement Agreement, the Company was awarded a total settlement of $9,000,000. On May 19, 2023, the Company received $6,109,000, net of legal and related costs, of which $3,840,000 was recorded in agribusiness revenues and $2,269,000 was recorded in gain on legal settlement as of April 30, 2023.</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Stock-based Compensation</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stock-based compensation plan (the “Stock Plan”) that allows for the grant of restricted stock of the Company to members of management, key executives and non-employee directors. The fair value of such awards is based on the fair value of the Company’s common stock on the date of grant and all are classified as equity awards.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restricted stock grants are made to management each December under the Stock Plan based on the achievement of certain annual financial performance and other criteria achieved during the previous fiscal year (“Performance Awards”). The performance grants are based on a percentage of the employee’s base salary divided by the stock price on the grant date once the performance criteria has been met, and generally vest over a two-year period as service is provided. During December 2022, subsequent to fiscal year 2022, 79,972 shares of restricted stock with a per share price of $13.19 were granted to management under the Stock Plan for fiscal year 2022 performance, resulting in total compensation expense of approximately $1,055,000, with $365,000 recognized in the fiscal year ended October 31, 2022, and the balance will be recognized over the next two years as the shares vest.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Awards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restricted stock grants are made to key executives under the Stock Plan (“Executive Awards”). These grants generally vest over a three-year period as service is provided. During December 2022, subsequent to fiscal year 2022, the Company granted 55,000 shares of restricted stock with a per share price of $13.19 to key executives under the Stock Plan. The related compensation expense of approximately $725,000 will be recognized equally over the next three years as the shares vest.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Stock-based Compensation (continued)</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fiscal year 2022, the Company entered into Retention Bonus Agreements with key executives (collectively, the “Retention Bonus Agreements”) whereby the executives will be eligible to receive cash and restricted stock grants. During December 2022, subsequent to fiscal year 2022, the Company granted 11,317 shares of restricted stock with a per share price of $13.19 to key executives related to the Retention Bonus Agreements. The related compensation expense of approximately $149,000 had $122,000 recognized in the fiscal year ended October 31, 2022, and the balance will be recognized over the next year as the shares vest. During March 2023, the Company granted 127,064 shares of restricted stock with a per share price of $15.74 to key executives related to the Retention Bonus Agreements. The related compensation expense of approximately $2,000,000 will be recognized over the next year as the shares vest.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Awards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issues shares of restricted stock to non-employee directors under the Stock Plan on an annual basis that generally vest over a one-year period (“Director Awards”). During March 2023, 22,836 shares of restricted stock were granted with a per share price of $16.26 as Director Awards, which vest over a one-year period from date of grant. The related compensation expense of approximately $371,000 will be recognized equally over the next year as the shares vest.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of Common Stock</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July 31, 2023 and 2022, members of management exchanged 1,594 and 68,080 shares of common stock with fair values totaling $26,000 and $1,086,000, respectively, at the dates of the exchanges, for the payment of payroll taxes associated with the vesting of shares under the Stock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Information</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farming and harvest costs and third-party grower and supplier costs relative to fresh lemons. 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 management, farming and harvest costs and brokered fruit costs of oranges, specialty citrus and other crops.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gain on disposal of assets, gain on legal settlement, total other income (expense) and income taxes, or specifically identify them to its operating segments. The lemon packing segment earns packing revenue for packing lemons grown on its orchards and lemons procured from third-party growers. Intersegment revenues represent packing revenues related to lemons grown on the Company’s orchards.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Information (continued)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July 31, 2023 is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21"/>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820" w:type="dxa"/>
            <w:vAlign w:val="bottom"/>
          </w:tcPr>
          <w:p>
            <w:pPr>
              <w:jc w:val="right"/>
              <w:ind w:right="201"/>
              <w:spacing w:after="0"/>
              <w:rPr>
                <w:sz w:val="20"/>
                <w:szCs w:val="20"/>
                <w:color w:val="auto"/>
              </w:rPr>
            </w:pPr>
            <w:r>
              <w:rPr>
                <w:rFonts w:ascii="Arial" w:cs="Arial" w:eastAsia="Arial" w:hAnsi="Arial"/>
                <w:sz w:val="14"/>
                <w:szCs w:val="14"/>
                <w:b w:val="1"/>
                <w:bCs w:val="1"/>
                <w:color w:val="auto"/>
              </w:rPr>
              <w:t>Lemon</w:t>
            </w:r>
          </w:p>
        </w:tc>
        <w:tc>
          <w:tcPr>
            <w:tcW w:w="140" w:type="dxa"/>
            <w:vAlign w:val="bottom"/>
          </w:tcPr>
          <w:p>
            <w:pPr>
              <w:spacing w:after="0"/>
              <w:rPr>
                <w:sz w:val="14"/>
                <w:szCs w:val="14"/>
                <w:color w:val="auto"/>
              </w:rPr>
            </w:pPr>
          </w:p>
        </w:tc>
        <w:tc>
          <w:tcPr>
            <w:tcW w:w="9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4"/>
                <w:szCs w:val="14"/>
                <w:color w:val="auto"/>
              </w:rPr>
            </w:pPr>
          </w:p>
        </w:tc>
        <w:tc>
          <w:tcPr>
            <w:tcW w:w="8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2"/>
              </w:rPr>
              <w:t>Avocados</w:t>
            </w:r>
          </w:p>
        </w:tc>
        <w:tc>
          <w:tcPr>
            <w:tcW w:w="160" w:type="dxa"/>
            <w:vAlign w:val="bottom"/>
          </w:tcPr>
          <w:p>
            <w:pPr>
              <w:spacing w:after="0"/>
              <w:rPr>
                <w:sz w:val="14"/>
                <w:szCs w:val="14"/>
                <w:color w:val="auto"/>
              </w:rPr>
            </w:pPr>
          </w:p>
        </w:tc>
        <w:tc>
          <w:tcPr>
            <w:tcW w:w="960" w:type="dxa"/>
            <w:vAlign w:val="bottom"/>
          </w:tcPr>
          <w:p>
            <w:pPr>
              <w:jc w:val="right"/>
              <w:ind w:right="261"/>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960" w:type="dxa"/>
            <w:vAlign w:val="bottom"/>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w w:val="98"/>
              </w:rPr>
              <w:t>Corporate</w:t>
            </w:r>
          </w:p>
        </w:tc>
        <w:tc>
          <w:tcPr>
            <w:tcW w:w="240" w:type="dxa"/>
            <w:vAlign w:val="bottom"/>
          </w:tcPr>
          <w:p>
            <w:pPr>
              <w:spacing w:after="0"/>
              <w:rPr>
                <w:sz w:val="14"/>
                <w:szCs w:val="14"/>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Lemons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Packing</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0"/>
              </w:rPr>
              <w:t>Agribusiness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0"/>
              </w:rPr>
              <w:t>Agribusiness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9"/>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33,585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51,092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52,497</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revenue</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9,684</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(9,684)</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33,585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51,092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52,497</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30,758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13,140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(9,684)</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3,030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7,866</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45,110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6,917</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52,027</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Arial" w:cs="Arial" w:eastAsia="Arial" w:hAnsi="Arial"/>
                <w:sz w:val="16"/>
                <w:szCs w:val="16"/>
                <w:color w:val="auto"/>
              </w:rPr>
              <w:t>Operating (loss) income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(5,796)</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July 31, 2022 is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21"/>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820" w:type="dxa"/>
            <w:vAlign w:val="bottom"/>
          </w:tcPr>
          <w:p>
            <w:pPr>
              <w:jc w:val="right"/>
              <w:ind w:right="201"/>
              <w:spacing w:after="0"/>
              <w:rPr>
                <w:sz w:val="20"/>
                <w:szCs w:val="20"/>
                <w:color w:val="auto"/>
              </w:rPr>
            </w:pPr>
            <w:r>
              <w:rPr>
                <w:rFonts w:ascii="Arial" w:cs="Arial" w:eastAsia="Arial" w:hAnsi="Arial"/>
                <w:sz w:val="14"/>
                <w:szCs w:val="14"/>
                <w:b w:val="1"/>
                <w:bCs w:val="1"/>
                <w:color w:val="auto"/>
              </w:rPr>
              <w:t>Lemon</w:t>
            </w:r>
          </w:p>
        </w:tc>
        <w:tc>
          <w:tcPr>
            <w:tcW w:w="140" w:type="dxa"/>
            <w:vAlign w:val="bottom"/>
          </w:tcPr>
          <w:p>
            <w:pPr>
              <w:spacing w:after="0"/>
              <w:rPr>
                <w:sz w:val="14"/>
                <w:szCs w:val="14"/>
                <w:color w:val="auto"/>
              </w:rPr>
            </w:pPr>
          </w:p>
        </w:tc>
        <w:tc>
          <w:tcPr>
            <w:tcW w:w="9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4"/>
                <w:szCs w:val="14"/>
                <w:color w:val="auto"/>
              </w:rPr>
            </w:pPr>
          </w:p>
        </w:tc>
        <w:tc>
          <w:tcPr>
            <w:tcW w:w="8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2"/>
              </w:rPr>
              <w:t>Avocados</w:t>
            </w:r>
          </w:p>
        </w:tc>
        <w:tc>
          <w:tcPr>
            <w:tcW w:w="160" w:type="dxa"/>
            <w:vAlign w:val="bottom"/>
          </w:tcPr>
          <w:p>
            <w:pPr>
              <w:spacing w:after="0"/>
              <w:rPr>
                <w:sz w:val="14"/>
                <w:szCs w:val="14"/>
                <w:color w:val="auto"/>
              </w:rPr>
            </w:pPr>
          </w:p>
        </w:tc>
        <w:tc>
          <w:tcPr>
            <w:tcW w:w="960" w:type="dxa"/>
            <w:vAlign w:val="bottom"/>
          </w:tcPr>
          <w:p>
            <w:pPr>
              <w:jc w:val="right"/>
              <w:ind w:right="261"/>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960" w:type="dxa"/>
            <w:vAlign w:val="bottom"/>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w w:val="98"/>
              </w:rPr>
              <w:t>Corporate</w:t>
            </w:r>
          </w:p>
        </w:tc>
        <w:tc>
          <w:tcPr>
            <w:tcW w:w="240" w:type="dxa"/>
            <w:vAlign w:val="bottom"/>
          </w:tcPr>
          <w:p>
            <w:pPr>
              <w:spacing w:after="0"/>
              <w:rPr>
                <w:sz w:val="14"/>
                <w:szCs w:val="14"/>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Lemons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Packing</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0"/>
              </w:rPr>
              <w:t>Agribusiness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0"/>
              </w:rPr>
              <w:t>Agribusiness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9"/>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57,594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58,923</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revenue</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9,696</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(9,696)</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57,594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58,923</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32,600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11,953</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(9,696)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3,154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1,280</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39,291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6,103</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45,394</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2,469</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(5,071)</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nine months ended July 31, 2023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21"/>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820" w:type="dxa"/>
            <w:vAlign w:val="bottom"/>
          </w:tcPr>
          <w:p>
            <w:pPr>
              <w:jc w:val="right"/>
              <w:ind w:right="181"/>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8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2"/>
              </w:rPr>
              <w:t>Avocados</w:t>
            </w:r>
          </w:p>
        </w:tc>
        <w:tc>
          <w:tcPr>
            <w:tcW w:w="140" w:type="dxa"/>
            <w:vAlign w:val="bottom"/>
          </w:tcPr>
          <w:p>
            <w:pPr>
              <w:spacing w:after="0"/>
              <w:rPr>
                <w:sz w:val="14"/>
                <w:szCs w:val="14"/>
                <w:color w:val="auto"/>
              </w:rPr>
            </w:pPr>
          </w:p>
        </w:tc>
        <w:tc>
          <w:tcPr>
            <w:tcW w:w="960" w:type="dxa"/>
            <w:vAlign w:val="bottom"/>
          </w:tcPr>
          <w:p>
            <w:pPr>
              <w:jc w:val="right"/>
              <w:ind w:right="261"/>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60" w:type="dxa"/>
            <w:vAlign w:val="bottom"/>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w w:val="98"/>
              </w:rPr>
              <w:t>Corporate</w:t>
            </w:r>
          </w:p>
        </w:tc>
        <w:tc>
          <w:tcPr>
            <w:tcW w:w="240" w:type="dxa"/>
            <w:vAlign w:val="bottom"/>
          </w:tcPr>
          <w:p>
            <w:pPr>
              <w:spacing w:after="0"/>
              <w:rPr>
                <w:sz w:val="14"/>
                <w:szCs w:val="14"/>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Lemons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Packing</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2"/>
              </w:rPr>
              <w:t>Agribusiness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0"/>
              </w:rPr>
              <w:t>Agribusiness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9"/>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94,913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134,296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4,172</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138,468</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27,356</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(27,356)</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94,913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44,899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(27,356)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134,296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138,468</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Costs and expenses (gains)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94,035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36,568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(27,356)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4,053</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13,365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120,665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(9,180)</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111,485</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5,610</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6,510</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12,452</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20,473</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nine months ended July 31, 2022 is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21"/>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800" w:type="dxa"/>
            <w:vAlign w:val="bottom"/>
          </w:tcPr>
          <w:p>
            <w:pPr>
              <w:jc w:val="right"/>
              <w:ind w:right="181"/>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8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2"/>
              </w:rPr>
              <w:t>Avocados</w:t>
            </w:r>
          </w:p>
        </w:tc>
        <w:tc>
          <w:tcPr>
            <w:tcW w:w="160" w:type="dxa"/>
            <w:vAlign w:val="bottom"/>
          </w:tcPr>
          <w:p>
            <w:pPr>
              <w:spacing w:after="0"/>
              <w:rPr>
                <w:sz w:val="14"/>
                <w:szCs w:val="14"/>
                <w:color w:val="auto"/>
              </w:rPr>
            </w:pPr>
          </w:p>
        </w:tc>
        <w:tc>
          <w:tcPr>
            <w:tcW w:w="940" w:type="dxa"/>
            <w:vAlign w:val="bottom"/>
          </w:tcPr>
          <w:p>
            <w:pPr>
              <w:jc w:val="right"/>
              <w:ind w:right="261"/>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60" w:type="dxa"/>
            <w:vAlign w:val="bottom"/>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w w:val="98"/>
              </w:rPr>
              <w:t>Corporate</w:t>
            </w:r>
          </w:p>
        </w:tc>
        <w:tc>
          <w:tcPr>
            <w:tcW w:w="220" w:type="dxa"/>
            <w:vAlign w:val="bottom"/>
          </w:tcPr>
          <w:p>
            <w:pPr>
              <w:spacing w:after="0"/>
              <w:rPr>
                <w:sz w:val="14"/>
                <w:szCs w:val="14"/>
                <w:color w:val="auto"/>
              </w:rPr>
            </w:pPr>
          </w:p>
        </w:tc>
        <w:tc>
          <w:tcPr>
            <w:tcW w:w="8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Lemons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Packing</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0"/>
              </w:rPr>
              <w:t>Agribusiness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0"/>
              </w:rPr>
              <w:t>Agribusiness</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9"/>
              </w:rPr>
              <w:t>and Other</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94,415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141,046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144,947</w:t>
            </w:r>
          </w:p>
        </w:tc>
        <w:tc>
          <w:tcPr>
            <w:tcW w:w="0" w:type="dxa"/>
            <w:vAlign w:val="bottom"/>
          </w:tcPr>
          <w:p>
            <w:pPr>
              <w:spacing w:after="0"/>
              <w:rPr>
                <w:sz w:val="1"/>
                <w:szCs w:val="1"/>
                <w:color w:val="auto"/>
              </w:rPr>
            </w:pPr>
          </w:p>
        </w:tc>
      </w:tr>
      <w:tr>
        <w:trPr>
          <w:trHeight w:val="213"/>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25,658</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(25,658)</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94,415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44,706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(25,658)</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141,046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3,901</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144,947</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91,983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34,171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(25,658)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5,548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7,718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113,762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19,665</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133,427</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6,544</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7,432</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(16,652)</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4,088</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Revenues related to rental operations are included in “Corporate and Other.” The detail of other agribusiness revenues is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8"/>
                <w:szCs w:val="18"/>
                <w:color w:val="auto"/>
              </w:rPr>
            </w:pPr>
          </w:p>
        </w:tc>
        <w:tc>
          <w:tcPr>
            <w:tcW w:w="2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57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July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July 31,</w:t>
            </w:r>
          </w:p>
        </w:tc>
        <w:tc>
          <w:tcPr>
            <w:tcW w:w="960" w:type="dxa"/>
            <w:vAlign w:val="bottom"/>
            <w:tcBorders>
              <w:bottom w:val="single" w:sz="8" w:color="auto"/>
            </w:tcBorders>
          </w:tcPr>
          <w:p>
            <w:pPr>
              <w:spacing w:after="0"/>
              <w:rPr>
                <w:sz w:val="20"/>
                <w:szCs w:val="20"/>
                <w:color w:val="auto"/>
              </w:rPr>
            </w:pPr>
          </w:p>
        </w:tc>
      </w:tr>
      <w:tr>
        <w:trPr>
          <w:trHeight w:val="227"/>
        </w:trPr>
        <w:tc>
          <w:tcPr>
            <w:tcW w:w="57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Oranges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Specialty citrus and other</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1,900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1,120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3,437</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Farm management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5,383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Other agribusiness revenues</w:t>
            </w: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8,573</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4,856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10,663</w:t>
            </w:r>
          </w:p>
        </w:tc>
      </w:tr>
      <w:tr>
        <w:trPr>
          <w:trHeight w:val="21"/>
        </w:trPr>
        <w:tc>
          <w:tcPr>
            <w:tcW w:w="5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5" w:name="page26"/>
    <w:bookmarkEnd w:id="25"/>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evaluated events subsequent to July 31, 2023 through the date of this filing, to assess the need for potential recognition or disclosure in this Quarterly Report. Based upon this evaluation, except as described in the notes to interim consolidated financial statements, it was determined that no other subsequent events occurred that require recognition or disclosure in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ind w:right="4000"/>
        <w:spacing w:after="0" w:line="414" w:lineRule="auto"/>
        <w:rPr>
          <w:sz w:val="20"/>
          <w:szCs w:val="20"/>
          <w:color w:val="auto"/>
        </w:rPr>
      </w:pPr>
      <w:r>
        <w:rPr>
          <w:rFonts w:ascii="Arial" w:cs="Arial" w:eastAsia="Arial" w:hAnsi="Arial"/>
          <w:sz w:val="18"/>
          <w:szCs w:val="18"/>
          <w:b w:val="1"/>
          <w:bCs w:val="1"/>
          <w:i w:val="1"/>
          <w:iCs w:val="1"/>
          <w:color w:val="auto"/>
        </w:rPr>
        <w:t xml:space="preserve">Item 2. Management’s Discussion and Analysis of Financial Condition and Results of Operations </w:t>
      </w:r>
      <w:r>
        <w:rPr>
          <w:rFonts w:ascii="Arial" w:cs="Arial" w:eastAsia="Arial" w:hAnsi="Arial"/>
          <w:sz w:val="18"/>
          <w:szCs w:val="18"/>
          <w:b w:val="1"/>
          <w:bCs w:val="1"/>
          <w:color w:val="auto"/>
        </w:rPr>
        <w:t>Overview</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Limoneira Company, a Delaware corporation, is the successor to several businesses with operations in California since 1893. We are primarily an agribusiness company founded and based in Santa Paula, California, committed to responsibly using and managing our approximately 11,100 acres of land, water resources and other assets to maximize long-term stockholder value. Our current operations consist of fruit production, sales and marketing, rental operations, real estate and capital investment activities.</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one of California’s oldest citrus growers. According to Sunkist Growers, Inc., we are one of the largest growers of lemons in the United States and, according to the California Avocado Commission, one of the largest growers of avocados in the United States. In addition to growing lemons and avocados, we grow oranges and other crops. We have agricultural plantings throughout Ventura, San Luis Obispo and San Bernardino Counties in California, Yuma County in Arizona, La Serena, Chile and Jujuy, Argentina, which collectively consist of approximately 3,800 acres of lemons, 1,000 acres of avocados, 100 acres of oranges and 300 acres of other crops. We also operate our own packinghouses in Santa Paula,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a 100% interest in Agricola San Pablo, SpA (“San Pablo”), a lemon and orange orchard, all of which are located near La Serena, Chile. We have a 51% interest in a joint venture, Trapani Fresh Consorcio de Cooperacion (“Trapani Fresh”), a lemon orchard in Argentina.</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also use surface water in Arizona from the Colorado River through the Yuma Mesa Irrigation and Drainage District (“YMIDD”). We used ground water from the San Joaquin Valley Basin and water from local water and irrigation districts in Tulare County, which is in California’s San Joaquin Valley. We also used ground water from the Cadiz Valley Basin in California's San Bernardino County. We use ground water provided by wells and surface water for our PDA and San Pablo farming operations in Chile and our Trapani Fresh farming operations in Argentina.</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more than 100 years, we have been making strategic investments in California agriculture and real estate. We currently have an interest in three real estate development projects in California. These projects include multi-family housing, single-family homes and apartments of approximately 900 units in various stages of planning and development.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Division Summary</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three business divisions: agribusiness, rental operations and real estate development. The agribusiness division is comprised of four reportable operating segments: fresh lemons, lemon packing, avocados and other agribusiness, which includes oranges, specialty citrus, other crops and farm management services. The agribusiness division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Financial information and discussion of our four reportable segments are contained in the notes to the accompanying consolidated financial statements of this Quarterly Report.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Agribusiness Summary</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market and sell citrus directly to our food service, wholesale and retail customers throughout the United States, Canada, Asia, Australia, Europe and certain other international markets. We sell our avocados and oranges, and sold our specialty citrus, to third-party packinghouses. Additionally, we sell our wine grapes to various wine producers, and sold our pistachios to a roaster, packager and marketer of nuts.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our agribusiness division has been seasonal in nature with quarterly revenue fluctuating depending on the timing and variety of crops being harvested. Cultural costs in our agribusiness division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7" w:name="page28"/>
    <w:bookmarkEnd w:id="27"/>
    <w:p>
      <w:pPr>
        <w:jc w:val="both"/>
        <w:spacing w:after="0" w:line="291" w:lineRule="auto"/>
        <w:rPr>
          <w:sz w:val="20"/>
          <w:szCs w:val="20"/>
          <w:color w:val="auto"/>
        </w:rPr>
      </w:pPr>
      <w:r>
        <w:rPr>
          <w:rFonts w:ascii="Arial" w:cs="Arial" w:eastAsia="Arial" w:hAnsi="Arial"/>
          <w:sz w:val="16"/>
          <w:szCs w:val="16"/>
          <w:color w:val="auto"/>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spacing w:after="0" w:line="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avocado producing business is important to us and we are currently assessing all of our farmland in Ventura County for opportunities to expand our plantings of avocados. While avocado production is cyclical as avocados typically bear fruit on a bi-annual basis, the profitability and cash flow realized from our avocados helps to diversify our fruit production base.</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growing lemons and avocados, we grow oranges and other crops typically utilizing land not suitable for growing high quality lemons. We regularly monitor the demand for the fruit we grow in the current marketplace to identify trends.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 Summary</w:t>
      </w:r>
    </w:p>
    <w:p>
      <w:pPr>
        <w:spacing w:after="0" w:line="15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rental operations include our residential and commercial rentals, leased land operations and organic recycling. Our residential rental units generate reliable cash flows that we use to partially fund the operating costs of our business and provide affordable housing to many of our employees, including our agribusiness employees. This unique employment benefit helps us maintain a dependable, long-term employee base. In addition, our leased land business provides us with a typically profitable diversification. Revenue from rental operations is generally level throughout the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 Summary</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invest in real estate investment projects and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and Mineral Rights</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water resources include water rights, usage rights and pumping rights to the water in aquifers under, and canals that run through, the land we own. We believe we have adequate supplies of water for our agribusiness segments as well as our rental and real estate development activities. Water for our farming operations located in Ventura County, California is sourced from the existing water resources associated with our land, which includes approximately 8,600 acre-feet of adjudicated water rights in the Santa Paula Basin (aquifer) and the un-adjudicated Fillmore Basin (aquifer). We used ground water provided by wells that derive water from the Cadiz Valley Basin at the Cadiz Ranch in San Bernardino County, California. Our Windfall Farms property located in San Luis Obispo County, California obtains water from wells that derive water from the Paso Robles Basin (aquifer). Our Associated Citrus Packers, Inc. (“Associated”) farming operations in Yuma, Arizona source water from the Colorado River through the YMIDD, where we have access to approximately 11,700 acre feet of Class 3 Colorado River water rights. We use ground water provided by wells and surface water for our PDA and San Pablo farming operations in La Serena, Chile and our Trapani Fresh farming operations in Argentina.</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California experienced above average precipitation during the first ten months of the 2022 - 2023 rainfall season after experiencing the three driest years on record. The above average precipitation this season helped to alleviate the drought conditions in California. As of July 31, 2023, the state was free from severe drought conditions and Ventura County was free from any drought conditions. We continue to assess the impact drought conditions may have on our California orchards.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8" w:name="page29"/>
    <w:bookmarkEnd w:id="28"/>
    <w:p>
      <w:pPr>
        <w:jc w:val="both"/>
        <w:spacing w:after="0" w:line="273" w:lineRule="auto"/>
        <w:rPr>
          <w:sz w:val="20"/>
          <w:szCs w:val="20"/>
          <w:color w:val="auto"/>
        </w:rPr>
      </w:pPr>
      <w:r>
        <w:rPr>
          <w:rFonts w:ascii="Arial" w:cs="Arial" w:eastAsia="Arial" w:hAnsi="Arial"/>
          <w:sz w:val="17"/>
          <w:szCs w:val="17"/>
          <w:color w:val="auto"/>
        </w:rPr>
        <w:t>In August 2021, the U.S. Bureau of Reclamation (the “Bureau”) declared a Level 1 Shortage Condition at Lake Mead in the Lower Colorado River Basin for the first time ever, requiring shortage reductions and water savings contributions for states in the southwest. In August 2022, the Bureau announced Lake Mead to operate in a Tier 2 shortage, which further increased water restrictions. As a result, in January 2023, Arizona forfeited approximately 21% of the state's yearly allotment of water from Lake Mead. The Federal Government responded in April 2023 by proposing options for managing the Colorado River water shortage and a final decision is anticipated later this year. In response to these water shortages, we entered into fallowing agreements in fiscal years 2023 and 2022 and continue to assess the impact these reductions may have on our Arizona orchards.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10, 2022, we entered into a Purchase and Sale Agreement, as amended (the “Agreement”), with PGIM Real Estate Finance, LLC (“PGIM”) to sell 3,537 acres of land and citrus orchards in Tulare County, California (the “Northern Properties”) for an adjusted purchase price of approximately $100.0 million. The agreement became effective on January 25, 2023, when the Board of Directors approved the Agreement, binding us to sell the Northern Properties and the transaction closed on January 31, 2023. We received net cash proceeds of approximately $98.4 million and recorded a gain of approximately $40.0 million. The proceeds were used primarily to pay down debt.</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31, 2023, we entered into a Farm Management Agreement (the “FMA”) with an affiliate of PGIM to provide farming, management and operations services related to the Northern Properties. The FMA has an initial term expiring March 31, 2024, and thereafter continuing from year to year unless earlier terminated under the terms of the FMA. Further, on January 31, 2023, we entered into a Grower Packing and Marketing Agreement to provide packing, marketing and selling services for lemons harvested on the Northern Properties for a minimum five-year term, subject to certain benchmarking standards.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January 31, 2023, the Company made funding contributions of $2.6 million to fully fund and settle the plan obligations of the Limoneira Company Retirement Plan. Lump sum payments were made to a portion of the active and vested terminated participants and annuities were purchased for all remaining participants from an insurance company. There are no remaining benefit obligations or plan assets and the remaining accumulated other comprehensive loss was fully recognized.</w:t>
      </w:r>
    </w:p>
    <w:p>
      <w:pPr>
        <w:spacing w:after="0" w:line="1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30, 2022, we sold our Sevilla property, received net proceeds of $2.6 million and recorded an immaterial loss in the first quarter of fiscal year 2023.</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27, 2023, we declared a cash dividend of $0.075 per common share paid on July 14, 2023, in the aggregate amount of $1.3 million to stockholders of record as of July 11, 2023.</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18, 2023, we entered into a Confidential Settlement Agreement and Release (the “Settlement Agreement”) with Southern California Edison and Edison International to formally resolve any and all claims related to the Thomas Fire in fiscal year 2018. Under the terms of the Settlement Agreement, the Company was awarded a total settlement of $9.0 million. On May 19, 2023, the Company received approximately $6.1 million, net of legal and related costs.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2023, we determined that citrus farming operations were economically unviable on 670 acres of leased agricultural land at the Cadiz Ranch. As a result, we ceased farming operations, disposed of the related property, plant and equipment and recorded a loss on disposal of assets of $9.0 million in the second quarter of fiscal year 2023.</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2023, we engaged with YMIDD and the United States Bureau of Reclamation in a fallowing and forbearance program at our Associated ranch in Yuma, Arizona. We expect to receive approximately $1.3 million annually, paid in quarterly installments, for fallowing approximately 600 acres out of 1,300 acres of farmland through calendar year 2025.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COVID-19 pandemic has had an adverse impact on the industries and markets in which we conduct business. In particular, the United States lemon market saw a significant decline in volume, with lemon demand falling since widespread shelter in place orders were issued in March 2020, resulting in a significant market oversupply. The export market for fresh produce also significantly declined due to the COVID-19 pandemic impacts. As of July 31, 2023, the demand within both markets is recovering but has not yet returned to pre-pandemic levels.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color w:val="auto"/>
        </w:rPr>
        <w:t>The decline in demand for the Company's products beginning the second quarter of fiscal year 2020, has negatively impacted our sales and profitability for the last four fiscal years. The COVID-19 pandemic may continue to impact our sales and profitability in future periods. The duration of these trends and the magnitude of such impacts are uncertain and therefore cannot be estimated at this time, as they are influenced by a number of factors, many of which are outside management’s control, including, but not limited, to those presented in Item 1A. Risk Factors of our Annual Report on Form 10-K for the year ended October 31, 2022.</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economic uncertainty as a result of the COVID-19 pandemic over the past four fiscal years, we have taken actions to improve our current liquidity position, including strategically selling certain assets, temporarily postponing capital expenditures and substantially reducing discretionary spending.</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continued uncertainty around the breadth and duration of our business disruptions related to the COVID-19 pandemic, as well as its impact on the U.S. economy and the ongoing business operations of our customers. The ongoing impact of the COVID-19 pandemic on our results of operations, financial condition, or liquidity for fiscal year 2023 and beyond cannot be estimated at this time. The following discussions are subject to the future effects of the COVID-19 pandemic on our ongoing business operations.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64"/>
        </w:trPr>
        <w:tc>
          <w:tcPr>
            <w:tcW w:w="5700" w:type="dxa"/>
            <w:vAlign w:val="bottom"/>
          </w:tcPr>
          <w:p>
            <w:pPr>
              <w:spacing w:after="0"/>
              <w:rPr>
                <w:sz w:val="20"/>
                <w:szCs w:val="20"/>
                <w:color w:val="auto"/>
              </w:rPr>
            </w:pPr>
            <w:r>
              <w:rPr>
                <w:rFonts w:ascii="Arial" w:cs="Arial" w:eastAsia="Arial" w:hAnsi="Arial"/>
                <w:sz w:val="18"/>
                <w:szCs w:val="18"/>
                <w:color w:val="auto"/>
              </w:rPr>
              <w:t>The following table shows the results of operations (in thousands):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46"/>
        </w:trPr>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4"/>
                <w:szCs w:val="24"/>
                <w:color w:val="auto"/>
              </w:rPr>
            </w:pPr>
          </w:p>
        </w:tc>
        <w:tc>
          <w:tcPr>
            <w:tcW w:w="24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July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July 31,</w:t>
            </w:r>
          </w:p>
        </w:tc>
        <w:tc>
          <w:tcPr>
            <w:tcW w:w="960" w:type="dxa"/>
            <w:vAlign w:val="bottom"/>
            <w:tcBorders>
              <w:bottom w:val="single" w:sz="8" w:color="auto"/>
            </w:tcBorders>
          </w:tcPr>
          <w:p>
            <w:pPr>
              <w:spacing w:after="0"/>
              <w:rPr>
                <w:sz w:val="20"/>
                <w:szCs w:val="20"/>
                <w:color w:val="auto"/>
              </w:rPr>
            </w:pPr>
          </w:p>
        </w:tc>
      </w:tr>
      <w:tr>
        <w:trPr>
          <w:trHeight w:val="223"/>
        </w:trPr>
        <w:tc>
          <w:tcPr>
            <w:tcW w:w="57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Agribusiness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51,092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57,594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134,296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141,046</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operations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58,923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138,468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144,947</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Agribusiness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46,845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126,275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120,306</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Loss (gain) on disposal of assets,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legal settlement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16,756</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140,859</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Agribusiness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20,740</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Other operations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disposal of assets,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Gain on legal settlement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(16,756)</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4,088</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patronage dividends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Equity in earnings of investments,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681</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 benefit (provision)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(provision)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Limoneira Company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stock-based compensation, named executive officer cash severance, pension settlement cost, loss (gain) on disposal of assets, net, cash bonus related to the sale of assets and gain on legal settlement are important measures to evaluate our results of operations between periods on a more comparable basis. Adjusted EBITDA in previous periods did not exclude stock-based compensation which has now been excluded as management believes this is a better representation of cash generated by operations and is consistent with peer company reporting. Adjusted EBITDA for prior periods has been restated to conform to the current presentation.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1" w:name="page32"/>
    <w:bookmarkEnd w:id="31"/>
    <w:p>
      <w:pPr>
        <w:jc w:val="both"/>
        <w:spacing w:after="0" w:line="308" w:lineRule="auto"/>
        <w:rPr>
          <w:sz w:val="20"/>
          <w:szCs w:val="20"/>
          <w:color w:val="auto"/>
        </w:rPr>
      </w:pPr>
      <w:r>
        <w:rPr>
          <w:rFonts w:ascii="Arial" w:cs="Arial" w:eastAsia="Arial" w:hAnsi="Arial"/>
          <w:sz w:val="17"/>
          <w:szCs w:val="17"/>
          <w:color w:val="auto"/>
        </w:rPr>
        <w:t>EBITDA and adjusted EBITDA are summarized and reconciled to net (loss) income attributable to Limoneira Company which management considers to be the most directly comparable financial measure calculated and presented in accordance with GAAP,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4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5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July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July 31,</w:t>
            </w:r>
          </w:p>
        </w:tc>
        <w:tc>
          <w:tcPr>
            <w:tcW w:w="960" w:type="dxa"/>
            <w:vAlign w:val="bottom"/>
            <w:tcBorders>
              <w:bottom w:val="single" w:sz="8" w:color="auto"/>
            </w:tcBorders>
          </w:tcPr>
          <w:p>
            <w:pPr>
              <w:spacing w:after="0"/>
              <w:rPr>
                <w:sz w:val="20"/>
                <w:szCs w:val="20"/>
                <w:color w:val="auto"/>
              </w:rPr>
            </w:pPr>
          </w:p>
        </w:tc>
      </w:tr>
      <w:tr>
        <w:trPr>
          <w:trHeight w:val="227"/>
        </w:trPr>
        <w:tc>
          <w:tcPr>
            <w:tcW w:w="57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Limoneira Company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patronage dividends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1,385</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13,925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25,071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12,436</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Named executive officer cash severance</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settlement cost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Loss (gain) on disposal of assets,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bonus related to sale of assets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Gain on legal settlement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15,364</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480"/>
        <w:spacing w:after="0" w:line="417" w:lineRule="auto"/>
        <w:rPr>
          <w:sz w:val="20"/>
          <w:szCs w:val="20"/>
          <w:color w:val="auto"/>
        </w:rPr>
      </w:pPr>
      <w:r>
        <w:rPr>
          <w:rFonts w:ascii="Arial" w:cs="Arial" w:eastAsia="Arial" w:hAnsi="Arial"/>
          <w:sz w:val="18"/>
          <w:szCs w:val="18"/>
          <w:b w:val="1"/>
          <w:bCs w:val="1"/>
          <w:color w:val="auto"/>
        </w:rPr>
        <w:t xml:space="preserve">Three Months Ended July 31, 2023 Compared to the Three Months Ended July 31, 2022 </w:t>
      </w:r>
      <w:r>
        <w:rPr>
          <w:rFonts w:ascii="Arial" w:cs="Arial" w:eastAsia="Arial" w:hAnsi="Arial"/>
          <w:sz w:val="18"/>
          <w:szCs w:val="18"/>
          <w:b w:val="1"/>
          <w:bCs w:val="1"/>
          <w:i w:val="1"/>
          <w:iCs w:val="1"/>
          <w:color w:val="auto"/>
        </w:rPr>
        <w:t>Revenues</w:t>
      </w:r>
    </w:p>
    <w:p>
      <w:pPr>
        <w:jc w:val="both"/>
        <w:spacing w:after="0" w:line="263" w:lineRule="auto"/>
        <w:rPr>
          <w:sz w:val="20"/>
          <w:szCs w:val="20"/>
          <w:color w:val="auto"/>
        </w:rPr>
      </w:pPr>
      <w:r>
        <w:rPr>
          <w:rFonts w:ascii="Arial" w:cs="Arial" w:eastAsia="Arial" w:hAnsi="Arial"/>
          <w:sz w:val="18"/>
          <w:szCs w:val="18"/>
          <w:color w:val="auto"/>
        </w:rPr>
        <w:t>Total net revenues for the three months ended July 31, 2023 were $52.5 million, compared to $58.9 million for the three months ended July 31, 2022. The 11% decrease of $6.4 million was primarily the result of decreased avocados, oranges and lemons agribusiness revenues, partially offset by increases in farm management and specialty citrus and other agribusiness revenues, as detailed below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gridSpan w:val="8"/>
          </w:tcPr>
          <w:p>
            <w:pPr>
              <w:ind w:left="160"/>
              <w:spacing w:after="0"/>
              <w:rPr>
                <w:sz w:val="20"/>
                <w:szCs w:val="20"/>
                <w:color w:val="auto"/>
              </w:rPr>
            </w:pPr>
            <w:r>
              <w:rPr>
                <w:rFonts w:ascii="Arial" w:cs="Arial" w:eastAsia="Arial" w:hAnsi="Arial"/>
                <w:sz w:val="18"/>
                <w:szCs w:val="18"/>
                <w:b w:val="1"/>
                <w:bCs w:val="1"/>
                <w:color w:val="auto"/>
                <w:w w:val="97"/>
              </w:rPr>
              <w:t>Agribusiness Revenues for the Three Months Ended July 31,</w:t>
            </w:r>
          </w:p>
        </w:tc>
      </w:tr>
      <w:tr>
        <w:trPr>
          <w:trHeight w:val="223"/>
        </w:trPr>
        <w:tc>
          <w:tcPr>
            <w:tcW w:w="5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980" w:type="dxa"/>
            <w:vAlign w:val="bottom"/>
            <w:tcBorders>
              <w:bottom w:val="single" w:sz="8" w:color="auto"/>
            </w:tcBorders>
          </w:tcPr>
          <w:p>
            <w:pPr>
              <w:spacing w:after="0"/>
              <w:rPr>
                <w:sz w:val="19"/>
                <w:szCs w:val="19"/>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Lemons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(1,103)</w:t>
            </w:r>
          </w:p>
        </w:tc>
        <w:tc>
          <w:tcPr>
            <w:tcW w:w="98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4"/>
              </w:rPr>
              <w:t>(3)%</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Avocados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(9,116)</w:t>
            </w:r>
          </w:p>
        </w:tc>
        <w:tc>
          <w:tcPr>
            <w:tcW w:w="980" w:type="dxa"/>
            <w:vAlign w:val="bottom"/>
          </w:tcPr>
          <w:p>
            <w:pPr>
              <w:jc w:val="center"/>
              <w:ind w:right="290"/>
              <w:spacing w:after="0"/>
              <w:rPr>
                <w:sz w:val="20"/>
                <w:szCs w:val="20"/>
                <w:color w:val="auto"/>
              </w:rPr>
            </w:pPr>
            <w:r>
              <w:rPr>
                <w:rFonts w:ascii="Arial" w:cs="Arial" w:eastAsia="Arial" w:hAnsi="Arial"/>
                <w:sz w:val="18"/>
                <w:szCs w:val="18"/>
                <w:color w:val="auto"/>
                <w:w w:val="91"/>
              </w:rPr>
              <w:t>(72)%</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Oranges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(2,446)</w:t>
            </w:r>
          </w:p>
        </w:tc>
        <w:tc>
          <w:tcPr>
            <w:tcW w:w="98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1"/>
              </w:rPr>
              <w:t>(65)%</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Specialty citrus and other</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780</w:t>
            </w:r>
          </w:p>
        </w:tc>
        <w:tc>
          <w:tcPr>
            <w:tcW w:w="980" w:type="dxa"/>
            <w:vAlign w:val="bottom"/>
          </w:tcPr>
          <w:p>
            <w:pPr>
              <w:jc w:val="center"/>
              <w:ind w:right="290"/>
              <w:spacing w:after="0"/>
              <w:rPr>
                <w:sz w:val="20"/>
                <w:szCs w:val="20"/>
                <w:color w:val="auto"/>
              </w:rPr>
            </w:pPr>
            <w:r>
              <w:rPr>
                <w:rFonts w:ascii="Arial" w:cs="Arial" w:eastAsia="Arial" w:hAnsi="Arial"/>
                <w:sz w:val="18"/>
                <w:szCs w:val="18"/>
                <w:color w:val="auto"/>
                <w:w w:val="88"/>
              </w:rPr>
              <w:t>70%</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Farm management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5,383</w:t>
            </w:r>
          </w:p>
        </w:tc>
        <w:tc>
          <w:tcPr>
            <w:tcW w:w="98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3"/>
              </w:rPr>
              <w:t>—%</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Agribusiness revenues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51,092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57,594</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(6,502)</w:t>
            </w:r>
          </w:p>
        </w:tc>
        <w:tc>
          <w:tcPr>
            <w:tcW w:w="980" w:type="dxa"/>
            <w:vAlign w:val="bottom"/>
            <w:tcBorders>
              <w:top w:val="single" w:sz="8" w:color="auto"/>
              <w:bottom w:val="single" w:sz="8" w:color="auto"/>
            </w:tcBorders>
          </w:tcPr>
          <w:p>
            <w:pPr>
              <w:jc w:val="center"/>
              <w:ind w:right="290"/>
              <w:spacing w:after="0"/>
              <w:rPr>
                <w:sz w:val="20"/>
                <w:szCs w:val="20"/>
                <w:color w:val="auto"/>
              </w:rPr>
            </w:pPr>
            <w:r>
              <w:rPr>
                <w:rFonts w:ascii="Arial" w:cs="Arial" w:eastAsia="Arial" w:hAnsi="Arial"/>
                <w:sz w:val="18"/>
                <w:szCs w:val="18"/>
                <w:color w:val="auto"/>
                <w:w w:val="91"/>
              </w:rPr>
              <w:t>(11)%</w:t>
            </w: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340" w:hanging="332"/>
        <w:spacing w:after="0" w:line="275" w:lineRule="auto"/>
        <w:tabs>
          <w:tab w:leader="none" w:pos="3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Lemons: The decrease in the third quarter of fiscal year 2023, compared to the same period of fiscal year 2022, was primarily related to decreased volume and lower prices of fresh lemons sold. During the third quarter of fiscal years 2023 and 2022, fresh lemon sales were $24.2 million and $27.8 million, in aggregate, on 1,352,000 and 1,512,000 cartons of lemons sold at average per carton prices of $17.92 and $18.39, respectively. Lemon revenues in the third quarter of fiscal years 2023 and 2022 included shipping and handling of $5.5 million and $6.3 million, brokered lemons and other lemon sales of $8.8 million and $5.0 million, and lemon by-product sales of $0.6 million and $1.1 million, respectively.</w:t>
      </w:r>
    </w:p>
    <w:p>
      <w:pPr>
        <w:spacing w:after="0" w:line="41" w:lineRule="exact"/>
        <w:rPr>
          <w:rFonts w:ascii="Arial" w:cs="Arial" w:eastAsia="Arial" w:hAnsi="Arial"/>
          <w:sz w:val="17"/>
          <w:szCs w:val="17"/>
          <w:color w:val="auto"/>
        </w:rPr>
      </w:pPr>
    </w:p>
    <w:p>
      <w:pPr>
        <w:jc w:val="both"/>
        <w:ind w:left="340" w:hanging="332"/>
        <w:spacing w:after="0" w:line="275" w:lineRule="auto"/>
        <w:tabs>
          <w:tab w:leader="none" w:pos="3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Avocados: The decrease in the third quarter of fiscal year 2023, compared to the same period of fiscal year 2022, was primarily the result of decreased volume and lower prices of avocados sold, partially offset by crop insurance proceeds in fiscal year 2023. The California avocado crop typically experiences alternating years of high and low production due to plant physiology. During the third quarter of fiscal years 2023 and 2022, 2,822,000 and 5,694,000 pounds of avocados were sold at an average per pound price of $0.99 and $2.21, respectively. Avocados agribusiness revenue in the third quarter of fiscal year 2023 included $0.7 million from crop insurance proceeds.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2" w:name="page33"/>
    <w:bookmarkEnd w:id="32"/>
    <w:p>
      <w:pPr>
        <w:jc w:val="both"/>
        <w:ind w:left="340" w:hanging="332"/>
        <w:spacing w:after="0" w:line="263"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Oranges: The decrease in the third quarter of fiscal year 2023, compared to the same period of fiscal year 2022, was primarily the result of decreased volume of oranges sold due to the sale of the Northern Properties in fiscal year 2023. During the third quarter of fiscal years 2023 and 2022, we sold 71,000 and 209,000 cartons of oranges at an average per carton price of $18.17 and $17.88, respectively.</w:t>
      </w:r>
    </w:p>
    <w:p>
      <w:pPr>
        <w:spacing w:after="0" w:line="35" w:lineRule="exact"/>
        <w:rPr>
          <w:rFonts w:ascii="Arial" w:cs="Arial" w:eastAsia="Arial" w:hAnsi="Arial"/>
          <w:sz w:val="18"/>
          <w:szCs w:val="18"/>
          <w:color w:val="auto"/>
        </w:rPr>
      </w:pPr>
    </w:p>
    <w:p>
      <w:pPr>
        <w:jc w:val="both"/>
        <w:ind w:left="340" w:hanging="332"/>
        <w:spacing w:after="0" w:line="286" w:lineRule="auto"/>
        <w:tabs>
          <w:tab w:leader="none" w:pos="3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Specialty citrus and other: The increase in the third quarter of fiscal year 2023, compared to the same period of fiscal year 2022, was primarily the result of increased volume and higher prices of specialty citrus sold. During the third quarter of fiscal years 2023 and 2022, we sold 70,000 and 61,000 40-pound carton equivalents of specialty citrus at an average per carton price of $25.88 and $18.34, respectively.</w:t>
      </w:r>
    </w:p>
    <w:p>
      <w:pPr>
        <w:spacing w:after="0" w:line="30" w:lineRule="exact"/>
        <w:rPr>
          <w:rFonts w:ascii="Arial" w:cs="Arial" w:eastAsia="Arial" w:hAnsi="Arial"/>
          <w:sz w:val="17"/>
          <w:szCs w:val="17"/>
          <w:color w:val="auto"/>
        </w:rPr>
      </w:pPr>
    </w:p>
    <w:p>
      <w:pPr>
        <w:ind w:left="340" w:hanging="332"/>
        <w:spacing w:after="0" w:line="308" w:lineRule="auto"/>
        <w:tabs>
          <w:tab w:leader="none" w:pos="3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Farm management: Farm management revenues in the third quarter of fiscal year 2023 were $5.4 million, primarily related to the Northern Properties farming, management and operations services. There were no farm management revenues in the third quarter of fiscal year 2022.</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Other operations revenue in the third quarter of fiscal years 2023 and 2022 was $1.4 million and $1.3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Total costs and expenses in the third quarter of fiscal year 2023 were $54.0 million, compared to $47.9 million in the same period of fiscal year 2022. The 13% increase of $6.1 million was primarily related to increases in growing costs and packing costs, partially offset by decreases in third-party grower and supplier costs and depreciation and amortization. Agribusiness costs and expenses are detailed below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5540" w:type="dxa"/>
            <w:vAlign w:val="bottom"/>
            <w:tcBorders>
              <w:bottom w:val="single" w:sz="8" w:color="auto"/>
            </w:tcBorders>
            <w:gridSpan w:val="9"/>
          </w:tcPr>
          <w:p>
            <w:pPr>
              <w:ind w:left="60"/>
              <w:spacing w:after="0"/>
              <w:rPr>
                <w:sz w:val="20"/>
                <w:szCs w:val="20"/>
                <w:color w:val="auto"/>
              </w:rPr>
            </w:pPr>
            <w:r>
              <w:rPr>
                <w:rFonts w:ascii="Arial" w:cs="Arial" w:eastAsia="Arial" w:hAnsi="Arial"/>
                <w:sz w:val="18"/>
                <w:szCs w:val="18"/>
                <w:b w:val="1"/>
                <w:bCs w:val="1"/>
                <w:color w:val="auto"/>
                <w:w w:val="89"/>
              </w:rPr>
              <w:t>Agribusiness Costs and Expenses for the Three Months Ended July 31,</w:t>
            </w:r>
          </w:p>
        </w:tc>
      </w:tr>
      <w:tr>
        <w:trPr>
          <w:trHeight w:val="223"/>
        </w:trPr>
        <w:tc>
          <w:tcPr>
            <w:tcW w:w="5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980" w:type="dxa"/>
            <w:vAlign w:val="bottom"/>
            <w:tcBorders>
              <w:bottom w:val="single" w:sz="8" w:color="auto"/>
            </w:tcBorders>
          </w:tcPr>
          <w:p>
            <w:pPr>
              <w:spacing w:after="0"/>
              <w:rPr>
                <w:sz w:val="19"/>
                <w:szCs w:val="19"/>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Packing costs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1,317</w:t>
            </w:r>
          </w:p>
        </w:tc>
        <w:tc>
          <w:tcPr>
            <w:tcW w:w="98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88"/>
              </w:rPr>
              <w:t>11%</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Harvest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(30)</w:t>
            </w:r>
          </w:p>
        </w:tc>
        <w:tc>
          <w:tcPr>
            <w:tcW w:w="980" w:type="dxa"/>
            <w:vAlign w:val="bottom"/>
          </w:tcPr>
          <w:p>
            <w:pPr>
              <w:jc w:val="center"/>
              <w:ind w:right="290"/>
              <w:spacing w:after="0"/>
              <w:rPr>
                <w:sz w:val="20"/>
                <w:szCs w:val="20"/>
                <w:color w:val="auto"/>
              </w:rPr>
            </w:pPr>
            <w:r>
              <w:rPr>
                <w:rFonts w:ascii="Arial" w:cs="Arial" w:eastAsia="Arial" w:hAnsi="Arial"/>
                <w:sz w:val="18"/>
                <w:szCs w:val="18"/>
                <w:color w:val="auto"/>
                <w:w w:val="93"/>
              </w:rPr>
              <w:t>—%</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Growing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5,601</w:t>
            </w:r>
          </w:p>
        </w:tc>
        <w:tc>
          <w:tcPr>
            <w:tcW w:w="98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86"/>
              </w:rPr>
              <w:t>113%</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Third-party grower and supplier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(1,069)</w:t>
            </w:r>
          </w:p>
        </w:tc>
        <w:tc>
          <w:tcPr>
            <w:tcW w:w="980" w:type="dxa"/>
            <w:vAlign w:val="bottom"/>
          </w:tcPr>
          <w:p>
            <w:pPr>
              <w:jc w:val="center"/>
              <w:ind w:right="290"/>
              <w:spacing w:after="0"/>
              <w:rPr>
                <w:sz w:val="20"/>
                <w:szCs w:val="20"/>
                <w:color w:val="auto"/>
              </w:rPr>
            </w:pPr>
            <w:r>
              <w:rPr>
                <w:rFonts w:ascii="Arial" w:cs="Arial" w:eastAsia="Arial" w:hAnsi="Arial"/>
                <w:sz w:val="18"/>
                <w:szCs w:val="18"/>
                <w:color w:val="auto"/>
                <w:w w:val="94"/>
              </w:rPr>
              <w:t>(7)%</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(437)</w:t>
            </w:r>
          </w:p>
        </w:tc>
        <w:tc>
          <w:tcPr>
            <w:tcW w:w="980" w:type="dxa"/>
            <w:vAlign w:val="bottom"/>
            <w:tcBorders>
              <w:bottom w:val="single" w:sz="8" w:color="auto"/>
            </w:tcBorders>
            <w:shd w:val="clear" w:color="auto" w:fill="CCEEFF"/>
          </w:tcPr>
          <w:p>
            <w:pPr>
              <w:jc w:val="center"/>
              <w:ind w:right="290"/>
              <w:spacing w:after="0"/>
              <w:rPr>
                <w:sz w:val="20"/>
                <w:szCs w:val="20"/>
                <w:color w:val="auto"/>
              </w:rPr>
            </w:pPr>
            <w:r>
              <w:rPr>
                <w:rFonts w:ascii="Arial" w:cs="Arial" w:eastAsia="Arial" w:hAnsi="Arial"/>
                <w:sz w:val="18"/>
                <w:szCs w:val="18"/>
                <w:color w:val="auto"/>
                <w:w w:val="91"/>
              </w:rPr>
              <w:t>(20)%</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Agribusiness costs and expenses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46,845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41,463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5,382</w:t>
            </w:r>
          </w:p>
        </w:tc>
        <w:tc>
          <w:tcPr>
            <w:tcW w:w="98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8"/>
              </w:rPr>
              <w:t>13%</w:t>
            </w:r>
          </w:p>
        </w:tc>
      </w:tr>
      <w:tr>
        <w:trPr>
          <w:trHeight w:val="21"/>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55"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Packing costs: Packing costs consist primarily of the costs to pack lemons for sale such as labor and benefits, cardboard cartons, fruit treatments, packing and shipping supplies and facility operating costs. In the third quarter of fiscal years 2023 and 2022, lemon packing costs were $13.1 million and $12.0 million, respectively. During the third quarter of fiscal years 2023 and 2022, we packed and sold 1,352,000 and 1,512,000 cartons of lemons at average per carton costs of $9.72 and $7.91, respectively. The increase in per carton packing costs was primarily related to increased labor and benefit costs. Additionally, in the third quarter of fiscal years 2023 and 2022, packing costs included $0.6 million and $0.5 million of shipping costs, respectively.</w:t>
      </w:r>
    </w:p>
    <w:p>
      <w:pPr>
        <w:spacing w:after="0" w:line="43"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Harvest costs: Harvest costs in the third quarter of fiscal year 2023 were similar to the same period of fiscal year 2022.</w:t>
      </w:r>
    </w:p>
    <w:p>
      <w:pPr>
        <w:spacing w:after="0" w:line="76" w:lineRule="exact"/>
        <w:rPr>
          <w:rFonts w:ascii="Arial" w:cs="Arial" w:eastAsia="Arial" w:hAnsi="Arial"/>
          <w:sz w:val="18"/>
          <w:szCs w:val="18"/>
          <w:color w:val="auto"/>
        </w:rPr>
      </w:pPr>
    </w:p>
    <w:p>
      <w:pPr>
        <w:jc w:val="both"/>
        <w:ind w:left="340" w:hanging="332"/>
        <w:spacing w:after="0" w:line="279" w:lineRule="auto"/>
        <w:tabs>
          <w:tab w:leader="none" w:pos="3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Growing costs: Growing costs, also referred to as cultural costs, consist of orchard maintenance costs such as cultivation, fertilization and soil amendments, pest control, pruning and irrigation. The increase in the third quarter of fiscal year 2023, compared to the same period in fiscal year 2022, was primarily related to the Northern Properties farm management costs which were expensed in fiscal year 2023 and were capitalized as cultural costs in fiscal year 2022, as well as farm management decisions based on weather, harvest timing and crop conditions.</w:t>
      </w:r>
    </w:p>
    <w:p>
      <w:pPr>
        <w:spacing w:after="0" w:line="36" w:lineRule="exact"/>
        <w:rPr>
          <w:rFonts w:ascii="Arial" w:cs="Arial" w:eastAsia="Arial" w:hAnsi="Arial"/>
          <w:sz w:val="17"/>
          <w:szCs w:val="17"/>
          <w:color w:val="auto"/>
        </w:rPr>
      </w:pPr>
    </w:p>
    <w:p>
      <w:pPr>
        <w:jc w:val="both"/>
        <w:ind w:left="340" w:hanging="332"/>
        <w:spacing w:after="0" w:line="273" w:lineRule="auto"/>
        <w:tabs>
          <w:tab w:leader="none" w:pos="3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Third-party grower and supplier costs: We sell fruit that we grow and fruit that we procure from other growers and suppliers. The cost of procuring fruit from other growers and suppliers is referred to as third-party grower and supplier costs. The decrease in the third quarter of fiscal year 2023, compared to the same period of fiscal year 2022, was primarily the result of decreased volume and lower prices of third-party grower fruit sold. Of the 1,352,000 and 1,512,000 cartons of lemons packed and sold during the third quarter of fiscal years 2023 and 2022, 594,000 (44%) and 695,000 (46%), respectively, were procured from third-party growers at average per carton prices of $10.78 and $12.42. In the third quarter of fiscal years 2023 and 2022, we incurred $8.2 million and $7.0 million, respectively, of costs for purchased, packed fruit for resale.</w:t>
      </w:r>
    </w:p>
    <w:p>
      <w:pPr>
        <w:spacing w:after="0" w:line="29" w:lineRule="exact"/>
        <w:rPr>
          <w:rFonts w:ascii="Arial" w:cs="Arial" w:eastAsia="Arial" w:hAnsi="Arial"/>
          <w:sz w:val="17"/>
          <w:szCs w:val="17"/>
          <w:color w:val="auto"/>
        </w:rPr>
      </w:pPr>
    </w:p>
    <w:p>
      <w:pPr>
        <w:jc w:val="both"/>
        <w:ind w:left="340" w:hanging="332"/>
        <w:spacing w:after="0" w:line="263"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Depreciation and amortization: Depreciation and amortization expense for the third quarter of fiscal years 2023 and 2022 was $1.7 million and $2.2 million, respectively. The decrease in the third quarter of fiscal year 2023, compared to the same period of fiscal year 2022, was primarily related to the Northern Properties sale in fiscal year 2023.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Other operations expenses were $1.0 million and $1.1 million in the third quarter of fiscal years 2023 and 2022, respectively.</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Loss on disposal of assets, net was $1.5 million and $0.2 million in the third quarter of fiscal years 2023 and 2022, respectively. The increase is primarily related to the loss on disposal of assets in preparation for the Yuma, Arizona fallowing program and other orchard disposals.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costs and expenses were $4.6 million and $5.0 million in the third quarter of fiscal years 2023 and 2022,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8% decrease of $0.4 million was primarily the result of:</w:t>
      </w:r>
    </w:p>
    <w:p>
      <w:pPr>
        <w:spacing w:after="0" w:line="143"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$0.8 million net decrease in salaries, benefits and incentive compensation;</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$0.2 million decrease in selling expenses; and</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$0.6 million net increase in other selling, general and administrative expenses, primarily associated with our strategic initiatives.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other expense was $0.1 million and $0.4 million in the third quarter of fiscal years 2023 and 2022, respectively. The decrease of $0.3 million in total other expense was primarily the result of:</w:t>
      </w:r>
    </w:p>
    <w:p>
      <w:pPr>
        <w:spacing w:after="0" w:line="103"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$0.5 million decrease in interest expense as a result of decreased long-term debt; and</w:t>
      </w:r>
    </w:p>
    <w:p>
      <w:pPr>
        <w:spacing w:after="0" w:line="76"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$0.2 million increase in other expense.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recorded an estimated income tax benefit (provision) of $0.4 million and $(3.3) million in the third quarter of fiscal years 2023 and 2022 on pre-tax (loss) income of $(1.6) million and $10.6 million, respectively. The tax benefit recorded for the third quarter of fiscal year 2023 differs from the U.S. federal statutory tax rate of 21.0% due primarily to foreign jurisdictions that are taxed at different rates, state taxes, tax impact of executive compensation, and nondeductible tax items. Our projected annual effective blended tax rate for fiscal year 2023, excluding discrete items, is approximately 33.5%.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loss attributable to noncontrolling interest represents 10% and 49% of PDA and Trapani Fresh, respectively, of the net loss in the third quarter of fiscal years 2023 and 2022, respectively.</w:t>
      </w:r>
    </w:p>
    <w:p>
      <w:pPr>
        <w:spacing w:after="0" w:line="85" w:lineRule="exact"/>
        <w:rPr>
          <w:sz w:val="20"/>
          <w:szCs w:val="20"/>
          <w:color w:val="auto"/>
        </w:rPr>
      </w:pPr>
    </w:p>
    <w:p>
      <w:pPr>
        <w:ind w:right="4660"/>
        <w:spacing w:after="0" w:line="424" w:lineRule="auto"/>
        <w:rPr>
          <w:sz w:val="20"/>
          <w:szCs w:val="20"/>
          <w:color w:val="auto"/>
        </w:rPr>
      </w:pPr>
      <w:r>
        <w:rPr>
          <w:rFonts w:ascii="Arial" w:cs="Arial" w:eastAsia="Arial" w:hAnsi="Arial"/>
          <w:sz w:val="18"/>
          <w:szCs w:val="18"/>
          <w:b w:val="1"/>
          <w:bCs w:val="1"/>
          <w:color w:val="auto"/>
        </w:rPr>
        <w:t xml:space="preserve">Nine Months Ended July 31, 2023 Compared to the Nine Months Ended July 31, 2022 </w:t>
      </w:r>
      <w:r>
        <w:rPr>
          <w:rFonts w:ascii="Arial" w:cs="Arial" w:eastAsia="Arial" w:hAnsi="Arial"/>
          <w:sz w:val="18"/>
          <w:szCs w:val="18"/>
          <w:b w:val="1"/>
          <w:bCs w:val="1"/>
          <w:i w:val="1"/>
          <w:iCs w:val="1"/>
          <w:color w:val="auto"/>
        </w:rPr>
        <w:t>Revenues</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net revenues for the nine months ended July 31, 2023 were $138.5 million, compared to $144.9 million for the nine months ended July 31, 2022. The 4% decrease of $6.4 million was primarily the result of decreased avocados, oranges and lemons agribusiness revenues, partially offset by increases in farm management and specialty citrus and other agribusiness revenues, as detailed below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gridSpan w:val="8"/>
          </w:tcPr>
          <w:p>
            <w:pPr>
              <w:ind w:left="260"/>
              <w:spacing w:after="0"/>
              <w:rPr>
                <w:sz w:val="20"/>
                <w:szCs w:val="20"/>
                <w:color w:val="auto"/>
              </w:rPr>
            </w:pPr>
            <w:r>
              <w:rPr>
                <w:rFonts w:ascii="Arial" w:cs="Arial" w:eastAsia="Arial" w:hAnsi="Arial"/>
                <w:sz w:val="18"/>
                <w:szCs w:val="18"/>
                <w:b w:val="1"/>
                <w:bCs w:val="1"/>
                <w:color w:val="auto"/>
                <w:w w:val="97"/>
              </w:rPr>
              <w:t>Agribusiness Revenues for the Nine Months Ended July 31,</w:t>
            </w:r>
          </w:p>
        </w:tc>
      </w:tr>
      <w:tr>
        <w:trPr>
          <w:trHeight w:val="223"/>
        </w:trPr>
        <w:tc>
          <w:tcPr>
            <w:tcW w:w="5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980" w:type="dxa"/>
            <w:vAlign w:val="bottom"/>
            <w:tcBorders>
              <w:bottom w:val="single" w:sz="8" w:color="auto"/>
            </w:tcBorders>
          </w:tcPr>
          <w:p>
            <w:pPr>
              <w:spacing w:after="0"/>
              <w:rPr>
                <w:sz w:val="19"/>
                <w:szCs w:val="19"/>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Lemons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(1,007)</w:t>
            </w:r>
          </w:p>
        </w:tc>
        <w:tc>
          <w:tcPr>
            <w:tcW w:w="98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4"/>
              </w:rPr>
              <w:t>(1)%</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Avocados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(9,855)</w:t>
            </w:r>
          </w:p>
        </w:tc>
        <w:tc>
          <w:tcPr>
            <w:tcW w:w="980" w:type="dxa"/>
            <w:vAlign w:val="bottom"/>
          </w:tcPr>
          <w:p>
            <w:pPr>
              <w:jc w:val="center"/>
              <w:ind w:right="290"/>
              <w:spacing w:after="0"/>
              <w:rPr>
                <w:sz w:val="20"/>
                <w:szCs w:val="20"/>
                <w:color w:val="auto"/>
              </w:rPr>
            </w:pPr>
            <w:r>
              <w:rPr>
                <w:rFonts w:ascii="Arial" w:cs="Arial" w:eastAsia="Arial" w:hAnsi="Arial"/>
                <w:sz w:val="18"/>
                <w:szCs w:val="18"/>
                <w:color w:val="auto"/>
                <w:w w:val="91"/>
              </w:rPr>
              <w:t>(58)%</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Oranges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(3,401)</w:t>
            </w:r>
          </w:p>
        </w:tc>
        <w:tc>
          <w:tcPr>
            <w:tcW w:w="98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1"/>
              </w:rPr>
              <w:t>(47)%</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Specialty citrus and other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726</w:t>
            </w:r>
          </w:p>
        </w:tc>
        <w:tc>
          <w:tcPr>
            <w:tcW w:w="980" w:type="dxa"/>
            <w:vAlign w:val="bottom"/>
          </w:tcPr>
          <w:p>
            <w:pPr>
              <w:jc w:val="center"/>
              <w:ind w:right="290"/>
              <w:spacing w:after="0"/>
              <w:rPr>
                <w:sz w:val="20"/>
                <w:szCs w:val="20"/>
                <w:color w:val="auto"/>
              </w:rPr>
            </w:pPr>
            <w:r>
              <w:rPr>
                <w:rFonts w:ascii="Arial" w:cs="Arial" w:eastAsia="Arial" w:hAnsi="Arial"/>
                <w:sz w:val="18"/>
                <w:szCs w:val="18"/>
                <w:color w:val="auto"/>
                <w:w w:val="88"/>
              </w:rPr>
              <w:t>21%</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Farm management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6,787</w:t>
            </w:r>
          </w:p>
        </w:tc>
        <w:tc>
          <w:tcPr>
            <w:tcW w:w="98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3"/>
              </w:rPr>
              <w:t>—%</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Agribusiness revenues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134,296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141,046</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(6,750)</w:t>
            </w:r>
          </w:p>
        </w:tc>
        <w:tc>
          <w:tcPr>
            <w:tcW w:w="980" w:type="dxa"/>
            <w:vAlign w:val="bottom"/>
            <w:tcBorders>
              <w:top w:val="single" w:sz="8" w:color="auto"/>
              <w:bottom w:val="single" w:sz="8" w:color="auto"/>
            </w:tcBorders>
          </w:tcPr>
          <w:p>
            <w:pPr>
              <w:jc w:val="center"/>
              <w:ind w:right="290"/>
              <w:spacing w:after="0"/>
              <w:rPr>
                <w:sz w:val="20"/>
                <w:szCs w:val="20"/>
                <w:color w:val="auto"/>
              </w:rPr>
            </w:pPr>
            <w:r>
              <w:rPr>
                <w:rFonts w:ascii="Arial" w:cs="Arial" w:eastAsia="Arial" w:hAnsi="Arial"/>
                <w:sz w:val="18"/>
                <w:szCs w:val="18"/>
                <w:color w:val="auto"/>
                <w:w w:val="94"/>
              </w:rPr>
              <w:t>(5)%</w:t>
            </w: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4" w:name="page35"/>
    <w:bookmarkEnd w:id="34"/>
    <w:p>
      <w:pPr>
        <w:jc w:val="both"/>
        <w:ind w:left="340" w:hanging="332"/>
        <w:spacing w:after="0" w:line="273" w:lineRule="auto"/>
        <w:tabs>
          <w:tab w:leader="none" w:pos="3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Lemons: The decrease in the first nine months of fiscal year 2023, compared to the same period of fiscal year 2022, was primarily related to decreased volume and lower prices of fresh lemons sold. During the first nine months of fiscal years 2023 and 2022, fresh lemon sales were $75.6 million and $79.8 million, in aggregate, on 4,206,000 and 4,271,000 cartons of lemons sold at average per carton prices of $17.96 and $18.68, respectively. Lemon revenues in the first nine months of fiscal years 2023 and 2022 included shipping and handling of $17.5 million and $19.0 million, brokered lemons and other lemon sales of $14.8 million and $11.5 million, and lemon by-product sales of $3.1 million and $3.1 million, respectively, and included legal settlement proceeds of $1.4 million allocated to lemons in fiscal year 2023.</w:t>
      </w:r>
    </w:p>
    <w:p>
      <w:pPr>
        <w:spacing w:after="0" w:line="29" w:lineRule="exact"/>
        <w:rPr>
          <w:rFonts w:ascii="Arial" w:cs="Arial" w:eastAsia="Arial" w:hAnsi="Arial"/>
          <w:sz w:val="17"/>
          <w:szCs w:val="17"/>
          <w:color w:val="auto"/>
        </w:rPr>
      </w:pPr>
    </w:p>
    <w:p>
      <w:pPr>
        <w:jc w:val="both"/>
        <w:ind w:left="340" w:hanging="332"/>
        <w:spacing w:after="0" w:line="255"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Avocados: The decrease in the first nine months of fiscal year 2023, compared to the same period in fiscal year 2022, was primarily the result of decreased volume and lower prices of avocados sold, partially offset by legal settlement proceeds and crop insurance proceeds in fiscal year 2023. The California avocado crop typically experiences alternating years of high and low production due to plant physiology. During the first nine months of fiscal years 2023 and 2022, 3,763,000 and 7,936,000 pounds of avocados were sold at an average per pound price of $1.06 and $2.13, respectively. In addition, avocado revenues included legal settlement proceeds of $2.4 million allocated to avocados and crop insurance proceeds of $0.7 million in fiscal year 2023.</w:t>
      </w:r>
    </w:p>
    <w:p>
      <w:pPr>
        <w:spacing w:after="0" w:line="57"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Oranges: The decrease in the first nine months of fiscal year 2023, compared to the same period of fiscal year 2022, was primarily the result of decreased volume due to the sale of the Northern Properties in fiscal year 2023. During the first nine months of fiscal years 2023 and 2022, 223,000 and 590,000 cartons of oranges were sold at an average per carton price of $17.15 and $12.25, respectively.</w:t>
      </w:r>
    </w:p>
    <w:p>
      <w:pPr>
        <w:spacing w:after="0" w:line="35" w:lineRule="exact"/>
        <w:rPr>
          <w:rFonts w:ascii="Arial" w:cs="Arial" w:eastAsia="Arial" w:hAnsi="Arial"/>
          <w:sz w:val="18"/>
          <w:szCs w:val="18"/>
          <w:color w:val="auto"/>
        </w:rPr>
      </w:pPr>
    </w:p>
    <w:p>
      <w:pPr>
        <w:jc w:val="both"/>
        <w:ind w:left="340" w:hanging="332"/>
        <w:spacing w:after="0" w:line="311"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Specialty citrus and other: The increase in the first nine months of fiscal year 2023, compared to the same period of fiscal year 2022, was primarily the result of higher prices, partially offset by decreased volume of specialty citrus sold. During the first nine months of fiscal years 2023 and 2022, we sold 165,000 and 366,000 40-pound carton equivalents of specialty citrus at an average per carton price of $24.70 and $9.26, respectively.</w:t>
      </w:r>
    </w:p>
    <w:p>
      <w:pPr>
        <w:ind w:left="340" w:hanging="332"/>
        <w:spacing w:after="0" w:line="342"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Farm management: Farm management revenues in the first nine months of fiscal year 2023 were $6.8 million, primarily related to the Northern Properties farming, management and operations services. There were no farm management revenues in the first nine months of fiscal year 2022.</w:t>
      </w:r>
    </w:p>
    <w:p>
      <w:pPr>
        <w:spacing w:after="0" w:line="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operations revenue in the first nine months of fiscal years 2023 and 2022 was $4.2 million and $3.9 million, respectively. The increase in the first nine months of fiscal year 2023, compared to the same period of fiscal year 2022, was primarily related to an increase in leased land revenue.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costs and expenses in the first nine months of fiscal year 2023 were $118.0 million, compared to $140.9 million in the same period of fiscal year 2022. The 16% decrease of $22.9 million was primarily the result of increased gain on disposal of assets, primarily related to the Northern Properties sale partially offset by the loss on disposal of Cadiz Ranch assets, and increased agribusiness costs and expenses. Agribusiness costs and expenses are detailed below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5540" w:type="dxa"/>
            <w:vAlign w:val="bottom"/>
            <w:tcBorders>
              <w:bottom w:val="single" w:sz="8" w:color="auto"/>
            </w:tcBorders>
            <w:gridSpan w:val="9"/>
          </w:tcPr>
          <w:p>
            <w:pPr>
              <w:ind w:left="100"/>
              <w:spacing w:after="0"/>
              <w:rPr>
                <w:sz w:val="20"/>
                <w:szCs w:val="20"/>
                <w:color w:val="auto"/>
              </w:rPr>
            </w:pPr>
            <w:r>
              <w:rPr>
                <w:rFonts w:ascii="Arial" w:cs="Arial" w:eastAsia="Arial" w:hAnsi="Arial"/>
                <w:sz w:val="18"/>
                <w:szCs w:val="18"/>
                <w:b w:val="1"/>
                <w:bCs w:val="1"/>
                <w:color w:val="auto"/>
                <w:w w:val="90"/>
              </w:rPr>
              <w:t>Agribusiness Costs and Expenses for the Nine Months Ended July 31,</w:t>
            </w:r>
          </w:p>
        </w:tc>
      </w:tr>
      <w:tr>
        <w:trPr>
          <w:trHeight w:val="223"/>
        </w:trPr>
        <w:tc>
          <w:tcPr>
            <w:tcW w:w="5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980" w:type="dxa"/>
            <w:vAlign w:val="bottom"/>
            <w:tcBorders>
              <w:bottom w:val="single" w:sz="8" w:color="auto"/>
            </w:tcBorders>
          </w:tcPr>
          <w:p>
            <w:pPr>
              <w:spacing w:after="0"/>
              <w:rPr>
                <w:sz w:val="19"/>
                <w:szCs w:val="19"/>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Packing costs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2,932</w:t>
            </w:r>
          </w:p>
        </w:tc>
        <w:tc>
          <w:tcPr>
            <w:tcW w:w="98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2"/>
              </w:rPr>
              <w:t>8%</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Harvest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(457)</w:t>
            </w:r>
          </w:p>
        </w:tc>
        <w:tc>
          <w:tcPr>
            <w:tcW w:w="980" w:type="dxa"/>
            <w:vAlign w:val="bottom"/>
          </w:tcPr>
          <w:p>
            <w:pPr>
              <w:jc w:val="center"/>
              <w:ind w:right="290"/>
              <w:spacing w:after="0"/>
              <w:rPr>
                <w:sz w:val="20"/>
                <w:szCs w:val="20"/>
                <w:color w:val="auto"/>
              </w:rPr>
            </w:pPr>
            <w:r>
              <w:rPr>
                <w:rFonts w:ascii="Arial" w:cs="Arial" w:eastAsia="Arial" w:hAnsi="Arial"/>
                <w:sz w:val="18"/>
                <w:szCs w:val="18"/>
                <w:color w:val="auto"/>
                <w:w w:val="94"/>
              </w:rPr>
              <w:t>(3)%</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Growing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2,946</w:t>
            </w:r>
          </w:p>
        </w:tc>
        <w:tc>
          <w:tcPr>
            <w:tcW w:w="98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88"/>
              </w:rPr>
              <w:t>14%</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Third-party grower and supplier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1,482</w:t>
            </w:r>
          </w:p>
        </w:tc>
        <w:tc>
          <w:tcPr>
            <w:tcW w:w="980" w:type="dxa"/>
            <w:vAlign w:val="bottom"/>
          </w:tcPr>
          <w:p>
            <w:pPr>
              <w:jc w:val="center"/>
              <w:ind w:right="290"/>
              <w:spacing w:after="0"/>
              <w:rPr>
                <w:sz w:val="20"/>
                <w:szCs w:val="20"/>
                <w:color w:val="auto"/>
              </w:rPr>
            </w:pPr>
            <w:r>
              <w:rPr>
                <w:rFonts w:ascii="Arial" w:cs="Arial" w:eastAsia="Arial" w:hAnsi="Arial"/>
                <w:sz w:val="18"/>
                <w:szCs w:val="18"/>
                <w:color w:val="auto"/>
                <w:w w:val="92"/>
              </w:rPr>
              <w:t>4%</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(934)</w:t>
            </w:r>
          </w:p>
        </w:tc>
        <w:tc>
          <w:tcPr>
            <w:tcW w:w="980" w:type="dxa"/>
            <w:vAlign w:val="bottom"/>
            <w:tcBorders>
              <w:bottom w:val="single" w:sz="8" w:color="auto"/>
            </w:tcBorders>
            <w:shd w:val="clear" w:color="auto" w:fill="CCEEFF"/>
          </w:tcPr>
          <w:p>
            <w:pPr>
              <w:jc w:val="center"/>
              <w:ind w:right="290"/>
              <w:spacing w:after="0"/>
              <w:rPr>
                <w:sz w:val="20"/>
                <w:szCs w:val="20"/>
                <w:color w:val="auto"/>
              </w:rPr>
            </w:pPr>
            <w:r>
              <w:rPr>
                <w:rFonts w:ascii="Arial" w:cs="Arial" w:eastAsia="Arial" w:hAnsi="Arial"/>
                <w:sz w:val="18"/>
                <w:szCs w:val="18"/>
                <w:color w:val="auto"/>
                <w:w w:val="91"/>
              </w:rPr>
              <w:t>(14)%</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Agribusiness costs and expenses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120,306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5,969</w:t>
            </w:r>
          </w:p>
        </w:tc>
        <w:tc>
          <w:tcPr>
            <w:tcW w:w="98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92"/>
              </w:rPr>
              <w:t>5%</w:t>
            </w: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340" w:hanging="332"/>
        <w:spacing w:after="0" w:line="255" w:lineRule="auto"/>
        <w:tabs>
          <w:tab w:leader="none" w:pos="335"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Packing costs: Packing costs consist primarily of the costs to pack lemons for sale such as labor and benefits, cardboard cartons, fruit treatments, packing and shipping supplies and facility operating costs. In the first nine months of fiscal years 2023 and 2022, lemon packing costs were $36.6 million and $34.2 million, respectively. During the first nine months of fiscal years 2023 and 2022, we packed and sold 4,206,000 and 4,271,000 cartons of lemons at average per carton costs of $8.69 and $8.00, respectively. The increase in per carton packing costs was primarily related to increased labor and benefit costs. Additionally, in the first nine months of fiscal years 2023 and 2022, packing costs included $2.4 million and $1.8 million of shipping costs, respectively.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5" w:name="page36"/>
    <w:bookmarkEnd w:id="35"/>
    <w:p>
      <w:pPr>
        <w:ind w:left="340" w:hanging="332"/>
        <w:spacing w:after="0" w:line="325" w:lineRule="auto"/>
        <w:tabs>
          <w:tab w:leader="none" w:pos="335" w:val="left"/>
        </w:tabs>
        <w:numPr>
          <w:ilvl w:val="0"/>
          <w:numId w:val="18"/>
        </w:numPr>
        <w:rPr>
          <w:rFonts w:ascii="Arial" w:cs="Arial" w:eastAsia="Arial" w:hAnsi="Arial"/>
          <w:sz w:val="16"/>
          <w:szCs w:val="16"/>
          <w:i w:val="1"/>
          <w:iCs w:val="1"/>
          <w:color w:val="auto"/>
        </w:rPr>
      </w:pPr>
      <w:r>
        <w:rPr>
          <w:rFonts w:ascii="Arial" w:cs="Arial" w:eastAsia="Arial" w:hAnsi="Arial"/>
          <w:sz w:val="16"/>
          <w:szCs w:val="16"/>
          <w:color w:val="auto"/>
        </w:rPr>
        <w:t>Harvest costs: The decrease in harvest costs in the first nine months of fiscal year 2023, compared to the same period in fiscal year 2022, was primarily the result of decreased volume of avocados, oranges and specialty citrus harvested, partially offset by increased volume of lemons harvested.</w:t>
      </w:r>
    </w:p>
    <w:p>
      <w:pPr>
        <w:spacing w:after="0" w:line="1" w:lineRule="exact"/>
        <w:rPr>
          <w:rFonts w:ascii="Arial" w:cs="Arial" w:eastAsia="Arial" w:hAnsi="Arial"/>
          <w:sz w:val="16"/>
          <w:szCs w:val="16"/>
          <w:i w:val="1"/>
          <w:iCs w:val="1"/>
          <w:color w:val="auto"/>
        </w:rPr>
      </w:pPr>
    </w:p>
    <w:p>
      <w:pPr>
        <w:jc w:val="both"/>
        <w:ind w:left="340" w:hanging="332"/>
        <w:spacing w:after="0" w:line="279" w:lineRule="auto"/>
        <w:tabs>
          <w:tab w:leader="none" w:pos="335" w:val="left"/>
        </w:tabs>
        <w:numPr>
          <w:ilvl w:val="0"/>
          <w:numId w:val="18"/>
        </w:numPr>
        <w:rPr>
          <w:rFonts w:ascii="Arial" w:cs="Arial" w:eastAsia="Arial" w:hAnsi="Arial"/>
          <w:sz w:val="17"/>
          <w:szCs w:val="17"/>
          <w:i w:val="1"/>
          <w:iCs w:val="1"/>
          <w:color w:val="auto"/>
        </w:rPr>
      </w:pPr>
      <w:r>
        <w:rPr>
          <w:rFonts w:ascii="Arial" w:cs="Arial" w:eastAsia="Arial" w:hAnsi="Arial"/>
          <w:sz w:val="17"/>
          <w:szCs w:val="17"/>
          <w:color w:val="auto"/>
        </w:rPr>
        <w:t>Growing costs: Growing costs, also referred to as cultural costs, consist of orchard maintenance costs such as cultivation, fertilization and soil amendments, pest control, pruning and irrigation. The increase in the first nine months of fiscal year 2023, compared to the same period in fiscal year 2022, was primarily related to the Northern Properties farm management costs which were expensed in fiscal year 2023 and were capitalized as cultural costs in fiscal year 2022, as well as farm management decisions based on weather, harvest timing and crop conditions.</w:t>
      </w:r>
    </w:p>
    <w:p>
      <w:pPr>
        <w:spacing w:after="0" w:line="36" w:lineRule="exact"/>
        <w:rPr>
          <w:rFonts w:ascii="Arial" w:cs="Arial" w:eastAsia="Arial" w:hAnsi="Arial"/>
          <w:sz w:val="17"/>
          <w:szCs w:val="17"/>
          <w:i w:val="1"/>
          <w:iCs w:val="1"/>
          <w:color w:val="auto"/>
        </w:rPr>
      </w:pPr>
    </w:p>
    <w:p>
      <w:pPr>
        <w:jc w:val="both"/>
        <w:ind w:left="340" w:hanging="332"/>
        <w:spacing w:after="0" w:line="254" w:lineRule="auto"/>
        <w:tabs>
          <w:tab w:leader="none" w:pos="335"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Third-party grower and supplier costs: We sell fruit that we grow and fruit that we procure from other growers and suppliers. The cost of procuring fruit from other growers and suppliers is referred to as third-party grower and supplier costs. The increase in the first nine months of fiscal year 2023, compared to the same period of fiscal year 2022, was primarily the result of increased volume, partially offset by lower prices of third-party grower fruit sold. Of the 4,206,000 and 4,271,000 cartons of lemons packed and sold during the first nine months of fiscal years 2023 and 2022, 2,224,000 (53%) and 2,183,000 (51%), respectively, were procured from third-party growers at average per carton prices of $12.11 and $12.81. Additionally, in the first nine months of fiscal years 2023 and 2022, we incurred $14.0 million and $11.5 million, respectively, of costs for purchased, packed fruit for resale.</w:t>
      </w:r>
    </w:p>
    <w:p>
      <w:pPr>
        <w:spacing w:after="0" w:line="46" w:lineRule="exact"/>
        <w:rPr>
          <w:rFonts w:ascii="Arial" w:cs="Arial" w:eastAsia="Arial" w:hAnsi="Arial"/>
          <w:sz w:val="18"/>
          <w:szCs w:val="18"/>
          <w:i w:val="1"/>
          <w:iCs w:val="1"/>
          <w:color w:val="auto"/>
        </w:rPr>
      </w:pPr>
    </w:p>
    <w:p>
      <w:pPr>
        <w:jc w:val="both"/>
        <w:ind w:left="340" w:hanging="332"/>
        <w:spacing w:after="0" w:line="263" w:lineRule="auto"/>
        <w:tabs>
          <w:tab w:leader="none" w:pos="335"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color w:val="auto"/>
        </w:rPr>
        <w:t>Depreciation and amortization: Depreciation and amortization expense for the first nine months of fiscal years 2023 and 2022 was $5.6 million and $6.5 million, respectively. The decrease in the first nine months of fiscal year 2023, compared to the same period of fiscal year 2022, was primarily related to the Northern Properties sale in fiscal year 2023.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Other operations expenses were $3.3 million in the first nine months of fiscal years 2023 and 2022.</w:t>
      </w:r>
    </w:p>
    <w:p>
      <w:pPr>
        <w:spacing w:after="0" w:line="14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(Gain) loss on disposal of assets, net was $(29.2) million and $0.5 million in the first nine months of fiscal years 2023 and 2022, respectively. The change is primarily related to the gain on the sale of the Northern Properties, partially offset by the loss on disposal of Cadiz Ranch assets in fiscal year 2023.</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Gain on legal settlement was $2.3 million in the first nine months of fiscal year 2023 due to the Settlement Agreement related to the Thomas fire.</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Selling, general and administrative costs and expenses were $19.9 million and $16.8 million in the first nine months of fiscal years 2023 and 2022, respectively. The 19% increase of $3.2 million was primarily the result of:</w:t>
      </w:r>
    </w:p>
    <w:p>
      <w:pPr>
        <w:spacing w:after="0" w:line="89"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$1.8 million net increase in salaries, benefits and incentive compensation;</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$0.2 million increase in selling expenses; and</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$1.2 million net increase in other selling, general and administrative expenses, primarily associated with our strategic initiatives.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other expense was $2.3 million and $0.4 million in the first nine months of fiscal years 2023 and 2022, respectively. The increase of $1.9 million in total other expense was primarily the result of:</w:t>
      </w:r>
    </w:p>
    <w:p>
      <w:pPr>
        <w:spacing w:after="0" w:line="103"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color w:val="auto"/>
        </w:rPr>
        <w:t>$0.8 million decrease of interest expense as a result of decreased long-term debt; and</w:t>
      </w:r>
    </w:p>
    <w:p>
      <w:pPr>
        <w:spacing w:after="0" w:line="76"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color w:val="auto"/>
        </w:rPr>
        <w:t>$2.7 million increase of other expense; primarily as a result of pension settlement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recorded an estimated income tax provision of $5.5 million and $1.4 million in the first nine months of fiscal years 2023 and 2022 on pre-tax income of $18.2 million and $3.7 million, respectively. The tax provision recorded for the first nine months of fiscal year 2023 differs from the U.S. federal statutory tax rate of 21.0% due primarily to foreign jurisdictions which are taxed at different rates, state taxes, tax impact of executive compensation, and nondeductible tax items. Our projected annual effective blended tax rate for fiscal year 2023, excluding discrete items, is approximately 33.5%.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loss attributable to noncontrolling interest represents 10% and 49% of PDA and Trapani Fresh, respectively, of the net loss in the first nine months of fiscal years 2023 and 2022.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19 - Segment Information for additional information regarding our operating segments.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July 31, 2023, Compared to the Three Months Ended July 31,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July 31, 2023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21"/>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820" w:type="dxa"/>
            <w:vAlign w:val="bottom"/>
          </w:tcPr>
          <w:p>
            <w:pPr>
              <w:jc w:val="right"/>
              <w:ind w:right="181"/>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8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2"/>
              </w:rPr>
              <w:t>Avocados</w:t>
            </w:r>
          </w:p>
        </w:tc>
        <w:tc>
          <w:tcPr>
            <w:tcW w:w="140" w:type="dxa"/>
            <w:vAlign w:val="bottom"/>
          </w:tcPr>
          <w:p>
            <w:pPr>
              <w:spacing w:after="0"/>
              <w:rPr>
                <w:sz w:val="14"/>
                <w:szCs w:val="14"/>
                <w:color w:val="auto"/>
              </w:rPr>
            </w:pPr>
          </w:p>
        </w:tc>
        <w:tc>
          <w:tcPr>
            <w:tcW w:w="960" w:type="dxa"/>
            <w:vAlign w:val="bottom"/>
          </w:tcPr>
          <w:p>
            <w:pPr>
              <w:jc w:val="right"/>
              <w:ind w:right="261"/>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60" w:type="dxa"/>
            <w:vAlign w:val="bottom"/>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w w:val="98"/>
              </w:rPr>
              <w:t>Corporate</w:t>
            </w:r>
          </w:p>
        </w:tc>
        <w:tc>
          <w:tcPr>
            <w:tcW w:w="240" w:type="dxa"/>
            <w:vAlign w:val="bottom"/>
          </w:tcPr>
          <w:p>
            <w:pPr>
              <w:spacing w:after="0"/>
              <w:rPr>
                <w:sz w:val="14"/>
                <w:szCs w:val="14"/>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Lemons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Packing</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2"/>
              </w:rPr>
              <w:t>Agribusiness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0"/>
              </w:rPr>
              <w:t>Agribusiness</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9"/>
              </w:rPr>
              <w:t>and Other</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33,585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51,092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52,497</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9,684</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(9,684)</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33,585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51,092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52,497</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30,758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13,140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(9,684)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3,030</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7,866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45,110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6,917</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52,027</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Operating (loss)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(5,796)</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July 31, 2022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21"/>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820" w:type="dxa"/>
            <w:vAlign w:val="bottom"/>
          </w:tcPr>
          <w:p>
            <w:pPr>
              <w:jc w:val="right"/>
              <w:ind w:right="181"/>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8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2"/>
              </w:rPr>
              <w:t>Avocados</w:t>
            </w:r>
          </w:p>
        </w:tc>
        <w:tc>
          <w:tcPr>
            <w:tcW w:w="140" w:type="dxa"/>
            <w:vAlign w:val="bottom"/>
          </w:tcPr>
          <w:p>
            <w:pPr>
              <w:spacing w:after="0"/>
              <w:rPr>
                <w:sz w:val="14"/>
                <w:szCs w:val="14"/>
                <w:color w:val="auto"/>
              </w:rPr>
            </w:pPr>
          </w:p>
        </w:tc>
        <w:tc>
          <w:tcPr>
            <w:tcW w:w="960" w:type="dxa"/>
            <w:vAlign w:val="bottom"/>
          </w:tcPr>
          <w:p>
            <w:pPr>
              <w:jc w:val="right"/>
              <w:ind w:right="261"/>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60" w:type="dxa"/>
            <w:vAlign w:val="bottom"/>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w w:val="98"/>
              </w:rPr>
              <w:t>Corporate</w:t>
            </w:r>
          </w:p>
        </w:tc>
        <w:tc>
          <w:tcPr>
            <w:tcW w:w="240" w:type="dxa"/>
            <w:vAlign w:val="bottom"/>
          </w:tcPr>
          <w:p>
            <w:pPr>
              <w:spacing w:after="0"/>
              <w:rPr>
                <w:sz w:val="14"/>
                <w:szCs w:val="14"/>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Lemons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Packing</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2"/>
              </w:rPr>
              <w:t>Agribusiness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0"/>
              </w:rPr>
              <w:t>Agribusiness</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9"/>
              </w:rPr>
              <w:t>and Other</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57,594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58,923</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9,696</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(9,696)</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57,594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58,923</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32,600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11,953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(9,696)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3,154</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39,291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6,103</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45,394</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2,469</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(5,071)</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3740"/>
        <w:spacing w:after="0" w:line="414" w:lineRule="auto"/>
        <w:rPr>
          <w:sz w:val="20"/>
          <w:szCs w:val="20"/>
          <w:color w:val="auto"/>
        </w:rPr>
      </w:pPr>
      <w:r>
        <w:rPr>
          <w:rFonts w:ascii="Arial" w:cs="Arial" w:eastAsia="Arial" w:hAnsi="Arial"/>
          <w:sz w:val="18"/>
          <w:szCs w:val="18"/>
          <w:i w:val="1"/>
          <w:iCs w:val="1"/>
          <w:color w:val="auto"/>
        </w:rPr>
        <w:t xml:space="preserve">The following analysis should be read in conjunction with the previous section “Results of Operations.” </w:t>
      </w:r>
      <w:r>
        <w:rPr>
          <w:rFonts w:ascii="Arial" w:cs="Arial" w:eastAsia="Arial" w:hAnsi="Arial"/>
          <w:sz w:val="18"/>
          <w:szCs w:val="18"/>
          <w:b w:val="1"/>
          <w:bCs w:val="1"/>
          <w:i w:val="1"/>
          <w:iCs w:val="1"/>
          <w:color w:val="auto"/>
        </w:rPr>
        <w:t>Fresh Lemons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Fresh lemons segment revenue is comprised of sales of fresh lemons, lemon by-products, brokered lemons and other lemon revenue. For the third quarter of fiscal years 2023 and 2022, our fresh lemons segment total net revenues were $33.6 million and $33.8 million, respectively. The 1% decrease of $0.2 million was primarily the result of:</w:t>
      </w:r>
    </w:p>
    <w:p>
      <w:pPr>
        <w:spacing w:after="0" w:line="116"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Fresh lemon sales decreased $3.6 million;</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Lemon by-products sales decreased $0.5 million; and</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Brokered lemons and other lemon sales increased $3.8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Costs and expenses associated with our fresh lemons segment include growing costs, harvest costs, cost of lemons we procure from third-party growers and suppliers, transportation costs and packing service charges incurred from the lemon packing segment to pack lemons for sale. For the third quarter of fiscal years 2023 and 2022, our fresh lemons segment costs and expenses were $30.8 million and $32.6 million, respectively. The 6% decrease of $1.8 million was primarily the result of:</w:t>
      </w:r>
    </w:p>
    <w:p>
      <w:pPr>
        <w:spacing w:after="0" w:line="119"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Harvest costs increased $1.0 million;</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Growing costs increased $0.6 million;</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grower and supplier costs decreased $3.5 million; and</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Transportation costs increased $0.1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Lemon Packing</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Lemon packing segment revenue is comprised of packing revenue, intersegment packing revenue and shipping and handling revenue. For the third quarter of fiscal years 2023 and 2022, our lemon packing segment total net revenues were $15.2 million and $16.0 million, respectively. The 5% decrease of $0.8 million was primarily the result of decreased volume of lemons packed.</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Costs and expenses associated with our lemon packing segment consist of the costs to pack lemons for sale such as labor and benefits, cardboard cartons, fruit treatments, packing and shipping supplies and facility operating costs. For the third quarter of fiscal years 2023 and 2022, our lemon packing costs and expenses were $13.1 million and $12.0 million, respectively. The 10% increase of $1.1 million was primarily the result of increased labor and benefit costs.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For the third quarter of fiscal years 2023 and 2022, lemon packing segment operating income per carton sold was $1.49 and $2.70, respectively.</w:t>
      </w:r>
    </w:p>
    <w:p>
      <w:pPr>
        <w:spacing w:after="0" w:line="1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third quarter of fiscal years 2023 and 2022, the lemon packing segment included $9.7 million of intersegment revenues that were charged to the fresh lemons segment to pack lemons for sale. Such intersegment revenues and expenses are eliminated in our consolidated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Avocados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of fiscal years 2023 and 2022, our avocados segment had revenues of $3.5 million and $12.6 million, respectively.</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Costs and expenses associated with our avocados segment include growing and harvest costs. For the third quarter of fiscal years 2023 and 2022, our avocados segment costs and expenses were $3.0 million and $3.2 million, respectively. The decrease of $0.2 million primarily consists of the following:</w:t>
      </w:r>
    </w:p>
    <w:p>
      <w:pPr>
        <w:spacing w:after="0" w:line="56"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color w:val="auto"/>
        </w:rPr>
        <w:t>Harvest costs decreased $0.7 million; and</w:t>
      </w:r>
    </w:p>
    <w:p>
      <w:pPr>
        <w:spacing w:after="0" w:line="76"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color w:val="auto"/>
        </w:rPr>
        <w:t>Growing costs increased $0.5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Agribusiness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For the third quarter of fiscal years 2023 and 2022, our other agribusiness segment total net revenues were $8.6 million and $4.9 million, respectively.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77% increase of $3.7 million was primarily the result of:</w:t>
      </w:r>
    </w:p>
    <w:p>
      <w:pPr>
        <w:spacing w:after="0" w:line="143"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Orange revenues decreased $2.4 million;</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Specialty citrus and other revenues increased $0.8 million; and</w:t>
      </w:r>
    </w:p>
    <w:p>
      <w:pPr>
        <w:spacing w:after="0" w:line="90"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Farm management revenues for the third quarter of fiscal year 2023 were $5.4 million. There were no farm management revenues in the third quarter of fiscal year 2022.</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other agribusiness segment include growing costs, harvest costs and purchased fruit costs. For the third quarter of fiscal years 2023 and 2022, our other agribusiness costs and expenses were $7.9 million and $1.3 million, respectively. The 515% increase of $6.6 million was primarily the result of:</w:t>
      </w:r>
    </w:p>
    <w:p>
      <w:pPr>
        <w:spacing w:after="0" w:line="116"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Harvest costs decreased $0.4 million;</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Growing costs increased $4.5 million; and</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Purchased fruit costs increased $2.5 million.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8" w:name="page39"/>
    <w:bookmarkEnd w:id="38"/>
    <w:p>
      <w:pPr>
        <w:jc w:val="both"/>
        <w:ind w:right="20"/>
        <w:spacing w:after="0" w:line="277" w:lineRule="auto"/>
        <w:rPr>
          <w:sz w:val="20"/>
          <w:szCs w:val="20"/>
          <w:color w:val="auto"/>
        </w:rPr>
      </w:pPr>
      <w:r>
        <w:rPr>
          <w:rFonts w:ascii="Arial" w:cs="Arial" w:eastAsia="Arial" w:hAnsi="Arial"/>
          <w:sz w:val="18"/>
          <w:szCs w:val="18"/>
          <w:color w:val="auto"/>
        </w:rPr>
        <w:t>Total agribusiness depreciation and amortization expenses for the third quarter of fiscal years 2023 and 2022 were $1.7 million and $2.2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Our corporate and other operations had revenues of $1.4 million and $1.3 million for the third quarter of fiscal years 2023 and 2022, respectively.</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in our corporate and other operations for the third quarter of fiscal years 2023 and 2022 were approximately $6.9 million and $6.1 million, respectively, and include selling, general and administrative costs and expenses and loss on disposal of assets, net. Depreciation and amortization expenses for the third quarter of fiscal years 2023 and 2022 were similar at $0.3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July 31, 2023, Compared to the Nine Months Ended July 31, 2022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nine months ended July 31, 2023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21"/>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820" w:type="dxa"/>
            <w:vAlign w:val="bottom"/>
          </w:tcPr>
          <w:p>
            <w:pPr>
              <w:jc w:val="right"/>
              <w:ind w:right="181"/>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8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2"/>
              </w:rPr>
              <w:t>Avocados</w:t>
            </w:r>
          </w:p>
        </w:tc>
        <w:tc>
          <w:tcPr>
            <w:tcW w:w="140" w:type="dxa"/>
            <w:vAlign w:val="bottom"/>
          </w:tcPr>
          <w:p>
            <w:pPr>
              <w:spacing w:after="0"/>
              <w:rPr>
                <w:sz w:val="14"/>
                <w:szCs w:val="14"/>
                <w:color w:val="auto"/>
              </w:rPr>
            </w:pPr>
          </w:p>
        </w:tc>
        <w:tc>
          <w:tcPr>
            <w:tcW w:w="960" w:type="dxa"/>
            <w:vAlign w:val="bottom"/>
          </w:tcPr>
          <w:p>
            <w:pPr>
              <w:jc w:val="right"/>
              <w:ind w:right="261"/>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60" w:type="dxa"/>
            <w:vAlign w:val="bottom"/>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w w:val="98"/>
              </w:rPr>
              <w:t>Corporate</w:t>
            </w:r>
          </w:p>
        </w:tc>
        <w:tc>
          <w:tcPr>
            <w:tcW w:w="240" w:type="dxa"/>
            <w:vAlign w:val="bottom"/>
          </w:tcPr>
          <w:p>
            <w:pPr>
              <w:spacing w:after="0"/>
              <w:rPr>
                <w:sz w:val="14"/>
                <w:szCs w:val="14"/>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Lemons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Packing</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2"/>
              </w:rPr>
              <w:t>Agribusiness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0"/>
              </w:rPr>
              <w:t>Agribusiness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9"/>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94,913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134,296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4,172</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138,468</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27,356</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(27,356)</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94,913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44,899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(27,356)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134,296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138,468</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Costs and expenses (gain)</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94,035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36,568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(27,356)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4,053</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13,365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120,665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(9,180)</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111,485</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5,610</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6,510</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12,452</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20,473</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nine months ended July 31, 2022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21"/>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820" w:type="dxa"/>
            <w:vAlign w:val="bottom"/>
          </w:tcPr>
          <w:p>
            <w:pPr>
              <w:jc w:val="right"/>
              <w:ind w:right="181"/>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8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2"/>
              </w:rPr>
              <w:t>Avocados</w:t>
            </w:r>
          </w:p>
        </w:tc>
        <w:tc>
          <w:tcPr>
            <w:tcW w:w="140" w:type="dxa"/>
            <w:vAlign w:val="bottom"/>
          </w:tcPr>
          <w:p>
            <w:pPr>
              <w:spacing w:after="0"/>
              <w:rPr>
                <w:sz w:val="14"/>
                <w:szCs w:val="14"/>
                <w:color w:val="auto"/>
              </w:rPr>
            </w:pPr>
          </w:p>
        </w:tc>
        <w:tc>
          <w:tcPr>
            <w:tcW w:w="960" w:type="dxa"/>
            <w:vAlign w:val="bottom"/>
          </w:tcPr>
          <w:p>
            <w:pPr>
              <w:jc w:val="right"/>
              <w:ind w:right="261"/>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60" w:type="dxa"/>
            <w:vAlign w:val="bottom"/>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w w:val="98"/>
              </w:rPr>
              <w:t>Corporate</w:t>
            </w:r>
          </w:p>
        </w:tc>
        <w:tc>
          <w:tcPr>
            <w:tcW w:w="240" w:type="dxa"/>
            <w:vAlign w:val="bottom"/>
          </w:tcPr>
          <w:p>
            <w:pPr>
              <w:spacing w:after="0"/>
              <w:rPr>
                <w:sz w:val="14"/>
                <w:szCs w:val="14"/>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Lemons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Packing</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2"/>
              </w:rPr>
              <w:t>Agribusiness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0"/>
              </w:rPr>
              <w:t>Agribusiness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9"/>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94,415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141,046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144,947</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25,658</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(25,658)</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94,415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44,706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141,046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144,947</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91,983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34,171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(25,658)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5,548</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7,718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113,762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19,665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133,427</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6,544</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7,432</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(16,652)</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4,088</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3740"/>
        <w:spacing w:after="0" w:line="422" w:lineRule="auto"/>
        <w:rPr>
          <w:sz w:val="20"/>
          <w:szCs w:val="20"/>
          <w:color w:val="auto"/>
        </w:rPr>
      </w:pPr>
      <w:r>
        <w:rPr>
          <w:rFonts w:ascii="Arial" w:cs="Arial" w:eastAsia="Arial" w:hAnsi="Arial"/>
          <w:sz w:val="18"/>
          <w:szCs w:val="18"/>
          <w:i w:val="1"/>
          <w:iCs w:val="1"/>
          <w:color w:val="auto"/>
        </w:rPr>
        <w:t xml:space="preserve">The following analysis should be read in conjunction with the previous section “Results of Operations.” </w:t>
      </w:r>
      <w:r>
        <w:rPr>
          <w:rFonts w:ascii="Arial" w:cs="Arial" w:eastAsia="Arial" w:hAnsi="Arial"/>
          <w:sz w:val="18"/>
          <w:szCs w:val="18"/>
          <w:b w:val="1"/>
          <w:bCs w:val="1"/>
          <w:i w:val="1"/>
          <w:iCs w:val="1"/>
          <w:color w:val="auto"/>
        </w:rPr>
        <w:t>Fresh Lemons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Fresh lemons segment revenue is comprised of sales of fresh lemons, lemon by-products, brokered lemons and other lemon revenue. For the first nine months of fiscal years 2023 and 2022, our fresh lemons segment total net revenues were $94.9 million and $94.4 million, respectively. The 1% increase of $0.5 million was primarily the result of:</w:t>
      </w:r>
    </w:p>
    <w:p>
      <w:pPr>
        <w:spacing w:after="0" w:line="103"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color w:val="auto"/>
        </w:rPr>
        <w:t>Fresh lemon sales decreased $4.2 million;</w:t>
      </w:r>
    </w:p>
    <w:p>
      <w:pPr>
        <w:spacing w:after="0" w:line="90"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color w:val="auto"/>
        </w:rPr>
        <w:t>Brokered lemons and other lemon sales increased $3.3 million; and</w:t>
      </w:r>
    </w:p>
    <w:p>
      <w:pPr>
        <w:spacing w:after="0" w:line="76"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color w:val="auto"/>
        </w:rPr>
        <w:t>Legal settlement proceeds allocated to fresh lemons for the first nine months of fiscal year 2023 was $1.4 million.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expenses associated with our fresh lemons segment include growing costs, harvest costs, cost of lemons we procure from third-party growers and suppliers, transportation costs and packing service charges incurred from the lemon packing segment to pack lemons for sale. For the first nine months of fiscal years 2023 and 2022, our fresh lemons segment costs and expenses were $94.0 million and $92.0 million, respectively. The 2% increase of $2.0 million was primarily the result of:</w:t>
      </w:r>
    </w:p>
    <w:p>
      <w:pPr>
        <w:spacing w:after="0" w:line="106"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color w:val="auto"/>
        </w:rPr>
        <w:t>Harvest costs increased $1.7 million;</w:t>
      </w:r>
    </w:p>
    <w:p>
      <w:pPr>
        <w:spacing w:after="0" w:line="76"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color w:val="auto"/>
        </w:rPr>
        <w:t>Growing costs increased $1.8 million;</w:t>
      </w:r>
    </w:p>
    <w:p>
      <w:pPr>
        <w:spacing w:after="0" w:line="90"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color w:val="auto"/>
        </w:rPr>
        <w:t>Third-party grower and supplier costs decreased $3.6 million;</w:t>
      </w:r>
    </w:p>
    <w:p>
      <w:pPr>
        <w:spacing w:after="0" w:line="76"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color w:val="auto"/>
        </w:rPr>
        <w:t>Transportation costs increased $0.5 million; and</w:t>
      </w:r>
    </w:p>
    <w:p>
      <w:pPr>
        <w:spacing w:after="0" w:line="76"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color w:val="auto"/>
        </w:rPr>
        <w:t>Intersegment costs and expenses increased $1.7 million.</w:t>
      </w:r>
    </w:p>
    <w:p>
      <w:pPr>
        <w:sectPr>
          <w:pgSz w:w="11900" w:h="16838" w:orient="portrait"/>
          <w:cols w:equalWidth="0" w:num="1">
            <w:col w:w="11240"/>
          </w:cols>
          <w:pgMar w:left="320" w:top="12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Lemon Packing</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Lemon packing segment revenue is comprised of packing revenue, intersegment packing revenue and shipping and handling revenue. For the first nine months of fiscal years 2023 and 2022, our lemon packing segment total net revenues were $44.9 million and $44.7 million, respectively.</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expenses associated with our lemon packing segment consist of the costs to pack lemons for sale such as labor and benefits, cardboard cartons, fruit treatments, packing and shipping supplies and facility operating costs. For the first nine months of fiscal years 2023 and 2022, our lemon packing costs and expenses were $36.6 million and $34.2 million, respectively. The 7% increase of $2.4 million was primarily the result of increased labor and benefit costs.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For the first nine months of fiscal years 2023 and 2022, lemon packing segment operating income per carton sold was $1.98 and $2.47, respectively.</w:t>
      </w:r>
    </w:p>
    <w:p>
      <w:pPr>
        <w:spacing w:after="0" w:line="16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the first nine months of fiscal years 2023 and 2022, the lemon packing segment included $27.4 million and $25.7 million, respectively, of intersegment revenues that were charged to the fresh lemons segment to pack lemons for sale. Such intersegment revenues and expenses are eliminated in our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Avocados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fiscal years 2023 and 2022, our avocados segment had revenues of $7.1 million and $16.9 million, respectively.</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Costs and expenses associated with our avocados segment include growing and harvest costs. For the first nine months of fiscal years 2023 and 2022, our avocados segment costs and expenses were $4.1 million and $5.5 million, respectively. The decrease of $1.4 million primarily consisted of the following:</w:t>
      </w:r>
    </w:p>
    <w:p>
      <w:pPr>
        <w:spacing w:after="0" w:line="43"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color w:val="auto"/>
        </w:rPr>
        <w:t>Harvest costs decreased $0.9 million; and</w:t>
      </w:r>
    </w:p>
    <w:p>
      <w:pPr>
        <w:spacing w:after="0" w:line="90"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color w:val="auto"/>
        </w:rPr>
        <w:t>Growing costs decreased $0.6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Agribusiness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first nine months of fiscal years 2023 and 2022, our other agribusiness segment total net revenues were $14.8 million and $10.7 million, respectively. The 39% increase of $4.1 million was primarily the result of:</w:t>
      </w:r>
    </w:p>
    <w:p>
      <w:pPr>
        <w:spacing w:after="0" w:line="103"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color w:val="auto"/>
        </w:rPr>
        <w:t>Orange revenues decreased $3.4 million;</w:t>
      </w:r>
    </w:p>
    <w:p>
      <w:pPr>
        <w:spacing w:after="0" w:line="76"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color w:val="auto"/>
        </w:rPr>
        <w:t>Specialty citrus and other revenues increased $0.7 million; and</w:t>
      </w:r>
    </w:p>
    <w:p>
      <w:pPr>
        <w:spacing w:after="0" w:line="157" w:lineRule="exact"/>
        <w:rPr>
          <w:rFonts w:ascii="Arial" w:cs="Arial" w:eastAsia="Arial" w:hAnsi="Arial"/>
          <w:sz w:val="18"/>
          <w:szCs w:val="18"/>
          <w:b w:val="1"/>
          <w:bCs w:val="1"/>
          <w:i w:val="1"/>
          <w:iCs w:val="1"/>
          <w:color w:val="auto"/>
        </w:rPr>
      </w:pPr>
    </w:p>
    <w:p>
      <w:pPr>
        <w:ind w:left="340" w:hanging="332"/>
        <w:spacing w:after="0" w:line="277" w:lineRule="auto"/>
        <w:tabs>
          <w:tab w:leader="none" w:pos="335"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color w:val="auto"/>
        </w:rPr>
        <w:t>Farm management revenues for the first nine months of fiscal year 2023 were $6.8 million. There were no farm management revenues in the first nine months of fiscal year 2022.</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other agribusiness segment include growing costs, harvest costs and purchased fruit costs. For the first nine months of fiscal years 2023 and 2022, our other agribusiness costs and expenses were $13.4 million and $7.7 million, respectively. The 73% increase of $5.6 million was primarily the result of:</w:t>
      </w:r>
    </w:p>
    <w:p>
      <w:pPr>
        <w:spacing w:after="0" w:line="116"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color w:val="auto"/>
        </w:rPr>
        <w:t>Harvest costs decreased $1.2 million;</w:t>
      </w:r>
    </w:p>
    <w:p>
      <w:pPr>
        <w:spacing w:after="0" w:line="76"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color w:val="auto"/>
        </w:rPr>
        <w:t>Growing costs increased $1.7 million; and</w:t>
      </w:r>
    </w:p>
    <w:p>
      <w:pPr>
        <w:spacing w:after="0" w:line="90"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color w:val="auto"/>
        </w:rPr>
        <w:t>Purchased fruit costs increased $5.1 million.</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agribusiness depreciation and amortization expenses for the first nine months of fiscal years 2023 and 2022 were $5.6 million and $6.5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Our corporate and other operations had revenues of $4.2 million and $3.9 million for the first nine months of fiscal years 2023 and 2022, respectively.</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expenses (gain) in our corporate and other operations for the first nine months of fiscal years 2023 and 2022 were approximately $(9.2) million and $19.7 million, respectively, and include selling, general and administrative costs and expenses, (gain) loss on disposal of assets, net and gain on legal settlement not allocated to the operating segments. Depreciation and amortization expenses for the first nine months of fiscal years 2023 and 2022 were similar at $0.9 million.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Seasonal Operations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our agribusiness operations have been seasonal in nature with quarterly revenue fluctuating depending on the timing and the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Trailing Twelve Months Ended July 31, 2023 and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unaudited results of operations (in thousands):</w:t>
      </w:r>
    </w:p>
    <w:p>
      <w:pPr>
        <w:spacing w:after="0" w:line="183" w:lineRule="exact"/>
        <w:rPr>
          <w:sz w:val="20"/>
          <w:szCs w:val="20"/>
          <w:color w:val="auto"/>
        </w:rPr>
      </w:pPr>
    </w:p>
    <w:p>
      <w:pPr>
        <w:jc w:val="center"/>
        <w:ind w:left="8480"/>
        <w:spacing w:after="0"/>
        <w:rPr>
          <w:sz w:val="20"/>
          <w:szCs w:val="20"/>
          <w:color w:val="auto"/>
        </w:rPr>
      </w:pPr>
      <w:r>
        <w:rPr>
          <w:rFonts w:ascii="Arial" w:cs="Arial" w:eastAsia="Arial" w:hAnsi="Arial"/>
          <w:sz w:val="18"/>
          <w:szCs w:val="18"/>
          <w:b w:val="1"/>
          <w:bCs w:val="1"/>
          <w:color w:val="auto"/>
        </w:rPr>
        <w:t>Trailing Twelve Months Ended</w:t>
      </w:r>
    </w:p>
    <w:p>
      <w:pPr>
        <w:jc w:val="center"/>
        <w:ind w:left="8480"/>
        <w:spacing w:after="0"/>
        <w:rPr>
          <w:sz w:val="20"/>
          <w:szCs w:val="20"/>
          <w:color w:val="auto"/>
        </w:rPr>
      </w:pPr>
      <w:r>
        <w:rPr>
          <w:rFonts w:ascii="Arial" w:cs="Arial" w:eastAsia="Arial" w:hAnsi="Arial"/>
          <w:sz w:val="18"/>
          <w:szCs w:val="18"/>
          <w:b w:val="1"/>
          <w:bCs w:val="1"/>
          <w:color w:val="auto"/>
        </w:rPr>
        <w:t>July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5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500" w:type="dxa"/>
            <w:vAlign w:val="bottom"/>
          </w:tcPr>
          <w:p>
            <w:pPr>
              <w:ind w:left="140"/>
              <w:spacing w:after="0"/>
              <w:rPr>
                <w:sz w:val="20"/>
                <w:szCs w:val="20"/>
                <w:color w:val="auto"/>
              </w:rPr>
            </w:pPr>
            <w:r>
              <w:rPr>
                <w:rFonts w:ascii="Arial" w:cs="Arial" w:eastAsia="Arial" w:hAnsi="Arial"/>
                <w:sz w:val="18"/>
                <w:szCs w:val="18"/>
                <w:color w:val="auto"/>
              </w:rPr>
              <w:t>Agribusiness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172,531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173,347</w:t>
            </w:r>
          </w:p>
        </w:tc>
      </w:tr>
      <w:tr>
        <w:trPr>
          <w:trHeight w:val="230"/>
        </w:trPr>
        <w:tc>
          <w:tcPr>
            <w:tcW w:w="8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w:t>
            </w: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178,126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178,442</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500" w:type="dxa"/>
            <w:vAlign w:val="bottom"/>
          </w:tcPr>
          <w:p>
            <w:pPr>
              <w:ind w:left="140"/>
              <w:spacing w:after="0"/>
              <w:rPr>
                <w:sz w:val="20"/>
                <w:szCs w:val="20"/>
                <w:color w:val="auto"/>
              </w:rPr>
            </w:pPr>
            <w:r>
              <w:rPr>
                <w:rFonts w:ascii="Arial" w:cs="Arial" w:eastAsia="Arial" w:hAnsi="Arial"/>
                <w:sz w:val="18"/>
                <w:szCs w:val="18"/>
                <w:color w:val="auto"/>
              </w:rPr>
              <w:t>Agribusiness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166,620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154,727</w:t>
            </w:r>
          </w:p>
        </w:tc>
      </w:tr>
      <w:tr>
        <w:trPr>
          <w:trHeight w:val="229"/>
        </w:trPr>
        <w:tc>
          <w:tcPr>
            <w:tcW w:w="8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r>
      <w:tr>
        <w:trPr>
          <w:trHeight w:val="230"/>
        </w:trPr>
        <w:tc>
          <w:tcPr>
            <w:tcW w:w="8500" w:type="dxa"/>
            <w:vAlign w:val="bottom"/>
          </w:tcPr>
          <w:p>
            <w:pPr>
              <w:ind w:left="140"/>
              <w:spacing w:after="0"/>
              <w:rPr>
                <w:sz w:val="20"/>
                <w:szCs w:val="20"/>
                <w:color w:val="auto"/>
              </w:rPr>
            </w:pPr>
            <w:r>
              <w:rPr>
                <w:rFonts w:ascii="Arial" w:cs="Arial" w:eastAsia="Arial" w:hAnsi="Arial"/>
                <w:sz w:val="18"/>
                <w:szCs w:val="18"/>
                <w:color w:val="auto"/>
              </w:rPr>
              <w:t>(Gain) loss on disposal of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(34,202)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29"/>
        </w:trPr>
        <w:tc>
          <w:tcPr>
            <w:tcW w:w="8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legal settlement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21,028</w:t>
            </w: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180,804</w:t>
            </w: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(2,362)</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50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8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 of patronage dividends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r>
      <w:tr>
        <w:trPr>
          <w:trHeight w:val="229"/>
        </w:trPr>
        <w:tc>
          <w:tcPr>
            <w:tcW w:w="8500" w:type="dxa"/>
            <w:vAlign w:val="bottom"/>
          </w:tcPr>
          <w:p>
            <w:pPr>
              <w:ind w:left="140"/>
              <w:spacing w:after="0"/>
              <w:rPr>
                <w:sz w:val="20"/>
                <w:szCs w:val="20"/>
                <w:color w:val="auto"/>
              </w:rPr>
            </w:pPr>
            <w:r>
              <w:rPr>
                <w:rFonts w:ascii="Arial" w:cs="Arial" w:eastAsia="Arial" w:hAnsi="Arial"/>
                <w:sz w:val="18"/>
                <w:szCs w:val="18"/>
                <w:color w:val="auto"/>
              </w:rPr>
              <w:t>Equity in earnings of investments,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1,413</w:t>
            </w:r>
          </w:p>
        </w:tc>
      </w:tr>
      <w:tr>
        <w:trPr>
          <w:trHeight w:val="230"/>
        </w:trPr>
        <w:tc>
          <w:tcPr>
            <w:tcW w:w="8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 (provision) benefit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r>
      <w:tr>
        <w:trPr>
          <w:trHeight w:val="229"/>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(income) attributable to noncontrolling interest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Limoneira Company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158" w:lineRule="exact"/>
        <w:rPr>
          <w:sz w:val="20"/>
          <w:szCs w:val="20"/>
          <w:color w:val="auto"/>
        </w:rPr>
      </w:pPr>
    </w:p>
    <w:p>
      <w:pPr>
        <w:ind w:left="34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revenues decreased $0.3 million, primarily the result of decreased avocados agribusiness revenues, partially offset by farm management agribusiness revenues.</w:t>
      </w:r>
    </w:p>
    <w:p>
      <w:pPr>
        <w:spacing w:after="0" w:line="21"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costs and expenses decreased $21.3 million, primarily the result of gain on disposal of assets and gain on legal settlement, partially offset by increased agribusiness costs and selling, general and administrative expenses.</w:t>
      </w:r>
    </w:p>
    <w:p>
      <w:pPr>
        <w:spacing w:after="0" w:line="21"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other expense increased $3.7 million, primarily the result of increased other expense related to pension settlement costs.</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Income tax provision increased $5.0 million, primarily the result of increased pre-tax income of $17.2 million.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primary sources of liquidity are cash and cash flows generated from our operations and use of our revolving credit facility. 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Material contractual obligations arising in the normal course of business consist primarily of purchase obligations, long-term fixed rate and variable rate debt and related interest payments and operating and finance leases. See Note 10 - Long-Term Debt and Note 12 - Leases for amounts outstanding as of July 31, 2023, related to debt and leases. Purchase obligations consist of contracts primarily related to packing supplies, the majority of which are due in the next three years.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the cash flows from operations and available borrowing capacity from our existing credit facilities will be sufficient to satisfy our capital expenditures, debt service, working capital needs and other contractual obligations for the next twelve months. We believe our revenue generating operations, distributions from equity investments and credit facilities will generate sufficient cash needed to operate beyond the next twelve months. In addition, we have the ability to control a portion of our investing cash flows to the extent necessary based on our liquidity demands.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July 31, 2023, net cash used in operating activities was $12.6 million, compared to net cash provided by operating activities of $10.9 million for the nine months ended July 31, 2022. The significant components of our cash flows (used in) provided by operating activities were as follows:</w:t>
      </w:r>
    </w:p>
    <w:p>
      <w:pPr>
        <w:spacing w:after="0" w:line="116" w:lineRule="exact"/>
        <w:rPr>
          <w:sz w:val="20"/>
          <w:szCs w:val="20"/>
          <w:color w:val="auto"/>
        </w:rPr>
      </w:pPr>
    </w:p>
    <w:p>
      <w:pPr>
        <w:jc w:val="both"/>
        <w:ind w:left="340" w:hanging="332"/>
        <w:spacing w:after="0" w:line="286" w:lineRule="auto"/>
        <w:tabs>
          <w:tab w:leader="none" w:pos="335" w:val="left"/>
        </w:tabs>
        <w:numPr>
          <w:ilvl w:val="0"/>
          <w:numId w:val="32"/>
        </w:numPr>
        <w:rPr>
          <w:rFonts w:ascii="Arial" w:cs="Arial" w:eastAsia="Arial" w:hAnsi="Arial"/>
          <w:sz w:val="17"/>
          <w:szCs w:val="17"/>
          <w:color w:val="auto"/>
        </w:rPr>
      </w:pPr>
      <w:r>
        <w:rPr>
          <w:rFonts w:ascii="Arial" w:cs="Arial" w:eastAsia="Arial" w:hAnsi="Arial"/>
          <w:sz w:val="17"/>
          <w:szCs w:val="17"/>
          <w:color w:val="auto"/>
        </w:rPr>
        <w:t>Net income for the nine months ended July 31, 2023 and 2022 was $12.7 million and $2.3 million, respectively. The components of net income in the nine months ended July 31, 2023, compared to the net income in the same period in fiscal year 2022 consist of an increase in operating income of $16.4 million, an increase in total other expense of $1.9 million and an increase in income tax provision of $4.2 million.</w:t>
      </w:r>
    </w:p>
    <w:p>
      <w:pPr>
        <w:spacing w:after="0" w:line="16" w:lineRule="exact"/>
        <w:rPr>
          <w:rFonts w:ascii="Arial" w:cs="Arial" w:eastAsia="Arial" w:hAnsi="Arial"/>
          <w:sz w:val="17"/>
          <w:szCs w:val="17"/>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Adjustments to reconcile net income to net cash (used in) provided by operating activities:</w:t>
      </w:r>
    </w:p>
    <w:p>
      <w:pPr>
        <w:spacing w:after="0" w:line="76" w:lineRule="exact"/>
        <w:rPr>
          <w:rFonts w:ascii="Arial" w:cs="Arial" w:eastAsia="Arial" w:hAnsi="Arial"/>
          <w:sz w:val="18"/>
          <w:szCs w:val="18"/>
          <w:color w:val="auto"/>
        </w:rPr>
      </w:pPr>
    </w:p>
    <w:p>
      <w:pPr>
        <w:ind w:left="980" w:hanging="324"/>
        <w:spacing w:after="0" w:line="308" w:lineRule="auto"/>
        <w:tabs>
          <w:tab w:leader="none" w:pos="976" w:val="left"/>
        </w:tabs>
        <w:numPr>
          <w:ilvl w:val="1"/>
          <w:numId w:val="32"/>
        </w:numPr>
        <w:rPr>
          <w:rFonts w:ascii="Arial" w:cs="Arial" w:eastAsia="Arial" w:hAnsi="Arial"/>
          <w:sz w:val="17"/>
          <w:szCs w:val="17"/>
          <w:color w:val="auto"/>
        </w:rPr>
      </w:pPr>
      <w:r>
        <w:rPr>
          <w:rFonts w:ascii="Arial" w:cs="Arial" w:eastAsia="Arial" w:hAnsi="Arial"/>
          <w:sz w:val="17"/>
          <w:szCs w:val="17"/>
          <w:color w:val="auto"/>
        </w:rPr>
        <w:t>Adjustments used $14.1 million and provided $11.9 million in the nine months ended July 31, 2023 and 2022, respectively, primarily related to depreciation and amortization, gain on disposal of assets, stock compensation expense and deferred income taxes.</w:t>
      </w:r>
    </w:p>
    <w:p>
      <w:pPr>
        <w:spacing w:after="0" w:line="11" w:lineRule="exact"/>
        <w:rPr>
          <w:rFonts w:ascii="Arial" w:cs="Arial" w:eastAsia="Arial" w:hAnsi="Arial"/>
          <w:sz w:val="17"/>
          <w:szCs w:val="17"/>
          <w:color w:val="auto"/>
        </w:rPr>
      </w:pPr>
    </w:p>
    <w:p>
      <w:pPr>
        <w:jc w:val="both"/>
        <w:ind w:left="980" w:hanging="324"/>
        <w:spacing w:after="0" w:line="286" w:lineRule="auto"/>
        <w:tabs>
          <w:tab w:leader="none" w:pos="976" w:val="left"/>
        </w:tabs>
        <w:numPr>
          <w:ilvl w:val="1"/>
          <w:numId w:val="32"/>
        </w:numPr>
        <w:rPr>
          <w:rFonts w:ascii="Arial" w:cs="Arial" w:eastAsia="Arial" w:hAnsi="Arial"/>
          <w:sz w:val="17"/>
          <w:szCs w:val="17"/>
          <w:color w:val="auto"/>
        </w:rPr>
      </w:pPr>
      <w:r>
        <w:rPr>
          <w:rFonts w:ascii="Arial" w:cs="Arial" w:eastAsia="Arial" w:hAnsi="Arial"/>
          <w:sz w:val="17"/>
          <w:szCs w:val="17"/>
          <w:color w:val="auto"/>
        </w:rPr>
        <w:t>Changes in operating assets and liabilities used $11.1 million and $3.3 million of operating cash in the nine months ended July 31, 2023 and 2022, respectively, primarily related to accounts receivables/other from related parties, cultural costs, prepaid expenses/other current assets, accounts payable/growers and suppliers payable and accrued liabilities/payables to related parties.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July 31, 2023 and 2022, net cash provided by (used in) investing activities was $92.4 million and $(5.3) million, respectively.</w:t>
      </w:r>
    </w:p>
    <w:p>
      <w:pPr>
        <w:spacing w:after="0" w:line="181" w:lineRule="exact"/>
        <w:rPr>
          <w:sz w:val="20"/>
          <w:szCs w:val="20"/>
          <w:color w:val="auto"/>
        </w:rPr>
      </w:pPr>
    </w:p>
    <w:p>
      <w:pPr>
        <w:jc w:val="both"/>
        <w:ind w:left="340" w:hanging="332"/>
        <w:spacing w:after="0" w:line="263" w:lineRule="auto"/>
        <w:tabs>
          <w:tab w:leader="none" w:pos="335"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$92.4 million of cash provided by investing activities during the nine months ended July 31, 2023 was comprised primarily of net proceeds from sales of assets of $98.5 million, net proceeds from the sale of real estate development assets of $2.6 million, partially offset by capital expenditures of $9.0 million, primarily related to orchard and vineyard development.</w:t>
      </w:r>
    </w:p>
    <w:p>
      <w:pPr>
        <w:spacing w:after="0" w:line="35" w:lineRule="exact"/>
        <w:rPr>
          <w:rFonts w:ascii="Arial" w:cs="Arial" w:eastAsia="Arial" w:hAnsi="Arial"/>
          <w:sz w:val="18"/>
          <w:szCs w:val="18"/>
          <w:b w:val="1"/>
          <w:bCs w:val="1"/>
          <w:color w:val="auto"/>
        </w:rPr>
      </w:pPr>
    </w:p>
    <w:p>
      <w:pPr>
        <w:jc w:val="both"/>
        <w:ind w:left="340" w:hanging="332"/>
        <w:spacing w:after="0" w:line="263" w:lineRule="auto"/>
        <w:tabs>
          <w:tab w:leader="none" w:pos="335"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$5.3 million of cash used in investing activities during the nine months ended July 31, 2022 was comprised primarily of capital expenditures of $7.7 million related to orchard and vineyard development and investments in mutual water companies and water rights of $0.5 million, partially offset by collection of note receivable of $2.8 million.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July 31, 2023 and 2022, net cash used in financing activities was $69.6 million and $4.8 million, respectively.</w:t>
      </w:r>
    </w:p>
    <w:p>
      <w:pPr>
        <w:spacing w:after="0" w:line="144" w:lineRule="exact"/>
        <w:rPr>
          <w:sz w:val="20"/>
          <w:szCs w:val="20"/>
          <w:color w:val="auto"/>
        </w:rPr>
      </w:pPr>
    </w:p>
    <w:p>
      <w:pPr>
        <w:ind w:left="340" w:hanging="332"/>
        <w:spacing w:after="0" w:line="27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$69.6 million of cash used in financing activities during the nine months ended July 31, 2023 was comprised primarily of net repayments of long-term debt of $64.9 million and common and preferred stock dividends of $4.4 million.</w:t>
      </w:r>
    </w:p>
    <w:p>
      <w:pPr>
        <w:spacing w:after="0" w:line="35" w:lineRule="exact"/>
        <w:rPr>
          <w:rFonts w:ascii="Arial" w:cs="Arial" w:eastAsia="Arial" w:hAnsi="Arial"/>
          <w:sz w:val="18"/>
          <w:szCs w:val="18"/>
          <w:color w:val="auto"/>
        </w:rPr>
      </w:pPr>
    </w:p>
    <w:p>
      <w:pPr>
        <w:ind w:left="340" w:right="20" w:hanging="332"/>
        <w:spacing w:after="0" w:line="342" w:lineRule="auto"/>
        <w:tabs>
          <w:tab w:leader="none" w:pos="3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$4.8 million of cash used in financing activities during the nine months ended July 31, 2022 was comprised primarily of common and preferred dividends of $4.4 million and the exchange of common stock of $1.1 million, partially offset by proceeds from equipment financings of $1.0 million.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Affecting Liquidity and Capital Resources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and Long-Term Debt</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finance our working capital and other liquidity requirements primarily through cash from operations and from our AgWest Farm Credit Facility, which includes the Master Loan Agreement (the “MLA”) and Supplements. In addition, we have Banco de Chile term loans and COVID-19 loans. Additional information regarding these loans can be found in Note 10 - Long-Term Debt.</w:t>
      </w:r>
    </w:p>
    <w:p>
      <w:pPr>
        <w:spacing w:after="0" w:line="1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June 2021, we entered into the MLA with AgWest Farm Credit, formerly known as Farm Credit West, PCA (the “Lender”), together with the Supplements and a Fixed Interest Rate Agreement, which extends the principal repayment to July 1, 2026. The MLA governs the terms of the Supplements.</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Supplements provide aggregate borrowing capacity of $115.0 million, comprised of $75.0 million under the Revolving Credit Supplement and $40.0 million under the Non-Revolving Credit Supplement. As of July 31, 2023, our outstanding borrowings under the AgWest Farm Credit Facility were $40.0 million and we had $75.0 million of availability.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31, 2023, the Company sold the Northern Properties which resulted in total net proceeds of $98.4 million. The proceeds were used to pay down all of the Company's domestic debt except the Non-Revolving Credit Supplement.</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MLA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financial covenant that requires us to maintain compliance with a specified debt service coverage ratio greater than or equal to 1:25:1.0 on an annual basis. We were in compliance with the covenants as of October 31, 2022. In September 2023, the Lender modified the covenant to defer measurement at October 31, 2023 and resume a debt service coverage ratio of 1.25:1.0 measured as of October 31, 2024.</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2023, the Lender declared an annual cash patronage dividend of 1.25% of average eligible loan balances, and we received $1.4 million in the second quarter of fiscal year 2023. In the first quarter of fiscal year 2022, the Lender declared an annual patronage dividend of $1.6 million, which we received in the second quarter of fiscal year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holders of the Series B Convertible Preferred Stock and the Series B-2 Preferred Stock are entitled to receive cumulative cash dividends. Such preferred dividends paid were $0.4 million in the nine months ended July 31, 2023 and 2022.</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dividends declared in the nine months ended July 31, 2023 and 2022 were $0.225 per common share and such dividends paid were $4.0 million in the nine months ended July 31, 2023 and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our consolidated financial statements in accordance with GAAP requires us to develop critical accounting policies and make certain estimates, assumptions and judgments that may affect the reported amounts of assets, liabilities, revenues and expenses. We base our estimates and judgments on historical experience, available relevant data and other information that we believe to be reasonable under the circumstances, and we continue to review and evaluate these estimates. Actual results may materially differ from these estimates under different assumptions or conditions as new or additional information become available in future periods. During the nine months ended July 31, 2023, our critical accounting policies and estimates have not changed since the filing of our Annual Report on Form 10-K as of October 31, 2022. Please refer to that filing for a description of our critical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material changes in the disclosures discussed in the section entitled “Quantitative and Qualitative Disclosures about Market Risk” in Part II, Item 7A of our Annual Report on Form 10-K for the fiscal year ended October 31, 2022, as filed with the SEC on December 22, 2022.</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Disclosure Controls and Procedures. </w:t>
      </w:r>
      <w:r>
        <w:rPr>
          <w:rFonts w:ascii="Arial" w:cs="Arial" w:eastAsia="Arial" w:hAnsi="Arial"/>
          <w:sz w:val="18"/>
          <w:szCs w:val="18"/>
          <w:color w:val="auto"/>
        </w:rPr>
        <w:t>As of July 31, 2023, we carried out an evaluation, under the supervision and with the participation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including our Chief Executive Officer and Chief Financial Officer, of the effectiveness of the design and operation of our “disclosure controls and procedures,” as such term is defined in Rule 13a-15(e) promulgated under the Exchange Act. Based upon that evaluation, our Chief Executive Officer and Chief Financial Officer concluded that our disclosure controls and procedures were effective as of the end of the period covered by this Quarterly Report.</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significant changes in our internal control over financial reporting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ended July 31, 2023, or, to our knowledge, in other factors that have materially affected, or are reasonably likely to materially affect, our internal control over financial reporting.</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Limitations on the Effectiveness of Controls. </w:t>
      </w:r>
      <w:r>
        <w:rPr>
          <w:rFonts w:ascii="Arial" w:cs="Arial" w:eastAsia="Arial" w:hAnsi="Arial"/>
          <w:sz w:val="16"/>
          <w:szCs w:val="16"/>
          <w:color w:val="auto"/>
        </w:rPr>
        <w:t>Control systems, no matter how well conceived and operated, are designed to provide a reasonable, but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17 - Commitments and Contingencies of the Notes to the Consolidated Financial Statements in this Quarterly Report.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disclosures discussed in the section entitled “Risk Factors” in Part I, Item 1A of our Annual Report on Form 10-K for the fiscal year ended October 31, 2022, as filed with the SEC on December 22, 2022.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Defaults Upon Senior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Mine Safety Disclosures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10340" w:type="dxa"/>
            <w:vAlign w:val="bottom"/>
            <w:tcBorders>
              <w:bottom w:val="single" w:sz="8" w:color="auto"/>
            </w:tcBorders>
            <w:gridSpan w:val="25"/>
          </w:tcPr>
          <w:p>
            <w:pPr>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182"/>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3.1</w:t>
            </w:r>
          </w:p>
        </w:tc>
        <w:tc>
          <w:tcPr>
            <w:tcW w:w="10340" w:type="dxa"/>
            <w:vAlign w:val="bottom"/>
            <w:gridSpan w:val="25"/>
          </w:tcPr>
          <w:p>
            <w:pPr>
              <w:spacing w:after="0" w:line="182" w:lineRule="exact"/>
              <w:rPr>
                <w:rFonts w:ascii="Arial" w:cs="Arial" w:eastAsia="Arial" w:hAnsi="Arial"/>
                <w:sz w:val="18"/>
                <w:szCs w:val="18"/>
                <w:color w:val="0000FF"/>
              </w:rPr>
            </w:pPr>
            <w:hyperlink r:id="rId62">
              <w:r>
                <w:rPr>
                  <w:rFonts w:ascii="Arial" w:cs="Arial" w:eastAsia="Arial" w:hAnsi="Arial"/>
                  <w:sz w:val="18"/>
                  <w:szCs w:val="18"/>
                  <w:color w:val="0000FF"/>
                </w:rPr>
                <w:t>Restated Certificate of Incorporation of Limoneira Company, dated July 5, 1990 (Incorporated by reference to Exhibit 3.1 to the</w:t>
              </w:r>
            </w:hyperlink>
          </w:p>
        </w:tc>
        <w:tc>
          <w:tcPr>
            <w:tcW w:w="0" w:type="dxa"/>
            <w:vAlign w:val="bottom"/>
          </w:tcPr>
          <w:p>
            <w:pPr>
              <w:spacing w:after="0"/>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936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62">
              <w:r>
                <w:rPr>
                  <w:rFonts w:ascii="Arial" w:cs="Arial" w:eastAsia="Arial" w:hAnsi="Arial"/>
                  <w:sz w:val="16"/>
                  <w:szCs w:val="16"/>
                  <w:color w:val="0000FF"/>
                </w:rPr>
                <w:t>Company’s Registration Statement on Form 10, and amendments thereto, declared effective April 13, 2010 (File No. 000-53885))</w:t>
              </w:r>
            </w:hyperlink>
          </w:p>
        </w:tc>
        <w:tc>
          <w:tcPr>
            <w:tcW w:w="6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180" w:type="dxa"/>
            <w:vAlign w:val="bottom"/>
          </w:tcPr>
          <w:p>
            <w:pPr>
              <w:spacing w:after="0"/>
              <w:rPr>
                <w:sz w:val="24"/>
                <w:szCs w:val="24"/>
                <w:color w:val="auto"/>
              </w:rPr>
            </w:pPr>
          </w:p>
        </w:tc>
        <w:tc>
          <w:tcPr>
            <w:tcW w:w="10340" w:type="dxa"/>
            <w:vAlign w:val="bottom"/>
            <w:gridSpan w:val="25"/>
          </w:tcPr>
          <w:p>
            <w:pPr>
              <w:spacing w:after="0"/>
              <w:rPr>
                <w:rFonts w:ascii="Arial" w:cs="Arial" w:eastAsia="Arial" w:hAnsi="Arial"/>
                <w:sz w:val="18"/>
                <w:szCs w:val="18"/>
                <w:color w:val="0000FF"/>
                <w:w w:val="94"/>
              </w:rPr>
            </w:pPr>
            <w:hyperlink r:id="rId63">
              <w:r>
                <w:rPr>
                  <w:rFonts w:ascii="Arial" w:cs="Arial" w:eastAsia="Arial" w:hAnsi="Arial"/>
                  <w:sz w:val="18"/>
                  <w:szCs w:val="18"/>
                  <w:color w:val="0000FF"/>
                  <w:w w:val="94"/>
                </w:rPr>
                <w:t>Agreement of Merger Between Ronald Michaelis Ranches, Inc. and Limoneira Company, dated June 24, 1997 (Incorporated by reference</w:t>
              </w:r>
            </w:hyperlink>
          </w:p>
        </w:tc>
        <w:tc>
          <w:tcPr>
            <w:tcW w:w="0" w:type="dxa"/>
            <w:vAlign w:val="bottom"/>
          </w:tcPr>
          <w:p>
            <w:pPr>
              <w:spacing w:after="0"/>
              <w:rPr>
                <w:sz w:val="1"/>
                <w:szCs w:val="1"/>
                <w:color w:val="auto"/>
              </w:rPr>
            </w:pPr>
          </w:p>
        </w:tc>
      </w:tr>
      <w:tr>
        <w:trPr>
          <w:trHeight w:val="155"/>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100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to Exhibit 3.6 to the Company’s Registration Statement on Form 10, and amendments thereto, declared effective April 13, 2010 (File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900" w:type="dxa"/>
            <w:vAlign w:val="bottom"/>
            <w:tcBorders>
              <w:bottom w:val="single" w:sz="8" w:color="0000FF"/>
            </w:tcBorders>
          </w:tcPr>
          <w:p>
            <w:pPr>
              <w:spacing w:after="0" w:line="169" w:lineRule="exact"/>
              <w:rPr>
                <w:rFonts w:ascii="Arial" w:cs="Arial" w:eastAsia="Arial" w:hAnsi="Arial"/>
                <w:sz w:val="18"/>
                <w:szCs w:val="18"/>
                <w:color w:val="0000FF"/>
                <w:w w:val="89"/>
              </w:rPr>
            </w:pPr>
            <w:hyperlink r:id="rId63">
              <w:r>
                <w:rPr>
                  <w:rFonts w:ascii="Arial" w:cs="Arial" w:eastAsia="Arial" w:hAnsi="Arial"/>
                  <w:sz w:val="18"/>
                  <w:szCs w:val="18"/>
                  <w:color w:val="0000FF"/>
                  <w:w w:val="89"/>
                </w:rPr>
                <w:t>000-53885))</w:t>
              </w:r>
            </w:hyperlink>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80" w:type="dxa"/>
            <w:vAlign w:val="bottom"/>
          </w:tcPr>
          <w:p>
            <w:pPr>
              <w:spacing w:after="0"/>
              <w:rPr>
                <w:sz w:val="24"/>
                <w:szCs w:val="24"/>
                <w:color w:val="auto"/>
              </w:rPr>
            </w:pPr>
          </w:p>
        </w:tc>
        <w:tc>
          <w:tcPr>
            <w:tcW w:w="10340" w:type="dxa"/>
            <w:vAlign w:val="bottom"/>
            <w:gridSpan w:val="25"/>
          </w:tcPr>
          <w:p>
            <w:pPr>
              <w:spacing w:after="0"/>
              <w:rPr>
                <w:rFonts w:ascii="Arial" w:cs="Arial" w:eastAsia="Arial" w:hAnsi="Arial"/>
                <w:sz w:val="18"/>
                <w:szCs w:val="18"/>
                <w:color w:val="0000FF"/>
                <w:w w:val="99"/>
              </w:rPr>
            </w:pPr>
            <w:hyperlink r:id="rId64">
              <w:r>
                <w:rPr>
                  <w:rFonts w:ascii="Arial" w:cs="Arial" w:eastAsia="Arial" w:hAnsi="Arial"/>
                  <w:sz w:val="18"/>
                  <w:szCs w:val="18"/>
                  <w:color w:val="0000FF"/>
                  <w:w w:val="99"/>
                </w:rPr>
                <w:t>Certificate of Amendment of Certificate of Incorporation of Limoneira Company, dated April 22, 2003 (Incorporated by reference to</w:t>
              </w:r>
            </w:hyperlink>
          </w:p>
        </w:tc>
        <w:tc>
          <w:tcPr>
            <w:tcW w:w="0" w:type="dxa"/>
            <w:vAlign w:val="bottom"/>
          </w:tcPr>
          <w:p>
            <w:pPr>
              <w:spacing w:after="0"/>
              <w:rPr>
                <w:sz w:val="1"/>
                <w:szCs w:val="1"/>
                <w:color w:val="auto"/>
              </w:rPr>
            </w:pPr>
          </w:p>
        </w:tc>
      </w:tr>
      <w:tr>
        <w:trPr>
          <w:trHeight w:val="156"/>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3.3</w:t>
            </w:r>
          </w:p>
        </w:tc>
        <w:tc>
          <w:tcPr>
            <w:tcW w:w="10200" w:type="dxa"/>
            <w:vAlign w:val="bottom"/>
            <w:tcBorders>
              <w:top w:val="single" w:sz="8" w:color="0000FF"/>
            </w:tcBorders>
            <w:gridSpan w:val="18"/>
          </w:tcPr>
          <w:p>
            <w:pPr>
              <w:spacing w:after="0" w:line="156" w:lineRule="exact"/>
              <w:rPr>
                <w:rFonts w:ascii="Arial" w:cs="Arial" w:eastAsia="Arial" w:hAnsi="Arial"/>
                <w:sz w:val="18"/>
                <w:szCs w:val="18"/>
                <w:color w:val="0000FF"/>
                <w:w w:val="95"/>
              </w:rPr>
            </w:pPr>
            <w:hyperlink r:id="rId64">
              <w:r>
                <w:rPr>
                  <w:rFonts w:ascii="Arial" w:cs="Arial" w:eastAsia="Arial" w:hAnsi="Arial"/>
                  <w:sz w:val="18"/>
                  <w:szCs w:val="18"/>
                  <w:color w:val="0000FF"/>
                  <w:w w:val="95"/>
                </w:rPr>
                <w:t>Exhibit 3.7 to the Company’s Registration Statement on Form 10, and amendments thereto, declared effective April 13, 2010 (File No.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9"/>
              </w:rPr>
            </w:pPr>
            <w:hyperlink r:id="rId64">
              <w:r>
                <w:rPr>
                  <w:rFonts w:ascii="Arial" w:cs="Arial" w:eastAsia="Arial" w:hAnsi="Arial"/>
                  <w:sz w:val="18"/>
                  <w:szCs w:val="18"/>
                  <w:color w:val="0000FF"/>
                  <w:w w:val="89"/>
                </w:rPr>
                <w:t>000-53885))</w:t>
              </w:r>
            </w:hyperlink>
          </w:p>
        </w:tc>
        <w:tc>
          <w:tcPr>
            <w:tcW w:w="3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4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1920" w:type="dxa"/>
            <w:vAlign w:val="bottom"/>
            <w:tcBorders>
              <w:top w:val="single" w:sz="8" w:color="0000FF"/>
            </w:tcBorders>
          </w:tcPr>
          <w:p>
            <w:pPr>
              <w:spacing w:after="0"/>
              <w:rPr>
                <w:sz w:val="14"/>
                <w:szCs w:val="14"/>
                <w:color w:val="auto"/>
              </w:rPr>
            </w:pPr>
          </w:p>
        </w:tc>
        <w:tc>
          <w:tcPr>
            <w:tcW w:w="188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80" w:type="dxa"/>
            <w:vAlign w:val="bottom"/>
          </w:tcPr>
          <w:p>
            <w:pPr>
              <w:spacing w:after="0"/>
              <w:rPr>
                <w:sz w:val="24"/>
                <w:szCs w:val="24"/>
                <w:color w:val="auto"/>
              </w:rPr>
            </w:pPr>
          </w:p>
        </w:tc>
        <w:tc>
          <w:tcPr>
            <w:tcW w:w="10340" w:type="dxa"/>
            <w:vAlign w:val="bottom"/>
            <w:gridSpan w:val="25"/>
          </w:tcPr>
          <w:p>
            <w:pPr>
              <w:spacing w:after="0"/>
              <w:rPr>
                <w:rFonts w:ascii="Arial" w:cs="Arial" w:eastAsia="Arial" w:hAnsi="Arial"/>
                <w:sz w:val="18"/>
                <w:szCs w:val="18"/>
                <w:color w:val="0000FF"/>
                <w:w w:val="98"/>
              </w:rPr>
            </w:pPr>
            <w:hyperlink r:id="rId65">
              <w:r>
                <w:rPr>
                  <w:rFonts w:ascii="Arial" w:cs="Arial" w:eastAsia="Arial" w:hAnsi="Arial"/>
                  <w:sz w:val="18"/>
                  <w:szCs w:val="18"/>
                  <w:color w:val="0000FF"/>
                  <w:w w:val="98"/>
                </w:rPr>
                <w:t>Certificate of Amendment of Certificate of Incorporation of Limoneira Company, dated March 24, 2010 (Incorporated by reference to</w:t>
              </w:r>
            </w:hyperlink>
          </w:p>
        </w:tc>
        <w:tc>
          <w:tcPr>
            <w:tcW w:w="0" w:type="dxa"/>
            <w:vAlign w:val="bottom"/>
          </w:tcPr>
          <w:p>
            <w:pPr>
              <w:spacing w:after="0"/>
              <w:rPr>
                <w:sz w:val="1"/>
                <w:szCs w:val="1"/>
                <w:color w:val="auto"/>
              </w:rPr>
            </w:pPr>
          </w:p>
        </w:tc>
      </w:tr>
      <w:tr>
        <w:trPr>
          <w:trHeight w:val="156"/>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3.4</w:t>
            </w:r>
          </w:p>
        </w:tc>
        <w:tc>
          <w:tcPr>
            <w:tcW w:w="100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4"/>
              </w:rPr>
            </w:pPr>
            <w:hyperlink r:id="rId65">
              <w:r>
                <w:rPr>
                  <w:rFonts w:ascii="Arial" w:cs="Arial" w:eastAsia="Arial" w:hAnsi="Arial"/>
                  <w:sz w:val="18"/>
                  <w:szCs w:val="18"/>
                  <w:color w:val="0000FF"/>
                  <w:w w:val="94"/>
                </w:rPr>
                <w:t>Exhibit 3.9 to the Company’s Registration Statement on Form 10, and amendments thereto, declared effective April 13, 2010 (File No.</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900" w:type="dxa"/>
            <w:vAlign w:val="bottom"/>
            <w:tcBorders>
              <w:bottom w:val="single" w:sz="8" w:color="0000FF"/>
            </w:tcBorders>
          </w:tcPr>
          <w:p>
            <w:pPr>
              <w:spacing w:after="0" w:line="169" w:lineRule="exact"/>
              <w:rPr>
                <w:rFonts w:ascii="Arial" w:cs="Arial" w:eastAsia="Arial" w:hAnsi="Arial"/>
                <w:sz w:val="18"/>
                <w:szCs w:val="18"/>
                <w:color w:val="0000FF"/>
                <w:w w:val="89"/>
              </w:rPr>
            </w:pPr>
            <w:hyperlink r:id="rId65">
              <w:r>
                <w:rPr>
                  <w:rFonts w:ascii="Arial" w:cs="Arial" w:eastAsia="Arial" w:hAnsi="Arial"/>
                  <w:sz w:val="18"/>
                  <w:szCs w:val="18"/>
                  <w:color w:val="0000FF"/>
                  <w:w w:val="89"/>
                </w:rPr>
                <w:t>000-53885))</w:t>
              </w:r>
            </w:hyperlink>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3.5</w:t>
            </w:r>
          </w:p>
        </w:tc>
        <w:tc>
          <w:tcPr>
            <w:tcW w:w="10340" w:type="dxa"/>
            <w:vAlign w:val="bottom"/>
            <w:gridSpan w:val="25"/>
          </w:tcPr>
          <w:p>
            <w:pPr>
              <w:spacing w:after="0"/>
              <w:rPr>
                <w:rFonts w:ascii="Arial" w:cs="Arial" w:eastAsia="Arial" w:hAnsi="Arial"/>
                <w:sz w:val="18"/>
                <w:szCs w:val="18"/>
                <w:color w:val="0000FF"/>
                <w:w w:val="98"/>
              </w:rPr>
            </w:pPr>
            <w:hyperlink r:id="rId66">
              <w:r>
                <w:rPr>
                  <w:rFonts w:ascii="Arial" w:cs="Arial" w:eastAsia="Arial" w:hAnsi="Arial"/>
                  <w:sz w:val="18"/>
                  <w:szCs w:val="18"/>
                  <w:color w:val="0000FF"/>
                  <w:w w:val="98"/>
                </w:rPr>
                <w:t>Certificate of Amendment of Certificate of Incorporation of Limoneira Company, dated March 29, 2017 (Incorporated by reference to</w:t>
              </w:r>
            </w:hyperlink>
          </w:p>
        </w:tc>
        <w:tc>
          <w:tcPr>
            <w:tcW w:w="0" w:type="dxa"/>
            <w:vAlign w:val="bottom"/>
          </w:tcPr>
          <w:p>
            <w:pPr>
              <w:spacing w:after="0"/>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748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66">
              <w:r>
                <w:rPr>
                  <w:rFonts w:ascii="Arial" w:cs="Arial" w:eastAsia="Arial" w:hAnsi="Arial"/>
                  <w:sz w:val="16"/>
                  <w:szCs w:val="16"/>
                  <w:color w:val="0000FF"/>
                </w:rPr>
                <w:t>Exhibit 3.1 to the Company’s Current Report on Form 8-K, filed March 31, 2017 (File No. 001-34755))</w:t>
              </w:r>
            </w:hyperlink>
          </w:p>
        </w:tc>
        <w:tc>
          <w:tcPr>
            <w:tcW w:w="25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3.6</w:t>
            </w:r>
          </w:p>
        </w:tc>
        <w:tc>
          <w:tcPr>
            <w:tcW w:w="10340" w:type="dxa"/>
            <w:vAlign w:val="bottom"/>
            <w:gridSpan w:val="25"/>
          </w:tcPr>
          <w:p>
            <w:pPr>
              <w:spacing w:after="0"/>
              <w:rPr>
                <w:rFonts w:ascii="Arial" w:cs="Arial" w:eastAsia="Arial" w:hAnsi="Arial"/>
                <w:sz w:val="18"/>
                <w:szCs w:val="18"/>
                <w:color w:val="0000FF"/>
                <w:w w:val="97"/>
              </w:rPr>
            </w:pPr>
            <w:hyperlink r:id="rId67">
              <w:r>
                <w:rPr>
                  <w:rFonts w:ascii="Arial" w:cs="Arial" w:eastAsia="Arial" w:hAnsi="Arial"/>
                  <w:sz w:val="18"/>
                  <w:szCs w:val="18"/>
                  <w:color w:val="0000FF"/>
                  <w:w w:val="97"/>
                </w:rPr>
                <w:t>Amended and Restated Bylaws of Limoneira Company (Incorporated by reference to Exhibit 3.1 to the Company's Current Report on</w:t>
              </w:r>
            </w:hyperlink>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408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Form 8-K, filed October 27, 2021 (File No. 001-34755))</w:t>
              </w:r>
            </w:hyperlink>
          </w:p>
        </w:tc>
        <w:tc>
          <w:tcPr>
            <w:tcW w:w="54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4460" w:type="dxa"/>
            <w:vAlign w:val="bottom"/>
            <w:tcBorders>
              <w:top w:val="single" w:sz="8" w:color="0000FF"/>
            </w:tcBorders>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180" w:type="dxa"/>
            <w:vAlign w:val="bottom"/>
          </w:tcPr>
          <w:p>
            <w:pPr>
              <w:spacing w:after="0"/>
              <w:rPr>
                <w:sz w:val="24"/>
                <w:szCs w:val="24"/>
                <w:color w:val="auto"/>
              </w:rPr>
            </w:pPr>
          </w:p>
        </w:tc>
        <w:tc>
          <w:tcPr>
            <w:tcW w:w="10340" w:type="dxa"/>
            <w:vAlign w:val="bottom"/>
            <w:gridSpan w:val="25"/>
          </w:tcPr>
          <w:p>
            <w:pPr>
              <w:spacing w:after="0"/>
              <w:rPr>
                <w:rFonts w:ascii="Arial" w:cs="Arial" w:eastAsia="Arial" w:hAnsi="Arial"/>
                <w:sz w:val="18"/>
                <w:szCs w:val="18"/>
                <w:color w:val="0000FF"/>
                <w:w w:val="94"/>
              </w:rPr>
            </w:pPr>
            <w:hyperlink r:id="rId68">
              <w:r>
                <w:rPr>
                  <w:rFonts w:ascii="Arial" w:cs="Arial" w:eastAsia="Arial" w:hAnsi="Arial"/>
                  <w:sz w:val="18"/>
                  <w:szCs w:val="18"/>
                  <w:color w:val="0000FF"/>
                  <w:w w:val="94"/>
                </w:rPr>
                <w:t>Rights Agreement dated December 20, 2006 between Limoneira Company and The Bank of New York, as Rights Agent (Incorporated by</w:t>
              </w:r>
            </w:hyperlink>
          </w:p>
        </w:tc>
        <w:tc>
          <w:tcPr>
            <w:tcW w:w="0" w:type="dxa"/>
            <w:vAlign w:val="bottom"/>
          </w:tcPr>
          <w:p>
            <w:pPr>
              <w:spacing w:after="0"/>
              <w:rPr>
                <w:sz w:val="1"/>
                <w:szCs w:val="1"/>
                <w:color w:val="auto"/>
              </w:rPr>
            </w:pPr>
          </w:p>
        </w:tc>
      </w:tr>
      <w:tr>
        <w:trPr>
          <w:trHeight w:val="155"/>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4.1</w:t>
            </w:r>
          </w:p>
        </w:tc>
        <w:tc>
          <w:tcPr>
            <w:tcW w:w="10280" w:type="dxa"/>
            <w:vAlign w:val="bottom"/>
            <w:tcBorders>
              <w:top w:val="single" w:sz="8" w:color="0000FF"/>
            </w:tcBorders>
            <w:gridSpan w:val="22"/>
          </w:tcPr>
          <w:p>
            <w:pPr>
              <w:spacing w:after="0" w:line="156" w:lineRule="exact"/>
              <w:rPr>
                <w:rFonts w:ascii="Arial" w:cs="Arial" w:eastAsia="Arial" w:hAnsi="Arial"/>
                <w:sz w:val="18"/>
                <w:szCs w:val="18"/>
                <w:color w:val="0000FF"/>
                <w:w w:val="93"/>
              </w:rPr>
            </w:pPr>
            <w:hyperlink r:id="rId68">
              <w:r>
                <w:rPr>
                  <w:rFonts w:ascii="Arial" w:cs="Arial" w:eastAsia="Arial" w:hAnsi="Arial"/>
                  <w:sz w:val="18"/>
                  <w:szCs w:val="18"/>
                  <w:color w:val="0000FF"/>
                  <w:w w:val="93"/>
                </w:rPr>
                <w:t>reference to Exhibit 4.2 to the Company’s Registration Statement on Form 10, and amendments thereto, declared effective April 13, 2010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1014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68">
              <w:r>
                <w:rPr>
                  <w:rFonts w:ascii="Arial" w:cs="Arial" w:eastAsia="Arial" w:hAnsi="Arial"/>
                  <w:sz w:val="18"/>
                  <w:szCs w:val="18"/>
                  <w:color w:val="0000FF"/>
                </w:rPr>
                <w:t>(File No. 000-53885))</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spacing w:after="0"/>
              <w:rPr>
                <w:sz w:val="24"/>
                <w:szCs w:val="24"/>
                <w:color w:val="auto"/>
              </w:rPr>
            </w:pPr>
          </w:p>
        </w:tc>
        <w:tc>
          <w:tcPr>
            <w:tcW w:w="10340" w:type="dxa"/>
            <w:vAlign w:val="bottom"/>
            <w:gridSpan w:val="25"/>
          </w:tcPr>
          <w:p>
            <w:pPr>
              <w:spacing w:after="0"/>
              <w:rPr>
                <w:rFonts w:ascii="Arial" w:cs="Arial" w:eastAsia="Arial" w:hAnsi="Arial"/>
                <w:sz w:val="18"/>
                <w:szCs w:val="18"/>
                <w:color w:val="0000FF"/>
                <w:w w:val="95"/>
              </w:rPr>
            </w:pPr>
            <w:hyperlink r:id="rId69">
              <w:r>
                <w:rPr>
                  <w:rFonts w:ascii="Arial" w:cs="Arial" w:eastAsia="Arial" w:hAnsi="Arial"/>
                  <w:sz w:val="18"/>
                  <w:szCs w:val="18"/>
                  <w:color w:val="0000FF"/>
                  <w:w w:val="95"/>
                </w:rPr>
                <w:t xml:space="preserve">Certificate of Designation, Preferences and Rights of </w:t>
              </w:r>
              <w:r>
                <w:rPr>
                  <w:rFonts w:ascii="Arial" w:cs="Arial" w:eastAsia="Arial" w:hAnsi="Arial"/>
                  <w:sz w:val="18"/>
                  <w:szCs w:val="18"/>
                  <w:u w:val="single" w:color="auto"/>
                  <w:color w:val="0000FF"/>
                  <w:w w:val="95"/>
                </w:rPr>
                <w:t>$</w:t>
              </w:r>
              <w:r>
                <w:rPr>
                  <w:rFonts w:ascii="Arial" w:cs="Arial" w:eastAsia="Arial" w:hAnsi="Arial"/>
                  <w:sz w:val="18"/>
                  <w:szCs w:val="18"/>
                  <w:color w:val="0000FF"/>
                  <w:w w:val="95"/>
                </w:rPr>
                <w:t xml:space="preserve">8.75 Voting Preferred Stock, </w:t>
              </w:r>
              <w:r>
                <w:rPr>
                  <w:rFonts w:ascii="Arial" w:cs="Arial" w:eastAsia="Arial" w:hAnsi="Arial"/>
                  <w:sz w:val="18"/>
                  <w:szCs w:val="18"/>
                  <w:u w:val="single" w:color="auto"/>
                  <w:color w:val="0000FF"/>
                  <w:w w:val="95"/>
                </w:rPr>
                <w:t>$</w:t>
              </w:r>
              <w:r>
                <w:rPr>
                  <w:rFonts w:ascii="Arial" w:cs="Arial" w:eastAsia="Arial" w:hAnsi="Arial"/>
                  <w:sz w:val="18"/>
                  <w:szCs w:val="18"/>
                  <w:color w:val="0000FF"/>
                  <w:w w:val="95"/>
                </w:rPr>
                <w:t>100.00 Par Value, Series B of Limoneira Company,</w:t>
              </w:r>
            </w:hyperlink>
          </w:p>
        </w:tc>
        <w:tc>
          <w:tcPr>
            <w:tcW w:w="0" w:type="dxa"/>
            <w:vAlign w:val="bottom"/>
          </w:tcPr>
          <w:p>
            <w:pPr>
              <w:spacing w:after="0"/>
              <w:rPr>
                <w:sz w:val="1"/>
                <w:szCs w:val="1"/>
                <w:color w:val="auto"/>
              </w:rPr>
            </w:pPr>
          </w:p>
        </w:tc>
      </w:tr>
      <w:tr>
        <w:trPr>
          <w:trHeight w:val="156"/>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4.2</w:t>
            </w:r>
          </w:p>
        </w:tc>
        <w:tc>
          <w:tcPr>
            <w:tcW w:w="10260" w:type="dxa"/>
            <w:vAlign w:val="bottom"/>
            <w:tcBorders>
              <w:top w:val="single" w:sz="8" w:color="0000FF"/>
            </w:tcBorders>
            <w:gridSpan w:val="21"/>
          </w:tcPr>
          <w:p>
            <w:pPr>
              <w:spacing w:after="0" w:line="156" w:lineRule="exact"/>
              <w:rPr>
                <w:rFonts w:ascii="Arial" w:cs="Arial" w:eastAsia="Arial" w:hAnsi="Arial"/>
                <w:sz w:val="18"/>
                <w:szCs w:val="18"/>
                <w:color w:val="0000FF"/>
                <w:w w:val="96"/>
              </w:rPr>
            </w:pPr>
            <w:hyperlink r:id="rId69">
              <w:r>
                <w:rPr>
                  <w:rFonts w:ascii="Arial" w:cs="Arial" w:eastAsia="Arial" w:hAnsi="Arial"/>
                  <w:sz w:val="18"/>
                  <w:szCs w:val="18"/>
                  <w:color w:val="0000FF"/>
                  <w:w w:val="96"/>
                </w:rPr>
                <w:t>dated May 21, 1997 (Incorporated by reference to Exhibit 3.4 to the Company’s Registration Statement on Form 10, and amendments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462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thereto, declared effective April 13, 2010 (File No. 000-53885))</w:t>
              </w:r>
            </w:hyperlink>
          </w:p>
        </w:tc>
        <w:tc>
          <w:tcPr>
            <w:tcW w:w="560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180" w:type="dxa"/>
            <w:vAlign w:val="bottom"/>
          </w:tcPr>
          <w:p>
            <w:pPr>
              <w:spacing w:after="0"/>
              <w:rPr>
                <w:sz w:val="24"/>
                <w:szCs w:val="24"/>
                <w:color w:val="auto"/>
              </w:rPr>
            </w:pPr>
          </w:p>
        </w:tc>
        <w:tc>
          <w:tcPr>
            <w:tcW w:w="10340" w:type="dxa"/>
            <w:vAlign w:val="bottom"/>
            <w:gridSpan w:val="25"/>
          </w:tcPr>
          <w:p>
            <w:pPr>
              <w:spacing w:after="0"/>
              <w:rPr>
                <w:rFonts w:ascii="Arial" w:cs="Arial" w:eastAsia="Arial" w:hAnsi="Arial"/>
                <w:sz w:val="18"/>
                <w:szCs w:val="18"/>
                <w:color w:val="0000FF"/>
                <w:w w:val="95"/>
              </w:rPr>
            </w:pPr>
            <w:hyperlink r:id="rId70">
              <w:r>
                <w:rPr>
                  <w:rFonts w:ascii="Arial" w:cs="Arial" w:eastAsia="Arial" w:hAnsi="Arial"/>
                  <w:sz w:val="18"/>
                  <w:szCs w:val="18"/>
                  <w:color w:val="0000FF"/>
                  <w:w w:val="95"/>
                </w:rPr>
                <w:t xml:space="preserve">Amended Certificate of Designation, Preferences and Rights of </w:t>
              </w:r>
              <w:r>
                <w:rPr>
                  <w:rFonts w:ascii="Arial" w:cs="Arial" w:eastAsia="Arial" w:hAnsi="Arial"/>
                  <w:sz w:val="18"/>
                  <w:szCs w:val="18"/>
                  <w:u w:val="single" w:color="auto"/>
                  <w:color w:val="0000FF"/>
                  <w:w w:val="95"/>
                </w:rPr>
                <w:t>$</w:t>
              </w:r>
              <w:r>
                <w:rPr>
                  <w:rFonts w:ascii="Arial" w:cs="Arial" w:eastAsia="Arial" w:hAnsi="Arial"/>
                  <w:sz w:val="18"/>
                  <w:szCs w:val="18"/>
                  <w:color w:val="0000FF"/>
                  <w:w w:val="95"/>
                </w:rPr>
                <w:t xml:space="preserve">8.75 Voting Preferred Stock, </w:t>
              </w:r>
              <w:r>
                <w:rPr>
                  <w:rFonts w:ascii="Arial" w:cs="Arial" w:eastAsia="Arial" w:hAnsi="Arial"/>
                  <w:sz w:val="18"/>
                  <w:szCs w:val="18"/>
                  <w:u w:val="single" w:color="auto"/>
                  <w:color w:val="0000FF"/>
                  <w:w w:val="95"/>
                </w:rPr>
                <w:t>$</w:t>
              </w:r>
              <w:r>
                <w:rPr>
                  <w:rFonts w:ascii="Arial" w:cs="Arial" w:eastAsia="Arial" w:hAnsi="Arial"/>
                  <w:sz w:val="18"/>
                  <w:szCs w:val="18"/>
                  <w:color w:val="0000FF"/>
                  <w:w w:val="95"/>
                </w:rPr>
                <w:t>100.00 Par Value, Series B of Limoneira</w:t>
              </w:r>
            </w:hyperlink>
          </w:p>
        </w:tc>
        <w:tc>
          <w:tcPr>
            <w:tcW w:w="0" w:type="dxa"/>
            <w:vAlign w:val="bottom"/>
          </w:tcPr>
          <w:p>
            <w:pPr>
              <w:spacing w:after="0"/>
              <w:rPr>
                <w:sz w:val="1"/>
                <w:szCs w:val="1"/>
                <w:color w:val="auto"/>
              </w:rPr>
            </w:pPr>
          </w:p>
        </w:tc>
      </w:tr>
      <w:tr>
        <w:trPr>
          <w:trHeight w:val="155"/>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4.3</w:t>
            </w:r>
          </w:p>
        </w:tc>
        <w:tc>
          <w:tcPr>
            <w:tcW w:w="101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6"/>
              </w:rPr>
            </w:pPr>
            <w:hyperlink r:id="rId70">
              <w:r>
                <w:rPr>
                  <w:rFonts w:ascii="Arial" w:cs="Arial" w:eastAsia="Arial" w:hAnsi="Arial"/>
                  <w:sz w:val="18"/>
                  <w:szCs w:val="18"/>
                  <w:color w:val="0000FF"/>
                  <w:w w:val="96"/>
                </w:rPr>
                <w:t>Company, dated May 21, 1997 (Incorporated by reference to Exhibit 3.5 to the Company’s Registration Statement on Form 10, and</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10180" w:type="dxa"/>
            <w:vAlign w:val="bottom"/>
            <w:gridSpan w:val="17"/>
          </w:tcPr>
          <w:p>
            <w:pPr>
              <w:spacing w:after="0" w:line="169" w:lineRule="exact"/>
              <w:rPr>
                <w:rFonts w:ascii="Arial" w:cs="Arial" w:eastAsia="Arial" w:hAnsi="Arial"/>
                <w:sz w:val="18"/>
                <w:szCs w:val="18"/>
                <w:color w:val="0000FF"/>
              </w:rPr>
            </w:pPr>
            <w:hyperlink r:id="rId70">
              <w:r>
                <w:rPr>
                  <w:rFonts w:ascii="Arial" w:cs="Arial" w:eastAsia="Arial" w:hAnsi="Arial"/>
                  <w:sz w:val="18"/>
                  <w:szCs w:val="18"/>
                  <w:color w:val="0000FF"/>
                </w:rPr>
                <w:t>amendments thereto, declared effective April 13, 2010 (File No. 000-53885))</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340" w:type="dxa"/>
            <w:vAlign w:val="bottom"/>
            <w:gridSpan w:val="4"/>
            <w:shd w:val="clear" w:color="auto" w:fill="0000FF"/>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spacing w:after="0"/>
              <w:rPr>
                <w:sz w:val="24"/>
                <w:szCs w:val="24"/>
                <w:color w:val="auto"/>
              </w:rPr>
            </w:pPr>
          </w:p>
        </w:tc>
        <w:tc>
          <w:tcPr>
            <w:tcW w:w="10340" w:type="dxa"/>
            <w:vAlign w:val="bottom"/>
            <w:gridSpan w:val="25"/>
          </w:tcPr>
          <w:p>
            <w:pPr>
              <w:spacing w:after="0"/>
              <w:rPr>
                <w:rFonts w:ascii="Arial" w:cs="Arial" w:eastAsia="Arial" w:hAnsi="Arial"/>
                <w:sz w:val="18"/>
                <w:szCs w:val="18"/>
                <w:color w:val="0000FF"/>
              </w:rPr>
            </w:pPr>
            <w:hyperlink r:id="rId71">
              <w:r>
                <w:rPr>
                  <w:rFonts w:ascii="Arial" w:cs="Arial" w:eastAsia="Arial" w:hAnsi="Arial"/>
                  <w:sz w:val="18"/>
                  <w:szCs w:val="18"/>
                  <w:color w:val="0000FF"/>
                </w:rPr>
                <w:t>Certificate of Designation, Preferences and Rights of Series A Junior Participating Preferred Stock, $.01 Par Value, of Limoneira</w:t>
              </w:r>
            </w:hyperlink>
          </w:p>
        </w:tc>
        <w:tc>
          <w:tcPr>
            <w:tcW w:w="0" w:type="dxa"/>
            <w:vAlign w:val="bottom"/>
          </w:tcPr>
          <w:p>
            <w:pPr>
              <w:spacing w:after="0"/>
              <w:rPr>
                <w:sz w:val="1"/>
                <w:szCs w:val="1"/>
                <w:color w:val="auto"/>
              </w:rPr>
            </w:pPr>
          </w:p>
        </w:tc>
      </w:tr>
      <w:tr>
        <w:trPr>
          <w:trHeight w:val="155"/>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4.4</w:t>
            </w:r>
          </w:p>
        </w:tc>
        <w:tc>
          <w:tcPr>
            <w:tcW w:w="10320" w:type="dxa"/>
            <w:vAlign w:val="bottom"/>
            <w:tcBorders>
              <w:top w:val="single" w:sz="8" w:color="0000FF"/>
            </w:tcBorders>
            <w:gridSpan w:val="24"/>
          </w:tcPr>
          <w:p>
            <w:pPr>
              <w:spacing w:after="0" w:line="156" w:lineRule="exact"/>
              <w:rPr>
                <w:rFonts w:ascii="Arial" w:cs="Arial" w:eastAsia="Arial" w:hAnsi="Arial"/>
                <w:sz w:val="18"/>
                <w:szCs w:val="18"/>
                <w:color w:val="0000FF"/>
                <w:w w:val="94"/>
              </w:rPr>
            </w:pPr>
            <w:hyperlink r:id="rId71">
              <w:r>
                <w:rPr>
                  <w:rFonts w:ascii="Arial" w:cs="Arial" w:eastAsia="Arial" w:hAnsi="Arial"/>
                  <w:sz w:val="18"/>
                  <w:szCs w:val="18"/>
                  <w:color w:val="0000FF"/>
                  <w:w w:val="94"/>
                </w:rPr>
                <w:t>Company, dated November 21, 2006 (Incorporated by reference to Exhibit 3.8 to the Company’s Registration Statement on Form 10, and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1012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71">
              <w:r>
                <w:rPr>
                  <w:rFonts w:ascii="Arial" w:cs="Arial" w:eastAsia="Arial" w:hAnsi="Arial"/>
                  <w:sz w:val="18"/>
                  <w:szCs w:val="18"/>
                  <w:color w:val="0000FF"/>
                </w:rPr>
                <w:t>amendments thereto, declared effective April 13, 2010 (File No. 000-53885))</w:t>
              </w:r>
            </w:hyperlink>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340" w:type="dxa"/>
            <w:vAlign w:val="bottom"/>
            <w:gridSpan w:val="4"/>
            <w:shd w:val="clear" w:color="auto" w:fill="0000FF"/>
          </w:tcPr>
          <w:p>
            <w:pPr>
              <w:spacing w:after="0" w:line="20" w:lineRule="exact"/>
              <w:rPr>
                <w:sz w:val="1"/>
                <w:szCs w:val="1"/>
                <w:color w:val="auto"/>
              </w:rPr>
            </w:pPr>
          </w:p>
        </w:tc>
        <w:tc>
          <w:tcPr>
            <w:tcW w:w="468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spacing w:after="0"/>
              <w:rPr>
                <w:sz w:val="24"/>
                <w:szCs w:val="24"/>
                <w:color w:val="auto"/>
              </w:rPr>
            </w:pPr>
          </w:p>
        </w:tc>
        <w:tc>
          <w:tcPr>
            <w:tcW w:w="10340" w:type="dxa"/>
            <w:vAlign w:val="bottom"/>
            <w:gridSpan w:val="25"/>
          </w:tcPr>
          <w:p>
            <w:pPr>
              <w:spacing w:after="0"/>
              <w:rPr>
                <w:rFonts w:ascii="Arial" w:cs="Arial" w:eastAsia="Arial" w:hAnsi="Arial"/>
                <w:sz w:val="18"/>
                <w:szCs w:val="18"/>
                <w:color w:val="0000FF"/>
                <w:w w:val="95"/>
              </w:rPr>
            </w:pPr>
            <w:hyperlink r:id="rId72">
              <w:r>
                <w:rPr>
                  <w:rFonts w:ascii="Arial" w:cs="Arial" w:eastAsia="Arial" w:hAnsi="Arial"/>
                  <w:sz w:val="18"/>
                  <w:szCs w:val="18"/>
                  <w:color w:val="0000FF"/>
                  <w:w w:val="95"/>
                </w:rPr>
                <w:t xml:space="preserve">Certificate of Designation, Preferences and Rights of 4% Voting Preferred Stock, </w:t>
              </w:r>
              <w:r>
                <w:rPr>
                  <w:rFonts w:ascii="Arial" w:cs="Arial" w:eastAsia="Arial" w:hAnsi="Arial"/>
                  <w:sz w:val="18"/>
                  <w:szCs w:val="18"/>
                  <w:u w:val="single" w:color="auto"/>
                  <w:color w:val="0000FF"/>
                  <w:w w:val="95"/>
                </w:rPr>
                <w:t>$</w:t>
              </w:r>
              <w:r>
                <w:rPr>
                  <w:rFonts w:ascii="Arial" w:cs="Arial" w:eastAsia="Arial" w:hAnsi="Arial"/>
                  <w:sz w:val="18"/>
                  <w:szCs w:val="18"/>
                  <w:color w:val="0000FF"/>
                  <w:w w:val="95"/>
                </w:rPr>
                <w:t>100.00 Par Value, Series B-2 of Limoneira Company,</w:t>
              </w:r>
            </w:hyperlink>
          </w:p>
        </w:tc>
        <w:tc>
          <w:tcPr>
            <w:tcW w:w="0" w:type="dxa"/>
            <w:vAlign w:val="bottom"/>
          </w:tcPr>
          <w:p>
            <w:pPr>
              <w:spacing w:after="0"/>
              <w:rPr>
                <w:sz w:val="1"/>
                <w:szCs w:val="1"/>
                <w:color w:val="auto"/>
              </w:rPr>
            </w:pPr>
          </w:p>
        </w:tc>
      </w:tr>
      <w:tr>
        <w:trPr>
          <w:trHeight w:val="156"/>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4.5</w:t>
            </w:r>
          </w:p>
        </w:tc>
        <w:tc>
          <w:tcPr>
            <w:tcW w:w="1024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3"/>
              </w:rPr>
            </w:pPr>
            <w:hyperlink r:id="rId72">
              <w:r>
                <w:rPr>
                  <w:rFonts w:ascii="Arial" w:cs="Arial" w:eastAsia="Arial" w:hAnsi="Arial"/>
                  <w:sz w:val="18"/>
                  <w:szCs w:val="18"/>
                  <w:color w:val="0000FF"/>
                  <w:w w:val="93"/>
                </w:rPr>
                <w:t>dated March 20, 2014 (Incorporated by reference to Exhibit 3.1 to the Company’s Current Report on Form 8-K, filed March 24, 2014 (File</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1220" w:type="dxa"/>
            <w:vAlign w:val="bottom"/>
            <w:tcBorders>
              <w:bottom w:val="single" w:sz="8" w:color="0000FF"/>
            </w:tcBorders>
            <w:gridSpan w:val="2"/>
          </w:tcPr>
          <w:p>
            <w:pPr>
              <w:spacing w:after="0" w:line="169"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No. 001-34755))</w:t>
              </w:r>
            </w:hyperlink>
          </w:p>
        </w:tc>
        <w:tc>
          <w:tcPr>
            <w:tcW w:w="9080" w:type="dxa"/>
            <w:vAlign w:val="bottom"/>
            <w:gridSpan w:val="21"/>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885"/>
        </w:trPr>
        <w:tc>
          <w:tcPr>
            <w:tcW w:w="1180" w:type="dxa"/>
            <w:vAlign w:val="bottom"/>
          </w:tcPr>
          <w:p>
            <w:pPr>
              <w:spacing w:after="0"/>
              <w:rPr>
                <w:sz w:val="24"/>
                <w:szCs w:val="24"/>
                <w:color w:val="auto"/>
              </w:rPr>
            </w:pPr>
          </w:p>
        </w:tc>
        <w:tc>
          <w:tcPr>
            <w:tcW w:w="4620" w:type="dxa"/>
            <w:vAlign w:val="bottom"/>
            <w:gridSpan w:val="5"/>
          </w:tcPr>
          <w:p>
            <w:pPr>
              <w:ind w:left="4360"/>
              <w:spacing w:after="0"/>
              <w:rPr>
                <w:sz w:val="20"/>
                <w:szCs w:val="20"/>
                <w:color w:val="auto"/>
              </w:rPr>
            </w:pPr>
            <w:r>
              <w:rPr>
                <w:rFonts w:ascii="Arial" w:cs="Arial" w:eastAsia="Arial" w:hAnsi="Arial"/>
                <w:sz w:val="18"/>
                <w:szCs w:val="18"/>
                <w:color w:val="auto"/>
              </w:rPr>
              <w:t>46</w:t>
            </w: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16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160" w:type="dxa"/>
            <w:vAlign w:val="bottom"/>
            <w:gridSpan w:val="14"/>
          </w:tcPr>
          <w:p>
            <w:pPr>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10160" w:type="dxa"/>
            <w:vAlign w:val="bottom"/>
            <w:gridSpan w:val="14"/>
          </w:tcPr>
          <w:p>
            <w:pPr>
              <w:spacing w:after="0" w:line="190" w:lineRule="exact"/>
              <w:rPr>
                <w:rFonts w:ascii="Arial" w:cs="Arial" w:eastAsia="Arial" w:hAnsi="Arial"/>
                <w:sz w:val="18"/>
                <w:szCs w:val="18"/>
                <w:color w:val="0000FF"/>
                <w:w w:val="94"/>
              </w:rPr>
            </w:pPr>
            <w:hyperlink r:id="rId75">
              <w:r>
                <w:rPr>
                  <w:rFonts w:ascii="Arial" w:cs="Arial" w:eastAsia="Arial" w:hAnsi="Arial"/>
                  <w:sz w:val="18"/>
                  <w:szCs w:val="18"/>
                  <w:color w:val="0000FF"/>
                  <w:w w:val="94"/>
                </w:rPr>
                <w:t>Purchase and Sale Agreement and Joint Escrow Instructions, dated October 10, 2022, by and between Limoneira Company and PGIM</w:t>
              </w:r>
            </w:hyperlink>
          </w:p>
        </w:tc>
        <w:tc>
          <w:tcPr>
            <w:tcW w:w="0" w:type="dxa"/>
            <w:vAlign w:val="bottom"/>
          </w:tcPr>
          <w:p>
            <w:pPr>
              <w:spacing w:after="0"/>
              <w:rPr>
                <w:sz w:val="1"/>
                <w:szCs w:val="1"/>
                <w:color w:val="auto"/>
              </w:rPr>
            </w:pPr>
          </w:p>
        </w:tc>
      </w:tr>
      <w:tr>
        <w:trPr>
          <w:trHeight w:val="155"/>
        </w:trPr>
        <w:tc>
          <w:tcPr>
            <w:tcW w:w="116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10140" w:type="dxa"/>
            <w:vAlign w:val="bottom"/>
            <w:tcBorders>
              <w:top w:val="single" w:sz="8" w:color="0000FF"/>
            </w:tcBorders>
            <w:gridSpan w:val="13"/>
          </w:tcPr>
          <w:p>
            <w:pPr>
              <w:spacing w:after="0" w:line="156" w:lineRule="exact"/>
              <w:rPr>
                <w:rFonts w:ascii="Arial" w:cs="Arial" w:eastAsia="Arial" w:hAnsi="Arial"/>
                <w:sz w:val="18"/>
                <w:szCs w:val="18"/>
                <w:color w:val="0000FF"/>
                <w:w w:val="95"/>
              </w:rPr>
            </w:pPr>
            <w:hyperlink r:id="rId75">
              <w:r>
                <w:rPr>
                  <w:rFonts w:ascii="Arial" w:cs="Arial" w:eastAsia="Arial" w:hAnsi="Arial"/>
                  <w:sz w:val="18"/>
                  <w:szCs w:val="18"/>
                  <w:color w:val="0000FF"/>
                  <w:w w:val="95"/>
                </w:rPr>
                <w:t>Real Estate Finance, LLC (Incorporated by reference to Exhibit 10.1 to the Company’s Current Report on Form 8-K, filed January 31,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6"/>
              </w:rPr>
            </w:pPr>
            <w:hyperlink r:id="rId75">
              <w:r>
                <w:rPr>
                  <w:rFonts w:ascii="Arial" w:cs="Arial" w:eastAsia="Arial" w:hAnsi="Arial"/>
                  <w:sz w:val="18"/>
                  <w:szCs w:val="18"/>
                  <w:color w:val="0000FF"/>
                  <w:w w:val="86"/>
                </w:rPr>
                <w:t>2023)</w:t>
              </w:r>
            </w:hyperlink>
          </w:p>
        </w:tc>
        <w:tc>
          <w:tcPr>
            <w:tcW w:w="940" w:type="dxa"/>
            <w:vAlign w:val="bottom"/>
            <w:tcBorders>
              <w:top w:val="single" w:sz="8" w:color="0000FF"/>
            </w:tcBorders>
          </w:tcPr>
          <w:p>
            <w:pPr>
              <w:spacing w:after="0"/>
              <w:rPr>
                <w:sz w:val="14"/>
                <w:szCs w:val="14"/>
                <w:color w:val="auto"/>
              </w:rPr>
            </w:pPr>
          </w:p>
        </w:tc>
        <w:tc>
          <w:tcPr>
            <w:tcW w:w="47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6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10160" w:type="dxa"/>
            <w:vAlign w:val="bottom"/>
            <w:gridSpan w:val="14"/>
          </w:tcPr>
          <w:p>
            <w:pPr>
              <w:spacing w:after="0"/>
              <w:rPr>
                <w:rFonts w:ascii="Arial" w:cs="Arial" w:eastAsia="Arial" w:hAnsi="Arial"/>
                <w:sz w:val="18"/>
                <w:szCs w:val="18"/>
                <w:color w:val="0000FF"/>
                <w:w w:val="93"/>
              </w:rPr>
            </w:pPr>
            <w:hyperlink r:id="rId76">
              <w:r>
                <w:rPr>
                  <w:rFonts w:ascii="Arial" w:cs="Arial" w:eastAsia="Arial" w:hAnsi="Arial"/>
                  <w:sz w:val="18"/>
                  <w:szCs w:val="18"/>
                  <w:color w:val="0000FF"/>
                  <w:w w:val="93"/>
                </w:rPr>
                <w:t>First Amendment to Purchase and Sale Agreement and Joint Escrow Instructions, dated January 17, 2023 (Incorporated by reference to</w:t>
              </w:r>
            </w:hyperlink>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60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76">
              <w:r>
                <w:rPr>
                  <w:rFonts w:ascii="Arial" w:cs="Arial" w:eastAsia="Arial" w:hAnsi="Arial"/>
                  <w:sz w:val="16"/>
                  <w:szCs w:val="16"/>
                  <w:color w:val="0000FF"/>
                </w:rPr>
                <w:t>Exhibit 10.2 to the Company’s Current Report on Form 8-K, filed January 31, 2023)</w:t>
              </w:r>
            </w:hyperlink>
          </w:p>
        </w:tc>
        <w:tc>
          <w:tcPr>
            <w:tcW w:w="1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16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10160" w:type="dxa"/>
            <w:vAlign w:val="bottom"/>
            <w:gridSpan w:val="14"/>
          </w:tcPr>
          <w:p>
            <w:pPr>
              <w:spacing w:after="0"/>
              <w:rPr>
                <w:rFonts w:ascii="Arial" w:cs="Arial" w:eastAsia="Arial" w:hAnsi="Arial"/>
                <w:sz w:val="18"/>
                <w:szCs w:val="18"/>
                <w:color w:val="0000FF"/>
                <w:w w:val="91"/>
              </w:rPr>
            </w:pPr>
            <w:hyperlink r:id="rId77">
              <w:r>
                <w:rPr>
                  <w:rFonts w:ascii="Arial" w:cs="Arial" w:eastAsia="Arial" w:hAnsi="Arial"/>
                  <w:sz w:val="18"/>
                  <w:szCs w:val="18"/>
                  <w:color w:val="0000FF"/>
                  <w:w w:val="91"/>
                </w:rPr>
                <w:t>Second Amendment to Purchase and Sale Agreement and Joint Escrow Instructions, dated January 24, 2023 (Incorporated by reference to</w:t>
              </w:r>
            </w:hyperlink>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1008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77">
              <w:r>
                <w:rPr>
                  <w:rFonts w:ascii="Arial" w:cs="Arial" w:eastAsia="Arial" w:hAnsi="Arial"/>
                  <w:sz w:val="16"/>
                  <w:szCs w:val="16"/>
                  <w:color w:val="0000FF"/>
                </w:rPr>
                <w:t>Exhibit 10.3 to the Company’s Current Report on Form 8-K, filed January 31, 2023)</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vMerge w:val="restart"/>
          </w:tcPr>
          <w:p>
            <w:pPr>
              <w:spacing w:after="0"/>
              <w:rPr>
                <w:sz w:val="20"/>
                <w:szCs w:val="20"/>
                <w:color w:val="auto"/>
              </w:rPr>
            </w:pPr>
            <w:r>
              <w:rPr>
                <w:rFonts w:ascii="Arial" w:cs="Arial" w:eastAsia="Arial" w:hAnsi="Arial"/>
                <w:sz w:val="18"/>
                <w:szCs w:val="18"/>
                <w:color w:val="auto"/>
              </w:rPr>
              <w:t>10.4</w:t>
            </w:r>
          </w:p>
        </w:tc>
        <w:tc>
          <w:tcPr>
            <w:tcW w:w="10160" w:type="dxa"/>
            <w:vAlign w:val="bottom"/>
            <w:gridSpan w:val="14"/>
          </w:tcPr>
          <w:p>
            <w:pPr>
              <w:spacing w:after="0"/>
              <w:rPr>
                <w:rFonts w:ascii="Arial" w:cs="Arial" w:eastAsia="Arial" w:hAnsi="Arial"/>
                <w:sz w:val="18"/>
                <w:szCs w:val="18"/>
                <w:color w:val="0000FF"/>
                <w:w w:val="97"/>
              </w:rPr>
            </w:pPr>
            <w:hyperlink r:id="rId78">
              <w:r>
                <w:rPr>
                  <w:rFonts w:ascii="Arial" w:cs="Arial" w:eastAsia="Arial" w:hAnsi="Arial"/>
                  <w:sz w:val="18"/>
                  <w:szCs w:val="18"/>
                  <w:color w:val="0000FF"/>
                  <w:w w:val="97"/>
                </w:rPr>
                <w:t>Farm Management Agreement, dated January 31, 2023, by and between Capital Agricultural Property Services, Inc. and Limoneira</w:t>
              </w:r>
            </w:hyperlink>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1006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78">
              <w:r>
                <w:rPr>
                  <w:rFonts w:ascii="Arial" w:cs="Arial" w:eastAsia="Arial" w:hAnsi="Arial"/>
                  <w:sz w:val="16"/>
                  <w:szCs w:val="16"/>
                  <w:color w:val="0000FF"/>
                </w:rPr>
                <w:t>Company (Incorporated by reference to Exhibit 10.6 to the Company’s Quarterly Report on Form 10-Q, filed March 9, 2023)</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0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vMerge w:val="restart"/>
          </w:tcPr>
          <w:p>
            <w:pPr>
              <w:spacing w:after="0"/>
              <w:rPr>
                <w:sz w:val="20"/>
                <w:szCs w:val="20"/>
                <w:color w:val="auto"/>
              </w:rPr>
            </w:pPr>
            <w:r>
              <w:rPr>
                <w:rFonts w:ascii="Arial" w:cs="Arial" w:eastAsia="Arial" w:hAnsi="Arial"/>
                <w:sz w:val="18"/>
                <w:szCs w:val="18"/>
                <w:color w:val="auto"/>
              </w:rPr>
              <w:t>10.5</w:t>
            </w:r>
          </w:p>
        </w:tc>
        <w:tc>
          <w:tcPr>
            <w:tcW w:w="10160" w:type="dxa"/>
            <w:vAlign w:val="bottom"/>
            <w:gridSpan w:val="14"/>
          </w:tcPr>
          <w:p>
            <w:pPr>
              <w:spacing w:after="0"/>
              <w:rPr>
                <w:rFonts w:ascii="Arial" w:cs="Arial" w:eastAsia="Arial" w:hAnsi="Arial"/>
                <w:sz w:val="18"/>
                <w:szCs w:val="18"/>
                <w:color w:val="0000FF"/>
                <w:w w:val="94"/>
              </w:rPr>
            </w:pPr>
            <w:hyperlink r:id="rId79">
              <w:r>
                <w:rPr>
                  <w:rFonts w:ascii="Arial" w:cs="Arial" w:eastAsia="Arial" w:hAnsi="Arial"/>
                  <w:sz w:val="18"/>
                  <w:szCs w:val="18"/>
                  <w:color w:val="0000FF"/>
                  <w:w w:val="94"/>
                </w:rPr>
                <w:t>Grower Packing &amp; Marketing Agreement, dated as of January 31, 2023, by and between Limoneira Company and PAI Centurion Citrus,</w:t>
              </w:r>
            </w:hyperlink>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1004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79">
              <w:r>
                <w:rPr>
                  <w:rFonts w:ascii="Arial" w:cs="Arial" w:eastAsia="Arial" w:hAnsi="Arial"/>
                  <w:sz w:val="16"/>
                  <w:szCs w:val="16"/>
                  <w:color w:val="0000FF"/>
                </w:rPr>
                <w:t>LLC (Incorporated by reference to Exhibit 10.7 to the Company’s Quarterly Report on Form 10-Q, filed March 9, 2023)</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75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1"/>
              </w:rPr>
              <w:t>Certification of the Principal Executive Officer pursuant to Exchange Act Rule 13a-14(a) and 15d-14(a)</w:t>
            </w:r>
          </w:p>
        </w:tc>
        <w:tc>
          <w:tcPr>
            <w:tcW w:w="1160" w:type="dxa"/>
            <w:vAlign w:val="bottom"/>
            <w:tcBorders>
              <w:top w:val="single" w:sz="8" w:color="0000FF"/>
            </w:tcBorders>
          </w:tcPr>
          <w:p>
            <w:pPr>
              <w:spacing w:after="0"/>
              <w:rPr>
                <w:sz w:val="24"/>
                <w:szCs w:val="24"/>
                <w:color w:val="auto"/>
              </w:rPr>
            </w:pPr>
          </w:p>
        </w:tc>
        <w:tc>
          <w:tcPr>
            <w:tcW w:w="15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160" w:type="dxa"/>
            <w:vAlign w:val="bottom"/>
            <w:gridSpan w:val="14"/>
          </w:tcPr>
          <w:p>
            <w:pPr>
              <w:spacing w:after="0"/>
              <w:rPr>
                <w:sz w:val="20"/>
                <w:szCs w:val="20"/>
                <w:color w:val="auto"/>
              </w:rPr>
            </w:pPr>
            <w:r>
              <w:rPr>
                <w:rFonts w:ascii="Arial" w:cs="Arial" w:eastAsia="Arial" w:hAnsi="Arial"/>
                <w:sz w:val="18"/>
                <w:szCs w:val="18"/>
                <w:color w:val="0000FF"/>
              </w:rPr>
              <w:t>Certification of the Principal Financial Officer pursuant to Exchange Act Rule 13a-14(a) and 15d-14(a)</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080" w:type="dxa"/>
            <w:vAlign w:val="bottom"/>
            <w:gridSpan w:val="2"/>
            <w:shd w:val="clear" w:color="auto" w:fill="0000FF"/>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10160" w:type="dxa"/>
            <w:vAlign w:val="bottom"/>
            <w:gridSpan w:val="14"/>
          </w:tcPr>
          <w:p>
            <w:pPr>
              <w:spacing w:after="0"/>
              <w:rPr>
                <w:sz w:val="20"/>
                <w:szCs w:val="20"/>
                <w:color w:val="auto"/>
              </w:rPr>
            </w:pPr>
            <w:r>
              <w:rPr>
                <w:rFonts w:ascii="Arial" w:cs="Arial" w:eastAsia="Arial" w:hAnsi="Arial"/>
                <w:sz w:val="18"/>
                <w:szCs w:val="18"/>
                <w:color w:val="0000FF"/>
                <w:w w:val="93"/>
              </w:rPr>
              <w:t>Certification of the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136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Oxley Act of 2002</w:t>
            </w:r>
          </w:p>
        </w:tc>
        <w:tc>
          <w:tcPr>
            <w:tcW w:w="874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16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101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4"/>
              </w:rPr>
              <w:t>Certification of the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136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Oxley Act of 2002</w:t>
            </w:r>
          </w:p>
        </w:tc>
        <w:tc>
          <w:tcPr>
            <w:tcW w:w="880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160" w:type="dxa"/>
            <w:vAlign w:val="bottom"/>
          </w:tcPr>
          <w:p>
            <w:pPr>
              <w:spacing w:after="0"/>
              <w:rPr>
                <w:sz w:val="24"/>
                <w:szCs w:val="24"/>
                <w:color w:val="auto"/>
              </w:rPr>
            </w:pPr>
          </w:p>
        </w:tc>
        <w:tc>
          <w:tcPr>
            <w:tcW w:w="10160" w:type="dxa"/>
            <w:vAlign w:val="bottom"/>
            <w:gridSpan w:val="14"/>
          </w:tcPr>
          <w:p>
            <w:pPr>
              <w:spacing w:after="0"/>
              <w:rPr>
                <w:sz w:val="20"/>
                <w:szCs w:val="20"/>
                <w:color w:val="auto"/>
              </w:rPr>
            </w:pPr>
            <w:r>
              <w:rPr>
                <w:rFonts w:ascii="Arial" w:cs="Arial" w:eastAsia="Arial" w:hAnsi="Arial"/>
                <w:sz w:val="18"/>
                <w:szCs w:val="18"/>
                <w:color w:val="auto"/>
                <w:w w:val="96"/>
              </w:rPr>
              <w:t>The following information from the Company's Quarterly Report on Form 10-Q for the quarter ended July 31, 2023 formatted in Inline</w:t>
            </w: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10160" w:type="dxa"/>
            <w:vAlign w:val="bottom"/>
            <w:gridSpan w:val="14"/>
          </w:tcPr>
          <w:p>
            <w:pPr>
              <w:spacing w:after="0" w:line="189" w:lineRule="exact"/>
              <w:rPr>
                <w:sz w:val="20"/>
                <w:szCs w:val="20"/>
                <w:color w:val="auto"/>
              </w:rPr>
            </w:pPr>
            <w:r>
              <w:rPr>
                <w:rFonts w:ascii="Arial" w:cs="Arial" w:eastAsia="Arial" w:hAnsi="Arial"/>
                <w:sz w:val="18"/>
                <w:szCs w:val="18"/>
                <w:color w:val="auto"/>
                <w:w w:val="98"/>
              </w:rPr>
              <w:t>XBRL (Extensible Business Reporting Language) includes: (i) the Consolidated Balance Sheets (Unaudited), (ii) the Consolidated</w:t>
            </w: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160" w:type="dxa"/>
            <w:vAlign w:val="bottom"/>
            <w:gridSpan w:val="14"/>
          </w:tcPr>
          <w:p>
            <w:pPr>
              <w:spacing w:after="0" w:line="176" w:lineRule="exact"/>
              <w:rPr>
                <w:sz w:val="20"/>
                <w:szCs w:val="20"/>
                <w:color w:val="auto"/>
              </w:rPr>
            </w:pPr>
            <w:r>
              <w:rPr>
                <w:rFonts w:ascii="Arial" w:cs="Arial" w:eastAsia="Arial" w:hAnsi="Arial"/>
                <w:sz w:val="18"/>
                <w:szCs w:val="18"/>
                <w:color w:val="auto"/>
              </w:rPr>
              <w:t>Statements of Operations (Unaudited), (iii) the Consolidated Statements of Comprehensive (Loss) Income (Unaudited), (iv) the</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10160" w:type="dxa"/>
            <w:vAlign w:val="bottom"/>
            <w:gridSpan w:val="14"/>
          </w:tcPr>
          <w:p>
            <w:pPr>
              <w:spacing w:after="0" w:line="176" w:lineRule="exact"/>
              <w:rPr>
                <w:sz w:val="20"/>
                <w:szCs w:val="20"/>
                <w:color w:val="auto"/>
              </w:rPr>
            </w:pPr>
            <w:r>
              <w:rPr>
                <w:rFonts w:ascii="Arial" w:cs="Arial" w:eastAsia="Arial" w:hAnsi="Arial"/>
                <w:sz w:val="18"/>
                <w:szCs w:val="18"/>
                <w:color w:val="auto"/>
                <w:w w:val="96"/>
              </w:rPr>
              <w:t>Consolidated Statements of Stockholders' Equity and Temporary Equity (Unaudited), (v) the Consolidated Statements of Cash Flows</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160" w:type="dxa"/>
            <w:vAlign w:val="bottom"/>
            <w:gridSpan w:val="14"/>
          </w:tcPr>
          <w:p>
            <w:pPr>
              <w:spacing w:after="0"/>
              <w:rPr>
                <w:sz w:val="20"/>
                <w:szCs w:val="20"/>
                <w:color w:val="auto"/>
              </w:rPr>
            </w:pPr>
            <w:r>
              <w:rPr>
                <w:rFonts w:ascii="Arial" w:cs="Arial" w:eastAsia="Arial" w:hAnsi="Arial"/>
                <w:sz w:val="18"/>
                <w:szCs w:val="18"/>
                <w:color w:val="auto"/>
              </w:rPr>
              <w:t>(Unaudited), and (vi) the Notes to Consolidated Financial Statements (Unaudited)</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160" w:hanging="1154"/>
        <w:spacing w:after="0"/>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cover page for the Company's Quarterly Report on Form 10-Q for the quarter ended July 31, 2023 has been formatted in Inline XBRL</w:t>
      </w:r>
    </w:p>
    <w:p>
      <w:pPr>
        <w:spacing w:after="0" w:line="30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or furnished herewith,</w:t>
      </w:r>
    </w:p>
    <w:p>
      <w:pPr>
        <w:spacing w:after="0" w:line="184" w:lineRule="exact"/>
        <w:rPr>
          <w:rFonts w:ascii="Arial" w:cs="Arial" w:eastAsia="Arial" w:hAnsi="Arial"/>
          <w:sz w:val="16"/>
          <w:szCs w:val="16"/>
          <w:color w:val="auto"/>
        </w:rPr>
      </w:pPr>
    </w:p>
    <w:p>
      <w:pPr>
        <w:jc w:val="both"/>
        <w:ind w:left="1140"/>
        <w:spacing w:after="0" w:line="252" w:lineRule="auto"/>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69" w:right="3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3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LIMONEIRA COMPANY</w:t>
      </w:r>
    </w:p>
    <w:p>
      <w:pPr>
        <w:spacing w:after="0" w:line="252" w:lineRule="exact"/>
        <w:rPr>
          <w:sz w:val="20"/>
          <w:szCs w:val="20"/>
          <w:color w:val="auto"/>
        </w:rPr>
      </w:pPr>
    </w:p>
    <w:p>
      <w:pPr>
        <w:ind w:left="20"/>
        <w:spacing w:after="0"/>
        <w:tabs>
          <w:tab w:leader="none" w:pos="5100" w:val="left"/>
          <w:tab w:leader="none" w:pos="5640" w:val="left"/>
        </w:tabs>
        <w:rPr>
          <w:sz w:val="20"/>
          <w:szCs w:val="20"/>
          <w:color w:val="auto"/>
        </w:rPr>
      </w:pPr>
      <w:r>
        <w:rPr>
          <w:rFonts w:ascii="Arial" w:cs="Arial" w:eastAsia="Arial" w:hAnsi="Arial"/>
          <w:sz w:val="18"/>
          <w:szCs w:val="18"/>
          <w:color w:val="auto"/>
        </w:rPr>
        <w:t>September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31750</wp:posOffset>
            </wp:positionV>
            <wp:extent cx="35572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ind w:left="20"/>
        <w:spacing w:after="0"/>
        <w:tabs>
          <w:tab w:leader="none" w:pos="5100" w:val="left"/>
          <w:tab w:leader="none" w:pos="5640" w:val="left"/>
        </w:tabs>
        <w:rPr>
          <w:sz w:val="20"/>
          <w:szCs w:val="20"/>
          <w:color w:val="auto"/>
        </w:rPr>
      </w:pPr>
      <w:r>
        <w:rPr>
          <w:rFonts w:ascii="Arial" w:cs="Arial" w:eastAsia="Arial" w:hAnsi="Arial"/>
          <w:sz w:val="18"/>
          <w:szCs w:val="18"/>
          <w:color w:val="auto"/>
        </w:rPr>
        <w:t>September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31750</wp:posOffset>
            </wp:positionV>
            <wp:extent cx="35572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Mark Palamountain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20"/>
          </w:cols>
          <w:pgMar w:left="320" w:top="369" w:right="359" w:bottom="11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20"/>
          </w:cols>
          <w:pgMar w:left="320" w:top="369" w:right="359" w:bottom="1141"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Harold S. Edwards, certify that:</w:t>
      </w:r>
    </w:p>
    <w:p>
      <w:pPr>
        <w:spacing w:after="0" w:line="252" w:lineRule="exact"/>
        <w:rPr>
          <w:sz w:val="20"/>
          <w:szCs w:val="20"/>
          <w:color w:val="auto"/>
        </w:rPr>
      </w:pPr>
    </w:p>
    <w:p>
      <w:pPr>
        <w:ind w:left="360" w:hanging="31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52" w:lineRule="exact"/>
        <w:rPr>
          <w:rFonts w:ascii="Arial" w:cs="Arial" w:eastAsia="Arial" w:hAnsi="Arial"/>
          <w:sz w:val="18"/>
          <w:szCs w:val="18"/>
          <w:color w:val="auto"/>
        </w:rPr>
      </w:pPr>
    </w:p>
    <w:p>
      <w:pPr>
        <w:jc w:val="both"/>
        <w:ind w:left="460" w:hanging="412"/>
        <w:spacing w:after="0" w:line="263" w:lineRule="auto"/>
        <w:tabs>
          <w:tab w:leader="none" w:pos="4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460" w:hanging="412"/>
        <w:spacing w:after="0" w:line="308" w:lineRule="auto"/>
        <w:tabs>
          <w:tab w:leader="none" w:pos="4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460" w:hanging="412"/>
        <w:spacing w:after="0" w:line="263" w:lineRule="auto"/>
        <w:tabs>
          <w:tab w:leader="none" w:pos="4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0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86"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00" w:hanging="406"/>
        <w:spacing w:after="0" w:line="342" w:lineRule="auto"/>
        <w:tabs>
          <w:tab w:leader="none" w:pos="99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00" w:hanging="406"/>
        <w:spacing w:after="0" w:line="263" w:lineRule="auto"/>
        <w:tabs>
          <w:tab w:leader="none" w:pos="8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460" w:hanging="412"/>
        <w:spacing w:after="0" w:line="308" w:lineRule="auto"/>
        <w:tabs>
          <w:tab w:leader="none" w:pos="37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00" w:hanging="406"/>
        <w:spacing w:after="0" w:line="277" w:lineRule="auto"/>
        <w:tabs>
          <w:tab w:leader="none" w:pos="89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00" w:right="20" w:hanging="406"/>
        <w:spacing w:after="0" w:line="277" w:lineRule="auto"/>
        <w:tabs>
          <w:tab w:leader="none" w:pos="97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tabs>
          <w:tab w:leader="none" w:pos="5900" w:val="left"/>
        </w:tabs>
        <w:rPr>
          <w:sz w:val="20"/>
          <w:szCs w:val="20"/>
          <w:color w:val="auto"/>
        </w:rPr>
      </w:pPr>
      <w:r>
        <w:rPr>
          <w:rFonts w:ascii="Arial" w:cs="Arial" w:eastAsia="Arial" w:hAnsi="Arial"/>
          <w:sz w:val="18"/>
          <w:szCs w:val="18"/>
          <w:color w:val="auto"/>
        </w:rPr>
        <w:t>September 7, 2023</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74930</wp:posOffset>
            </wp:positionV>
            <wp:extent cx="33858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1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Mark Palamountain, certify that:</w:t>
      </w:r>
    </w:p>
    <w:p>
      <w:pPr>
        <w:spacing w:after="0" w:line="252" w:lineRule="exact"/>
        <w:rPr>
          <w:sz w:val="20"/>
          <w:szCs w:val="20"/>
          <w:color w:val="auto"/>
        </w:rPr>
      </w:pPr>
    </w:p>
    <w:p>
      <w:pPr>
        <w:ind w:left="360" w:hanging="312"/>
        <w:spacing w:after="0"/>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52" w:lineRule="exact"/>
        <w:rPr>
          <w:rFonts w:ascii="Arial" w:cs="Arial" w:eastAsia="Arial" w:hAnsi="Arial"/>
          <w:sz w:val="18"/>
          <w:szCs w:val="18"/>
          <w:color w:val="auto"/>
        </w:rPr>
      </w:pPr>
    </w:p>
    <w:p>
      <w:pPr>
        <w:jc w:val="both"/>
        <w:ind w:left="460" w:hanging="412"/>
        <w:spacing w:after="0" w:line="263" w:lineRule="auto"/>
        <w:tabs>
          <w:tab w:leader="none" w:pos="4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460" w:hanging="412"/>
        <w:spacing w:after="0" w:line="308" w:lineRule="auto"/>
        <w:tabs>
          <w:tab w:leader="none" w:pos="428"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460" w:hanging="412"/>
        <w:spacing w:after="0" w:line="263" w:lineRule="auto"/>
        <w:tabs>
          <w:tab w:leader="none" w:pos="4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0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86"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00" w:hanging="406"/>
        <w:spacing w:after="0" w:line="342" w:lineRule="auto"/>
        <w:tabs>
          <w:tab w:leader="none" w:pos="99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00" w:hanging="406"/>
        <w:spacing w:after="0" w:line="255" w:lineRule="auto"/>
        <w:tabs>
          <w:tab w:leader="none" w:pos="8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left="460" w:hanging="412"/>
        <w:spacing w:after="0" w:line="290" w:lineRule="auto"/>
        <w:tabs>
          <w:tab w:leader="none" w:pos="37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Arial" w:cs="Arial" w:eastAsia="Arial" w:hAnsi="Arial"/>
          <w:sz w:val="17"/>
          <w:szCs w:val="17"/>
          <w:color w:val="auto"/>
        </w:rPr>
      </w:pPr>
    </w:p>
    <w:p>
      <w:pPr>
        <w:ind w:left="900" w:hanging="406"/>
        <w:spacing w:after="0" w:line="277" w:lineRule="auto"/>
        <w:tabs>
          <w:tab w:leader="none" w:pos="893"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00" w:right="20" w:hanging="406"/>
        <w:spacing w:after="0" w:line="277" w:lineRule="auto"/>
        <w:tabs>
          <w:tab w:leader="none" w:pos="975"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tabs>
          <w:tab w:leader="none" w:pos="5900" w:val="left"/>
        </w:tabs>
        <w:rPr>
          <w:sz w:val="20"/>
          <w:szCs w:val="20"/>
          <w:color w:val="auto"/>
        </w:rPr>
      </w:pPr>
      <w:r>
        <w:rPr>
          <w:rFonts w:ascii="Arial" w:cs="Arial" w:eastAsia="Arial" w:hAnsi="Arial"/>
          <w:sz w:val="18"/>
          <w:szCs w:val="18"/>
          <w:color w:val="auto"/>
        </w:rPr>
        <w:t>September 7, 2023</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74930</wp:posOffset>
            </wp:positionV>
            <wp:extent cx="33858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1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Mark Palamountain,</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3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July 31, 2023 (the “Report”) of Limoneira Company (the “Registrant”), as filed with the Securities and Exchange Commission on the date hereof, I, Harold S. Edwards, hereby certify that:</w:t>
      </w:r>
    </w:p>
    <w:p>
      <w:pPr>
        <w:spacing w:after="0" w:line="49" w:lineRule="exact"/>
        <w:rPr>
          <w:sz w:val="20"/>
          <w:szCs w:val="20"/>
          <w:color w:val="auto"/>
        </w:rPr>
      </w:pPr>
    </w:p>
    <w:p>
      <w:pPr>
        <w:ind w:left="880" w:hanging="386"/>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00" w:hanging="406"/>
        <w:spacing w:after="0" w:line="277" w:lineRule="auto"/>
        <w:tabs>
          <w:tab w:leader="none" w:pos="99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6140" w:val="left"/>
        </w:tabs>
        <w:rPr>
          <w:sz w:val="20"/>
          <w:szCs w:val="20"/>
          <w:color w:val="auto"/>
        </w:rPr>
      </w:pPr>
      <w:r>
        <w:rPr>
          <w:rFonts w:ascii="Arial" w:cs="Arial" w:eastAsia="Arial" w:hAnsi="Arial"/>
          <w:sz w:val="18"/>
          <w:szCs w:val="18"/>
          <w:color w:val="auto"/>
        </w:rPr>
        <w:t>September 7, 2023</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74930</wp:posOffset>
            </wp:positionV>
            <wp:extent cx="32404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1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769"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3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July 31, 2023 (the “Report”) of Limoneira Company (the “Registrant”), as filed with the Securities and Exchange Commission on the date hereof, I, Mark Palamountain, hereby certify that:</w:t>
      </w:r>
    </w:p>
    <w:p>
      <w:pPr>
        <w:spacing w:after="0" w:line="49" w:lineRule="exact"/>
        <w:rPr>
          <w:sz w:val="20"/>
          <w:szCs w:val="20"/>
          <w:color w:val="auto"/>
        </w:rPr>
      </w:pPr>
    </w:p>
    <w:p>
      <w:pPr>
        <w:ind w:left="880" w:hanging="386"/>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00" w:hanging="406"/>
        <w:spacing w:after="0" w:line="277" w:lineRule="auto"/>
        <w:tabs>
          <w:tab w:leader="none" w:pos="99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35" w:lineRule="exact"/>
        <w:rPr>
          <w:sz w:val="20"/>
          <w:szCs w:val="20"/>
          <w:color w:val="auto"/>
        </w:rPr>
      </w:pPr>
    </w:p>
    <w:p>
      <w:pPr>
        <w:ind w:left="220"/>
        <w:spacing w:after="0"/>
        <w:tabs>
          <w:tab w:leader="none" w:pos="6140" w:val="left"/>
        </w:tabs>
        <w:rPr>
          <w:sz w:val="20"/>
          <w:szCs w:val="20"/>
          <w:color w:val="auto"/>
        </w:rPr>
      </w:pPr>
      <w:r>
        <w:rPr>
          <w:rFonts w:ascii="Arial" w:cs="Arial" w:eastAsia="Arial" w:hAnsi="Arial"/>
          <w:sz w:val="18"/>
          <w:szCs w:val="18"/>
          <w:color w:val="auto"/>
        </w:rPr>
        <w:t>September 7, 2023</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74930</wp:posOffset>
            </wp:positionV>
            <wp:extent cx="32404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1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Mark Palamountain,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2"/>
    </w:lvl>
  </w:abstractNum>
  <w:abstractNum w:abstractNumId="5">
    <w:nsid w:val="2443A858"/>
    <w:multiLevelType w:val="hybridMultilevel"/>
    <w:lvl w:ilvl="0">
      <w:lvlJc w:val="left"/>
      <w:lvlText w:val="%1."/>
      <w:numFmt w:val="decimal"/>
      <w:start w:val="3"/>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4"/>
    </w:lvl>
  </w:abstractNum>
  <w:abstractNum w:abstractNumId="8">
    <w:nsid w:val="75A2A8D4"/>
    <w:multiLevelType w:val="hybridMultilevel"/>
    <w:lvl w:ilvl="0">
      <w:lvlJc w:val="left"/>
      <w:lvlText w:val="(%1)"/>
      <w:numFmt w:val="decimal"/>
      <w:start w:val="7"/>
    </w:lvl>
  </w:abstractNum>
  <w:abstractNum w:abstractNumId="9">
    <w:nsid w:val="8EDBDAB"/>
    <w:multiLevelType w:val="hybridMultilevel"/>
    <w:lvl w:ilvl="0">
      <w:lvlJc w:val="left"/>
      <w:lvlText w:val="(%1)"/>
      <w:numFmt w:val="decimal"/>
      <w:start w:val="1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lvl w:ilvl="1">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decimal"/>
      <w:start w:val="104"/>
    </w:lvl>
    <w:lvl w:ilvl="1">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62" Type="http://schemas.openxmlformats.org/officeDocument/2006/relationships/hyperlink" Target="http://www.sec.gov/Archives/edgar/data/1342423/000114420410007241/v173157_ex3-1.htm" TargetMode="External"/><Relationship Id="rId63" Type="http://schemas.openxmlformats.org/officeDocument/2006/relationships/hyperlink" Target="http://www.sec.gov/Archives/edgar/data/1342423/000114420410007241/v173157_ex3-6.htm" TargetMode="External"/><Relationship Id="rId64" Type="http://schemas.openxmlformats.org/officeDocument/2006/relationships/hyperlink" Target="http://www.sec.gov/Archives/edgar/data/1342423/000114420410007241/v173157_ex3-7.htm" TargetMode="External"/><Relationship Id="rId65" Type="http://schemas.openxmlformats.org/officeDocument/2006/relationships/hyperlink" Target="http://www.sec.gov/Archives/edgar/data/1342423/000114420410017415/v178900_ex3-9.htm" TargetMode="External"/><Relationship Id="rId66" Type="http://schemas.openxmlformats.org/officeDocument/2006/relationships/hyperlink" Target="http://www.sec.gov/Archives/edgar/data/1342423/000114420417018212/v463210_ex3-1.htm" TargetMode="External"/><Relationship Id="rId67" Type="http://schemas.openxmlformats.org/officeDocument/2006/relationships/hyperlink" Target="http://www.sec.gov/Archives/edgar/data/1342423/000110465921130485/tm2131208d1_ex3-1.htm" TargetMode="External"/><Relationship Id="rId68" Type="http://schemas.openxmlformats.org/officeDocument/2006/relationships/hyperlink" Target="http://www.sec.gov/Archives/edgar/data/1342423/000114420410007241/v173157_ex4-2.htm" TargetMode="External"/><Relationship Id="rId69" Type="http://schemas.openxmlformats.org/officeDocument/2006/relationships/hyperlink" Target="http://www.sec.gov/Archives/edgar/data/1342423/000114420410007241/v173157_ex3-4.htm" TargetMode="External"/><Relationship Id="rId70" Type="http://schemas.openxmlformats.org/officeDocument/2006/relationships/hyperlink" Target="http://www.sec.gov/Archives/edgar/data/1342423/000114420410007241/v173157_ex3-5.htm" TargetMode="External"/><Relationship Id="rId71" Type="http://schemas.openxmlformats.org/officeDocument/2006/relationships/hyperlink" Target="http://www.sec.gov/Archives/edgar/data/1342423/000114420410007241/v173157_ex3-8.htm" TargetMode="External"/><Relationship Id="rId72" Type="http://schemas.openxmlformats.org/officeDocument/2006/relationships/hyperlink" Target="http://www.sec.gov/Archives/edgar/data/1342423/000114420414017379/v372494_ex3-1.htm" TargetMode="External"/><Relationship Id="rId75" Type="http://schemas.openxmlformats.org/officeDocument/2006/relationships/hyperlink" Target="http://www.sec.gov/Archives/edgar/data/1342423/000110465923008598/tm234205d1_ex10-1.htm" TargetMode="External"/><Relationship Id="rId76" Type="http://schemas.openxmlformats.org/officeDocument/2006/relationships/hyperlink" Target="http://www.sec.gov/Archives/edgar/data/1342423/000110465923008598/tm234205d1_ex10-2.htm" TargetMode="External"/><Relationship Id="rId77" Type="http://schemas.openxmlformats.org/officeDocument/2006/relationships/hyperlink" Target="http://www.sec.gov/Archives/edgar/data/1342423/000110465923008598/tm234205d1_ex10-3.htm" TargetMode="External"/><Relationship Id="rId78" Type="http://schemas.openxmlformats.org/officeDocument/2006/relationships/hyperlink" Target="http://www.sec.gov/Archives/edgar/data/1342423/000134242323000010/lmnr13123exhibit106.htm" TargetMode="External"/><Relationship Id="rId79" Type="http://schemas.openxmlformats.org/officeDocument/2006/relationships/hyperlink" Target="http://www.sec.gov/Archives/edgar/data/1342423/000134242323000010/lmnr13123exhibit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2023-09-07T15:19:37Z</dcterms:created>
  <dcterms:modified xsi:type="dcterms:W3CDTF">2023-09-07T15:19:37Z</dcterms:modified>
</cp:coreProperties>
</file>