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ind w:left="47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90170</wp:posOffset>
            </wp:positionV>
            <wp:extent cx="4090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-127635</wp:posOffset>
            </wp:positionV>
            <wp:extent cx="4090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151" w:lineRule="exact"/>
        <w:rPr>
          <w:sz w:val="24"/>
          <w:szCs w:val="24"/>
          <w:color w:val="auto"/>
        </w:rPr>
      </w:pPr>
    </w:p>
    <w:p>
      <w:pPr>
        <w:ind w:left="260" w:hanging="21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JANUARY 31,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260" w:hanging="218"/>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260"/>
        <w:spacing w:after="0"/>
        <w:tabs>
          <w:tab w:leader="none" w:pos="42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-7620</wp:posOffset>
            </wp:positionV>
            <wp:extent cx="9042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4240" cy="8890"/>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001-34755</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LIMONEIRA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-311785</wp:posOffset>
            </wp:positionV>
            <wp:extent cx="4090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34290</wp:posOffset>
            </wp:positionV>
            <wp:extent cx="40906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300"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right"/>
              <w:ind w:right="190"/>
              <w:spacing w:after="0"/>
              <w:rPr>
                <w:sz w:val="20"/>
                <w:szCs w:val="20"/>
                <w:color w:val="auto"/>
              </w:rPr>
            </w:pPr>
            <w:r>
              <w:rPr>
                <w:rFonts w:ascii="Arial" w:cs="Arial" w:eastAsia="Arial" w:hAnsi="Arial"/>
                <w:sz w:val="18"/>
                <w:szCs w:val="18"/>
                <w:b w:val="1"/>
                <w:bCs w:val="1"/>
                <w:color w:val="auto"/>
              </w:rPr>
              <w:t>77-0260692</w:t>
            </w:r>
          </w:p>
        </w:tc>
      </w:tr>
      <w:tr>
        <w:trPr>
          <w:trHeight w:val="252"/>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 of</w:t>
            </w:r>
          </w:p>
        </w:tc>
        <w:tc>
          <w:tcPr>
            <w:tcW w:w="3140" w:type="dxa"/>
            <w:vAlign w:val="bottom"/>
          </w:tcPr>
          <w:p>
            <w:pPr>
              <w:jc w:val="center"/>
              <w:ind w:left="16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8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3"/>
              </w:rPr>
              <w:t>Incorporation or Organization)</w:t>
            </w:r>
          </w:p>
        </w:tc>
        <w:tc>
          <w:tcPr>
            <w:tcW w:w="3140" w:type="dxa"/>
            <w:vAlign w:val="bottom"/>
          </w:tcPr>
          <w:p>
            <w:pPr>
              <w:jc w:val="center"/>
              <w:ind w:left="1630"/>
              <w:spacing w:after="0"/>
              <w:rPr>
                <w:sz w:val="20"/>
                <w:szCs w:val="20"/>
                <w:color w:val="auto"/>
              </w:rPr>
            </w:pPr>
            <w:r>
              <w:rPr>
                <w:rFonts w:ascii="Arial" w:cs="Arial" w:eastAsia="Arial" w:hAnsi="Arial"/>
                <w:sz w:val="18"/>
                <w:szCs w:val="18"/>
                <w:b w:val="1"/>
                <w:bCs w:val="1"/>
                <w:color w:val="auto"/>
                <w:w w:val="93"/>
              </w:rPr>
              <w:t>Identification No.)</w:t>
            </w:r>
          </w:p>
        </w:tc>
      </w:tr>
      <w:tr>
        <w:trPr>
          <w:trHeight w:val="405"/>
        </w:trPr>
        <w:tc>
          <w:tcPr>
            <w:tcW w:w="48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1"/>
              </w:rPr>
              <w:t>1141 Cummings Road, Santa Paula, CA</w:t>
            </w:r>
          </w:p>
        </w:tc>
        <w:tc>
          <w:tcPr>
            <w:tcW w:w="3140" w:type="dxa"/>
            <w:vAlign w:val="bottom"/>
          </w:tcPr>
          <w:p>
            <w:pPr>
              <w:jc w:val="right"/>
              <w:ind w:right="390"/>
              <w:spacing w:after="0"/>
              <w:rPr>
                <w:sz w:val="20"/>
                <w:szCs w:val="20"/>
                <w:color w:val="auto"/>
              </w:rPr>
            </w:pPr>
            <w:r>
              <w:rPr>
                <w:rFonts w:ascii="Arial" w:cs="Arial" w:eastAsia="Arial" w:hAnsi="Arial"/>
                <w:sz w:val="18"/>
                <w:szCs w:val="18"/>
                <w:b w:val="1"/>
                <w:bCs w:val="1"/>
                <w:color w:val="auto"/>
              </w:rPr>
              <w:t>93060</w:t>
            </w:r>
          </w:p>
        </w:tc>
      </w:tr>
      <w:tr>
        <w:trPr>
          <w:trHeight w:val="270"/>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14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(Zip Code)</w:t>
            </w:r>
          </w:p>
        </w:tc>
      </w:tr>
    </w:tbl>
    <w:p>
      <w:pPr>
        <w:spacing w:after="0" w:line="117"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(805) 525-5541</w:t>
      </w:r>
    </w:p>
    <w:p>
      <w:pPr>
        <w:spacing w:after="0" w:line="171"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134620</wp:posOffset>
            </wp:positionV>
            <wp:extent cx="23926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firstLine="44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firstLine="44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firstLine="44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p>
      <w:pPr>
        <w:ind w:left="40"/>
        <w:spacing w:after="0" w:line="207" w:lineRule="exact"/>
        <w:tabs>
          <w:tab w:leader="none" w:pos="360" w:val="left"/>
          <w:tab w:leader="none" w:pos="65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p>
    <w:p>
      <w:pPr>
        <w:spacing w:after="0" w:line="76" w:lineRule="exact"/>
        <w:rPr>
          <w:sz w:val="24"/>
          <w:szCs w:val="24"/>
          <w:color w:val="auto"/>
        </w:rPr>
      </w:pPr>
    </w:p>
    <w:p>
      <w:pPr>
        <w:ind w:left="40"/>
        <w:spacing w:after="0" w:line="207" w:lineRule="exact"/>
        <w:tabs>
          <w:tab w:leader="none" w:pos="360" w:val="left"/>
          <w:tab w:leader="none" w:pos="65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Non-accelerated filer (Do not check if a smaller reporting company)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p>
    <w:p>
      <w:pPr>
        <w:spacing w:after="0" w:line="63" w:lineRule="exact"/>
        <w:rPr>
          <w:sz w:val="24"/>
          <w:szCs w:val="24"/>
          <w:color w:val="auto"/>
        </w:rPr>
      </w:pPr>
    </w:p>
    <w:p>
      <w:pPr>
        <w:ind w:left="6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w:t>
      </w:r>
    </w:p>
    <w:p>
      <w:pPr>
        <w:spacing w:after="0" w:line="200" w:lineRule="exact"/>
        <w:rPr>
          <w:sz w:val="24"/>
          <w:szCs w:val="24"/>
          <w:color w:val="auto"/>
        </w:rPr>
      </w:pPr>
    </w:p>
    <w:p>
      <w:pPr>
        <w:spacing w:after="0" w:line="288" w:lineRule="exact"/>
        <w:rPr>
          <w:sz w:val="24"/>
          <w:szCs w:val="24"/>
          <w:color w:val="auto"/>
        </w:rPr>
      </w:pPr>
    </w:p>
    <w:p>
      <w:pPr>
        <w:jc w:val="both"/>
        <w:ind w:firstLine="44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60"/>
        <w:spacing w:after="0" w:line="207" w:lineRule="exact"/>
        <w:tabs>
          <w:tab w:leader="none" w:pos="88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4"/>
          <w:szCs w:val="24"/>
          <w:color w:val="auto"/>
        </w:rPr>
      </w:pPr>
    </w:p>
    <w:p>
      <w:pPr>
        <w:ind w:left="480"/>
        <w:spacing w:after="0"/>
        <w:rPr>
          <w:sz w:val="20"/>
          <w:szCs w:val="20"/>
          <w:color w:val="auto"/>
        </w:rPr>
      </w:pPr>
      <w:r>
        <w:rPr>
          <w:rFonts w:ascii="Arial" w:cs="Arial" w:eastAsia="Arial" w:hAnsi="Arial"/>
          <w:sz w:val="18"/>
          <w:szCs w:val="18"/>
          <w:color w:val="auto"/>
        </w:rPr>
        <w:t>As of February 28, 2019, there were 17,772,753 shares outstanding of the registrant’s common stock.</w:t>
      </w:r>
    </w:p>
    <w:p>
      <w:pPr>
        <w:sectPr>
          <w:pgSz w:w="11900" w:h="16838" w:orient="portrait"/>
          <w:cols w:equalWidth="0" w:num="1">
            <w:col w:w="11420"/>
          </w:cols>
          <w:pgMar w:left="240" w:top="450" w:right="239" w:bottom="1440" w:gutter="0" w:footer="0" w:header="0"/>
        </w:sect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45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PART I. FINANCIAL INFORMATION</w:t>
            </w:r>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Financial Statements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Balance Sheets – January 31, 2019 and October 31, 2018</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Operations – three months ended January 31, 2019 and 2018</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Comprehensive (Loss) Income – three months ended January 31, 2019 and 2018</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Cash Flows – three months ended January 31, 2019 and 2018</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Controls and Procedures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PART II. OTHER INFORMATION</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Legal Proceedings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 Factors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Defaults Upon Senior Securities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Mine Safety Disclosures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Information</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Exhibits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57</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3"/>
              </w:rPr>
              <w:t>SIGNATURES</w:t>
            </w:r>
          </w:p>
        </w:tc>
        <w:tc>
          <w:tcPr>
            <w:tcW w:w="1006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r>
      <w:tr>
        <w:trPr>
          <w:trHeight w:val="675"/>
        </w:trPr>
        <w:tc>
          <w:tcPr>
            <w:tcW w:w="1160" w:type="dxa"/>
            <w:vAlign w:val="bottom"/>
            <w:tcBorders>
              <w:top w:val="single" w:sz="8" w:color="CCEEFF"/>
            </w:tcBorders>
          </w:tcPr>
          <w:p>
            <w:pPr>
              <w:spacing w:after="0"/>
              <w:rPr>
                <w:sz w:val="24"/>
                <w:szCs w:val="24"/>
                <w:color w:val="auto"/>
              </w:rPr>
            </w:pPr>
          </w:p>
        </w:tc>
        <w:tc>
          <w:tcPr>
            <w:tcW w:w="10060" w:type="dxa"/>
            <w:vAlign w:val="bottom"/>
            <w:tcBorders>
              <w:top w:val="single" w:sz="8" w:color="CCEEFF"/>
            </w:tcBorders>
          </w:tcPr>
          <w:p>
            <w:pPr>
              <w:ind w:left="4500"/>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36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Cautionary Note on Forward-Looking Statements.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This Quarterly Report on Form 10-Q contains both historical and forward-looking statements. Forward-looking statements in this Quarterly Report on Form 10-Q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include:</w:t>
      </w:r>
    </w:p>
    <w:p>
      <w:pPr>
        <w:spacing w:after="0" w:line="16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laws, regulations, rules, quotas, tariff, and import laws;</w:t>
      </w:r>
    </w:p>
    <w:p>
      <w:pPr>
        <w:spacing w:after="0" w:line="117" w:lineRule="exact"/>
        <w:rPr>
          <w:rFonts w:ascii="Arial" w:cs="Arial" w:eastAsia="Arial" w:hAnsi="Arial"/>
          <w:sz w:val="18"/>
          <w:szCs w:val="18"/>
          <w:i w:val="1"/>
          <w:iCs w:val="1"/>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adverse weather conditions, natural disasters and other adverse natural conditions, including freezes, rains, fires and droughts that affect the production, transportation, storage, import and export of fresh produce;</w:t>
      </w:r>
    </w:p>
    <w:p>
      <w:pPr>
        <w:spacing w:after="0" w:line="62"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market responses to industry volume pressures;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pressure from disease, insects and other pests;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disruption of water supplies or changes in water allocations;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product and raw materials supplies and pricing;</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energy supply and pricing;</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interest and currency exchange rates;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availability of financing for development activities;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general economic conditions for residential and commercial real estate development;</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political changes and economic crisis;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conflict;</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acts of terrorism;</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labor disruptions, strikes, shortages or work stoppages;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loss of important intellectual property rights; and</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disclosed in our public filings with the Securities and Exchange Commission (the "SEC").</w:t>
      </w:r>
    </w:p>
    <w:p>
      <w:pPr>
        <w:spacing w:after="0" w:line="3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elsewhere in this Quarterly Report on Form 10-Q and in our Annual Report on Form 10-K for the fiscal year ended October 31, 2018.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on Form 10-Q. Except as required by law, we undertake no obligation to update these forward-looking statements, even if our situation changes in the future.</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terms the “Company,” “Limoneira”, “we,” “our” and “us” as used throughout this Quarterly Report on Form 10-Q refer to Limoneira Company and its consolidated subsidiaries, unless otherwise indicated.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9"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 (UNAUDITED)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in thousands, except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January 31,</w:t>
            </w:r>
          </w:p>
        </w:tc>
        <w:tc>
          <w:tcPr>
            <w:tcW w:w="220" w:type="dxa"/>
            <w:vAlign w:val="bottom"/>
          </w:tcPr>
          <w:p>
            <w:pPr>
              <w:spacing w:after="0"/>
              <w:rPr>
                <w:sz w:val="17"/>
                <w:szCs w:val="17"/>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October 31,</w:t>
            </w:r>
          </w:p>
        </w:tc>
      </w:tr>
      <w:tr>
        <w:trPr>
          <w:trHeight w:val="210"/>
        </w:trPr>
        <w:tc>
          <w:tcPr>
            <w:tcW w:w="8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1,280</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19,617</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14,116</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Cultural costs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2,527</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5,413</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12,902</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10,528</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w:t>
            </w:r>
          </w:p>
        </w:tc>
      </w:tr>
      <w:tr>
        <w:trPr>
          <w:trHeight w:val="217"/>
        </w:trPr>
        <w:tc>
          <w:tcPr>
            <w:tcW w:w="846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36,717</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31,044</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8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229,694</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225,681</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development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15,942</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107,162</w:t>
            </w: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Equity in investments</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55,826</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18,698</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Calavo Growers, Inc.</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20,340</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24,250</w:t>
            </w: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14,947</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14,504</w:t>
            </w:r>
          </w:p>
        </w:tc>
      </w:tr>
      <w:tr>
        <w:trPr>
          <w:trHeight w:val="33"/>
        </w:trPr>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373,466</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421,339</w:t>
            </w:r>
          </w:p>
        </w:tc>
      </w:tr>
      <w:tr>
        <w:trPr>
          <w:trHeight w:val="20"/>
        </w:trPr>
        <w:tc>
          <w:tcPr>
            <w:tcW w:w="8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7"/>
        </w:trPr>
        <w:tc>
          <w:tcPr>
            <w:tcW w:w="8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7,987</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6,134</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Growers payable</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11,058</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10,089</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4,777</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7,724</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2,873</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3,127</w:t>
            </w:r>
          </w:p>
        </w:tc>
      </w:tr>
      <w:tr>
        <w:trPr>
          <w:trHeight w:val="33"/>
        </w:trPr>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26,695</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27,074</w:t>
            </w: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debt, less current portion</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94,001</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76,966</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24,014</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25,372</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3,498</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3,647</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Sale-leaseback deferral</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58,330</w:t>
            </w:r>
          </w:p>
        </w:tc>
      </w:tr>
      <w:tr>
        <w:trPr>
          <w:trHeight w:val="33"/>
        </w:trPr>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148,208</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191,389</w:t>
            </w:r>
          </w:p>
        </w:tc>
      </w:tr>
      <w:tr>
        <w:trPr>
          <w:trHeight w:val="243"/>
        </w:trPr>
        <w:tc>
          <w:tcPr>
            <w:tcW w:w="846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4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0"/>
        </w:trPr>
        <w:tc>
          <w:tcPr>
            <w:tcW w:w="8460" w:type="dxa"/>
            <w:vAlign w:val="bottom"/>
          </w:tcPr>
          <w:p>
            <w:pPr>
              <w:ind w:left="40"/>
              <w:spacing w:after="0"/>
              <w:rPr>
                <w:sz w:val="20"/>
                <w:szCs w:val="20"/>
                <w:color w:val="auto"/>
              </w:rPr>
            </w:pPr>
            <w:r>
              <w:rPr>
                <w:rFonts w:ascii="Arial" w:cs="Arial" w:eastAsia="Arial" w:hAnsi="Arial"/>
                <w:sz w:val="16"/>
                <w:szCs w:val="16"/>
                <w:color w:val="auto"/>
                <w:w w:val="93"/>
              </w:rPr>
              <w:t>Series B Convertible Preferred Stock – $100.00 par value (50,000 shares authorized: 14,790 shares issued and outstanding at</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8460" w:type="dxa"/>
            <w:vAlign w:val="bottom"/>
          </w:tcPr>
          <w:p>
            <w:pPr>
              <w:ind w:left="40"/>
              <w:spacing w:after="0"/>
              <w:rPr>
                <w:sz w:val="20"/>
                <w:szCs w:val="20"/>
                <w:color w:val="auto"/>
              </w:rPr>
            </w:pPr>
            <w:r>
              <w:rPr>
                <w:rFonts w:ascii="Arial" w:cs="Arial" w:eastAsia="Arial" w:hAnsi="Arial"/>
                <w:sz w:val="16"/>
                <w:szCs w:val="16"/>
                <w:color w:val="auto"/>
              </w:rPr>
              <w:t>January 31, 2019 and October 31, 2018) (8.75% coupon rate)</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1,479</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1,479</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Series B-2 Convertible Preferred Stock – $100.00 par value (10,000 shares authorized: 9,300 shares issued and outstanding at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January 31, 2019 and October 31, 2018) (4% dividend rate on liquidation value of $1,000 per share)</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9,331</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9,331</w:t>
            </w:r>
          </w:p>
        </w:tc>
      </w:tr>
      <w:tr>
        <w:trPr>
          <w:trHeight w:val="122"/>
        </w:trPr>
        <w:tc>
          <w:tcPr>
            <w:tcW w:w="8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0"/>
        </w:trPr>
        <w:tc>
          <w:tcPr>
            <w:tcW w:w="8460" w:type="dxa"/>
            <w:vAlign w:val="bottom"/>
          </w:tcPr>
          <w:p>
            <w:pPr>
              <w:ind w:left="280"/>
              <w:spacing w:after="0"/>
              <w:rPr>
                <w:sz w:val="20"/>
                <w:szCs w:val="20"/>
                <w:color w:val="auto"/>
              </w:rPr>
            </w:pPr>
            <w:r>
              <w:rPr>
                <w:rFonts w:ascii="Arial" w:cs="Arial" w:eastAsia="Arial" w:hAnsi="Arial"/>
                <w:sz w:val="16"/>
                <w:szCs w:val="16"/>
                <w:color w:val="auto"/>
                <w:w w:val="94"/>
              </w:rPr>
              <w:t>Series A Junior Participating Preferred Stock – $0.01 par value (20,000 shares authorized: zero issued and outstanding at</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8460" w:type="dxa"/>
            <w:vAlign w:val="bottom"/>
          </w:tcPr>
          <w:p>
            <w:pPr>
              <w:ind w:left="280"/>
              <w:spacing w:after="0"/>
              <w:rPr>
                <w:sz w:val="20"/>
                <w:szCs w:val="20"/>
                <w:color w:val="auto"/>
              </w:rPr>
            </w:pPr>
            <w:r>
              <w:rPr>
                <w:rFonts w:ascii="Arial" w:cs="Arial" w:eastAsia="Arial" w:hAnsi="Arial"/>
                <w:sz w:val="16"/>
                <w:szCs w:val="16"/>
                <w:color w:val="auto"/>
              </w:rPr>
              <w:t>January 31, 2019 and October 31, 2018)</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0"/>
              </w:rPr>
              <w:t>Common Stock – $0.01 par value (39,000,000 shares authorized: 17,772,753 and 17,647,135 shares issued and outstanding at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January 31, 2019 and October 31, 2018, respectively)</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159,552</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159,071</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58,402</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50,354</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Accumulated other comprehensive (loss) income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(4,263)</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8,965</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Noncontrolling interest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w:t>
            </w:r>
          </w:p>
        </w:tc>
      </w:tr>
      <w:tr>
        <w:trPr>
          <w:trHeight w:val="217"/>
        </w:trPr>
        <w:tc>
          <w:tcPr>
            <w:tcW w:w="8460" w:type="dxa"/>
            <w:vAlign w:val="bottom"/>
          </w:tcPr>
          <w:p>
            <w:pPr>
              <w:ind w:left="50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214,448</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219,140</w:t>
            </w:r>
          </w:p>
        </w:tc>
      </w:tr>
      <w:tr>
        <w:trPr>
          <w:trHeight w:val="33"/>
        </w:trPr>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373,466</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421,339</w:t>
            </w:r>
          </w:p>
        </w:tc>
      </w:tr>
      <w:tr>
        <w:trPr>
          <w:trHeight w:val="20"/>
        </w:trPr>
        <w:tc>
          <w:tcPr>
            <w:tcW w:w="8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4"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share amounts)</w:t>
      </w:r>
    </w:p>
    <w:p>
      <w:pPr>
        <w:spacing w:after="0" w:line="157"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Agribusiness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40,800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30,333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Rental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1,218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1,260</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Real estate development</w:t>
            </w: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42,018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31,593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Agribusiness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38,916</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28,162</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Rental operations</w:t>
            </w: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1,079</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1,065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 estate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5,015</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4,074</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45,038</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33,331</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(3,020)</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Interest income (expense), net</w:t>
            </w: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147</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earnings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Unrealized loss on stock in Calavo Growers, Inc.</w:t>
            </w:r>
          </w:p>
        </w:tc>
        <w:tc>
          <w:tcPr>
            <w:tcW w:w="3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(3,910)</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304</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(3,417)</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Loss before income tax benefit</w:t>
            </w:r>
          </w:p>
        </w:tc>
        <w:tc>
          <w:tcPr>
            <w:tcW w:w="3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(6,437)</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1,761</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10,587</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(4,676)</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8,623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attributable to noncontrolling interest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Net (loss) income attributable to Limoneira Company</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(4,693)</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8,625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dividends</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 attributable to common stock</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(4,818)</w:t>
            </w:r>
          </w:p>
        </w:tc>
        <w:tc>
          <w:tcPr>
            <w:tcW w:w="4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8,500</w:t>
            </w:r>
          </w:p>
        </w:tc>
      </w:tr>
      <w:tr>
        <w:trPr>
          <w:trHeight w:val="217"/>
        </w:trPr>
        <w:tc>
          <w:tcPr>
            <w:tcW w:w="8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30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Basic net (loss) income per common share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(0.28)</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0.59</w:t>
            </w:r>
          </w:p>
        </w:tc>
      </w:tr>
      <w:tr>
        <w:trPr>
          <w:trHeight w:val="217"/>
        </w:trPr>
        <w:tc>
          <w:tcPr>
            <w:tcW w:w="8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30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net (loss) income per common share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(0.28)</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0.58</w:t>
            </w:r>
          </w:p>
        </w:tc>
      </w:tr>
      <w:tr>
        <w:trPr>
          <w:trHeight w:val="217"/>
        </w:trPr>
        <w:tc>
          <w:tcPr>
            <w:tcW w:w="8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30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Dividends per common share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0.08</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0.06</w:t>
            </w:r>
          </w:p>
        </w:tc>
      </w:tr>
      <w:tr>
        <w:trPr>
          <w:trHeight w:val="217"/>
        </w:trPr>
        <w:tc>
          <w:tcPr>
            <w:tcW w:w="8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outstanding-basic</w:t>
            </w: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17,488,000</w:t>
            </w:r>
          </w:p>
        </w:tc>
        <w:tc>
          <w:tcPr>
            <w:tcW w:w="4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14,466,000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common shares outstanding-diluted</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17,488,000</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14,984,000</w:t>
            </w:r>
          </w:p>
        </w:tc>
      </w:tr>
      <w:tr>
        <w:trPr>
          <w:trHeight w:val="33"/>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 INCOME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p>
      <w:pPr>
        <w:jc w:val="center"/>
        <w:ind w:left="9280"/>
        <w:spacing w:after="0"/>
        <w:rPr>
          <w:sz w:val="20"/>
          <w:szCs w:val="20"/>
          <w:color w:val="auto"/>
        </w:rPr>
      </w:pPr>
      <w:r>
        <w:rPr>
          <w:rFonts w:ascii="Arial" w:cs="Arial" w:eastAsia="Arial" w:hAnsi="Arial"/>
          <w:sz w:val="15"/>
          <w:szCs w:val="15"/>
          <w:b w:val="1"/>
          <w:bCs w:val="1"/>
          <w:color w:val="auto"/>
        </w:rPr>
        <w:t>Three Months Ended January</w:t>
      </w:r>
    </w:p>
    <w:p>
      <w:pPr>
        <w:spacing w:after="0" w:line="38" w:lineRule="exact"/>
        <w:rPr>
          <w:sz w:val="20"/>
          <w:szCs w:val="20"/>
          <w:color w:val="auto"/>
        </w:rPr>
      </w:pPr>
    </w:p>
    <w:p>
      <w:pPr>
        <w:jc w:val="center"/>
        <w:ind w:left="928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33020</wp:posOffset>
            </wp:positionV>
            <wp:extent cx="1372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(4,676)</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8,623</w:t>
            </w: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895</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w:t>
            </w: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Minimum pension liability adjustment, net of tax of $27 and $51</w:t>
            </w:r>
          </w:p>
        </w:tc>
        <w:tc>
          <w:tcPr>
            <w:tcW w:w="24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74</w:t>
            </w:r>
          </w:p>
        </w:tc>
        <w:tc>
          <w:tcPr>
            <w:tcW w:w="3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124</w:t>
            </w: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holding gains on security available-for-sale, net of tax of $0 and $1,169</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2,821</w:t>
            </w: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Unrealized gains from derivative instrument, net of tax of $0 and $42</w:t>
            </w:r>
          </w:p>
        </w:tc>
        <w:tc>
          <w:tcPr>
            <w:tcW w:w="24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103</w:t>
            </w: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969</w:t>
            </w: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3,291</w:t>
            </w:r>
          </w:p>
        </w:tc>
      </w:tr>
      <w:tr>
        <w:trPr>
          <w:trHeight w:val="231"/>
        </w:trPr>
        <w:tc>
          <w:tcPr>
            <w:tcW w:w="9260" w:type="dxa"/>
            <w:vAlign w:val="bottom"/>
          </w:tcPr>
          <w:p>
            <w:pPr>
              <w:ind w:left="40"/>
              <w:spacing w:after="0"/>
              <w:rPr>
                <w:sz w:val="20"/>
                <w:szCs w:val="20"/>
                <w:color w:val="auto"/>
              </w:rPr>
            </w:pPr>
            <w:r>
              <w:rPr>
                <w:rFonts w:ascii="Arial" w:cs="Arial" w:eastAsia="Arial" w:hAnsi="Arial"/>
                <w:sz w:val="16"/>
                <w:szCs w:val="16"/>
                <w:color w:val="auto"/>
              </w:rPr>
              <w:t>Comprehensive (loss) income</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(3,707)</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11,914</w:t>
            </w: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 attributable to noncontrolling interest</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57"/>
        </w:trPr>
        <w:tc>
          <w:tcPr>
            <w:tcW w:w="9260" w:type="dxa"/>
            <w:vAlign w:val="bottom"/>
          </w:tcPr>
          <w:p>
            <w:pPr>
              <w:ind w:left="40"/>
              <w:spacing w:after="0"/>
              <w:rPr>
                <w:sz w:val="20"/>
                <w:szCs w:val="20"/>
                <w:color w:val="auto"/>
              </w:rPr>
            </w:pPr>
            <w:r>
              <w:rPr>
                <w:rFonts w:ascii="Arial" w:cs="Arial" w:eastAsia="Arial" w:hAnsi="Arial"/>
                <w:sz w:val="16"/>
                <w:szCs w:val="16"/>
                <w:color w:val="auto"/>
              </w:rPr>
              <w:t>Comprehensive (loss) income attributable to Limoneira Company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(3,719)</w:t>
            </w:r>
          </w:p>
        </w:tc>
        <w:tc>
          <w:tcPr>
            <w:tcW w:w="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11,937</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33020</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(4,676)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8,623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income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2,126</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1,690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loss on disposals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Gain on sales of real estate development assets</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789</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Equity in earnings of investments</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(1,434)</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(10,587)</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interest on notes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Unrealized loss on stock in Calavo Growers, Inc.</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3,910</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(4,983)</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(2,523)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Cultural costs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2,914</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2,116</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(2,491)</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90</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and growers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2,421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(2,872)</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Accrued liabilities</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(3,003)</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(4,493)</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(5,067)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2"/>
        </w:trPr>
        <w:tc>
          <w:tcPr>
            <w:tcW w:w="8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(5,098)</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Net proceeds from sales of real estate development assets</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1,543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Agriculture property acquisition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Collections of installments on note receivable</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150</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investment contributions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Investments in mutual water companies</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(460)</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(9,805)</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(3,996)</w:t>
            </w:r>
          </w:p>
        </w:tc>
      </w:tr>
      <w:tr>
        <w:trPr>
          <w:trHeight w:val="162"/>
        </w:trPr>
        <w:tc>
          <w:tcPr>
            <w:tcW w:w="8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Borrowings of long-term debt</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35,970</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27,959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(19,262)</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(17,425)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Dividends paid – common</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(1,332)</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 – preferred</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Exchange of common stock</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(305)</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(401)</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14,946</w:t>
            </w: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9,100</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color w:val="auto"/>
              </w:rPr>
              <w:t>Effect of exchange rate changes in cash</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23</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at beginning of period</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609</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492</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1,280</w:t>
            </w:r>
          </w:p>
        </w:tc>
        <w:tc>
          <w:tcPr>
            <w:tcW w:w="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546</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42"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33020</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paid during the period for interest (net of amounts capitalized)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900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during the period for income taxes, net of (refunds)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Unrealized holding gain on Calavo investment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(Decrease) increase in real estate development and sale-leaseback deferral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(58,330)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2,726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Reclassification from real estate development to equity in investments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(33,353)</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Non-cash issuance of note receivable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3,000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reduction of note receivable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Capital expenditures accrued but not paid at period-end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233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contribution obligation of investment in water company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450</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Accrued Series B-2 Convertible Preferred Stock dividends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w:t>
            </w:r>
          </w:p>
        </w:tc>
      </w:tr>
    </w:tbl>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the Company terminated its lease agreement with the Joint Venture (as defined herein) that is developing the East Area I real estate development project. As a result, the Company reduced its sale lease-back deferral and corresponding real estate development by $58,330,000 and reclassified $33,353,000 of the Company’s basis in the Joint Venture from real estate development to equity in investments as further described in Note 8 - Real Estate Development.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24, 2018, the Company entered into an agreement to acquire assets from Oxnard Lemon Associates, Ltd. for a purchase price of $25,000,000 in cash as further described in Note 3 - Acquisitions.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18, 2018, the Company acquired Fruticola San Pablo S.A. (“San Pablo”) ranch for a total purchase price of $13,111,000 in cash as further described in Note 3 - Acquisitions.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2013, the Company entered into an option agreement for the purchase of a 7-acre parcel adjacent to its East Area II real estate development project. In February 2018, the Company exercised its option and purchased the property for $3,145,000, by making a cash payment of $1,444,000 and issuing a note payable for $1,435,000.</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November 2017, the holder of the note receivable from a 2004 sale of property completed the drilling of a water well at the Company’s La Campana Ranch. The fair value of the well drilling services was $68,000 and the Company recorded a non-cash reduction of the note receivable.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2017, the Company entered an agreement to sell its Centennial Square (“Centennial”) real estate development property for $3,250,000. This transaction closed in December 2017 with the Company receiving net proceeds of $179,000 and receiving a $3,000,000 promissory note secured by the property for the balance of the purchase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FINANCIAL STATEMENTS (UNAUDITED)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Preface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preparation of the unaudited interim consolidated financial statements requires management to make use of estimates and assumptions that affect the reported amount of assets and liabilities, revenue and expenses and certain financial statement disclosures. Actual results may differ from these estimates.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unaudited interim consolidated financial statements for the and three months ended January 31, 2019 and 2018 and balance sheet as of January 31, 2019 included herein have not been audited by an independent registered public accounting firm, but in management’s opinion, all adjustments (consisting of normal recurring adjustments) necessary to make a fair statement of the financial position at January 31, 2019 and the results of operations and the cash flows for the periods presented herein have been made. The results of operations for the three months ended January 31, 2019 are not necessarily indicative of the operating results expected for the full fiscal year.</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consolidated balance sheet at October 31, 2018 included herein has been derived from the audited consolidated financial statements at that date but does not include all of the information and footnotes required by U.S. generally accepted accounting principles (“GAAP”) for complete financial statements.</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unaudited interim consolidated financial statements included herein have been prepared pursuant to the rules and regulations of the Securities and Exchange Commission (the “SEC”). Although the Company believes the disclosures made are adequate to make the information presented not misleading, certain information and footnote disclosures normally included in financial statements prepared in accordance with GAAP have been condensed or omitted pursuant to such rules or regulations. These unaudited interim consolidated financial statements should be read in conjunction with the consolidated financial statements and notes thereto included in the Company’s Annual Report on Form 10-K for the fiscal year ended October 31, 2018.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Limoneira Company, a Delaware Company (the “Company”), engages primarily in growing citrus and avocados, picking and hauling citrus, and packing, marketing and selling lemons. The Company is also engaged in residential rentals and other rental operations and real estate development activities.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markets and sells lemons directly to food service, wholesale and retail customers throughout the United States, Canada, Asia and other international markets. The Company is a member of Sunkist Growers, Inc. (“Sunkist”), an agricultural marketing cooperative, and sells its oranges, specialty citrus and other crops to Sunkist-licensed and other third-party packinghouses.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sells all of its avocado production to Calavo Growers, Inc. (“Calavo”), a packing and marketing company listed on the NASDAQ Global Select Market under the symbol CVGW. Calavo’s customers include many of the largest retail and food service companies in the United States and Canada. The Company’s avocados are packed by Calavo, which are then sold and distributed under Calavo brands to its customers.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unaudited interim consolidated financial statements include the accounts of the Company and the accounts of all the subsidiaries and investments in which a controlling interest is held by the Company. The unaudited interim consolidated financial statements represent the consolidated balance sheets, consolidated statements of operations, consolidated statements of comprehensive (loss) income and consolidated statements of cash flows of Limoneira Company and its wholly-owned subsidiaries. The Company’s material subsidiaries include: Limoneira Mercantile, LLC, Windfall Investors, LLC (“Windfall”), Templeton Santa Barbara, LLC, Associated Citrus Packers, Inc. (“Associated”), Limoneira Chile, SpA, Limoneira EA1 Land, LLC, San Pablo and PDA, in which the Company has a 90% ownership interest. All significant intercompany balances and transactions have been eliminated in consolidation. The Company considers the criteria established under the Financial Accounting Standards Board (“FASB”) – Accounting Standards Code (“ASC”) 810, </w:t>
      </w:r>
      <w:r>
        <w:rPr>
          <w:rFonts w:ascii="Arial" w:cs="Arial" w:eastAsia="Arial" w:hAnsi="Arial"/>
          <w:sz w:val="17"/>
          <w:szCs w:val="17"/>
          <w:i w:val="1"/>
          <w:iCs w:val="1"/>
          <w:color w:val="auto"/>
        </w:rPr>
        <w:t xml:space="preserve">Consolidation, </w:t>
      </w:r>
      <w:r>
        <w:rPr>
          <w:rFonts w:ascii="Arial" w:cs="Arial" w:eastAsia="Arial" w:hAnsi="Arial"/>
          <w:sz w:val="17"/>
          <w:szCs w:val="17"/>
          <w:color w:val="auto"/>
        </w:rPr>
        <w:t>and the effect of variable interest entities, in its consolidation process. These unaudited interim consolidated financial statements should be</w:t>
      </w:r>
      <w:r>
        <w:rPr>
          <w:rFonts w:ascii="Arial" w:cs="Arial" w:eastAsia="Arial" w:hAnsi="Arial"/>
          <w:sz w:val="17"/>
          <w:szCs w:val="17"/>
          <w:i w:val="1"/>
          <w:iCs w:val="1"/>
          <w:color w:val="auto"/>
        </w:rPr>
        <w:t xml:space="preserve"> </w:t>
      </w:r>
      <w:r>
        <w:rPr>
          <w:rFonts w:ascii="Arial" w:cs="Arial" w:eastAsia="Arial" w:hAnsi="Arial"/>
          <w:sz w:val="17"/>
          <w:szCs w:val="17"/>
          <w:color w:val="auto"/>
        </w:rPr>
        <w:t>read in conjunction with the notes thereto included in this Quarterly Report on Form 10-Q.</w:t>
      </w:r>
    </w:p>
    <w:p>
      <w:pPr>
        <w:spacing w:after="0" w:line="178" w:lineRule="exact"/>
        <w:rPr>
          <w:sz w:val="20"/>
          <w:szCs w:val="20"/>
          <w:color w:val="auto"/>
        </w:rPr>
      </w:pPr>
    </w:p>
    <w:p>
      <w:pPr>
        <w:ind w:right="786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Revenue Recognition</w:t>
      </w:r>
    </w:p>
    <w:p>
      <w:pPr>
        <w:spacing w:after="0" w:line="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November 1, 2018, the Company adopted </w:t>
      </w:r>
      <w:r>
        <w:rPr>
          <w:rFonts w:ascii="Arial" w:cs="Arial" w:eastAsia="Arial" w:hAnsi="Arial"/>
          <w:sz w:val="16"/>
          <w:szCs w:val="16"/>
          <w:i w:val="1"/>
          <w:iCs w:val="1"/>
          <w:color w:val="auto"/>
        </w:rPr>
        <w:t>FASB – Accounting Standards Update (“ASU”) ASU 2014-09, Revenue from Contracts with Customers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606), </w:t>
      </w:r>
      <w:r>
        <w:rPr>
          <w:rFonts w:ascii="Arial" w:cs="Arial" w:eastAsia="Arial" w:hAnsi="Arial"/>
          <w:sz w:val="16"/>
          <w:szCs w:val="16"/>
          <w:color w:val="auto"/>
        </w:rPr>
        <w:t>that amends the guidance for the recognition of revenue from contracts with customers to transfer goods and services by using the modified-retrospective method applied to those contracts that were not completed as of November 1, 2018. The results for the reporting period beginning after November 1, 2018 are presented in accordance with the new standard. Comparative information has not been restated and the results for the reporting periods before November 1, 2018 continue to be reported under the accounting standards and policies in effect for those periods. See Note 2 - Summary of Significant Accounting Policies, of the notes to the consolidated financial statements in the Annual Report on Form 10-K for the year ended October 31, 2018.</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determined the appropriate method by which it recognizes revenue by analyzing the nature of the products or services being provided as well as the terms and conditions of contracts or arrangements entered into with its customers. The Company accounts for a contract when it has approval and commitment from both parties, the rights of the parties are identified, payment terms are identified, the contract has commercial substance and collectability of consideration is probable. A contract’s transaction price is allocated to each distinct good or service (i.e., performance obligation) identified in the contract, and each performance obligation is valued based on its estimated relative standalone selling price.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the majority of its revenue at a point in time when it satisfies a performance obligation and transfers control of the product to the respective customer. The amount of revenue that is recognized is based on the transaction price, which represents the invoiced amount and includes estimates of variable consideration such as allowances for estimated customer discounts or concessions, where applicable. The amount of variable consideration included in the transaction price may be constrained and is included only to the extent that it is probable that a significant reversal in the amount of the cumulative revenue recognized under the contract will not occur in a future period.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adoption, the Company changed the accounting of certain brokered fruit sales in which it obtains physical possession and control of the fruit prior to delivery to the end customer. Under previous guidance, the Company was considered an agent and recorded revenues for these types of brokered fruit sales and the costs of such fruit on a net basis in its consolidated statement of operations. Under the new revenue recognition standard, the Company is considered a principal in the transaction and revenues are recorded on a gross basis in the Company’s consolidated statement of operations with the related cost of such fruit included in agribusiness costs and expenses.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2"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6920" w:firstLine="8"/>
        <w:spacing w:after="0" w:line="503"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Revenue Recognition (continued)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change resulted in agribusiness revenue and agribusiness costs and expenses of $294,000 and $252,000, respectively, during the three months ended January 31, 2019. Had it used the previous revenue recognition guidance, the Company would have recorded net agribusiness revenue of $42,000. No cumulative adjustment to retained earnings was necessary as there is no net effect of applying the standard. The Company's accounting policies under ASU 2014-09 were applied prospectively and are noted above.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Agribusiness revenue - </w:t>
      </w:r>
      <w:r>
        <w:rPr>
          <w:rFonts w:ascii="Arial" w:cs="Arial" w:eastAsia="Arial" w:hAnsi="Arial"/>
          <w:sz w:val="18"/>
          <w:szCs w:val="18"/>
          <w:color w:val="auto"/>
        </w:rPr>
        <w:t>Revenue from lemon sales is generally recognized at a point in time FOB shipping point, upon the transfer of legal title and when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takes possession of the fruit from the Company’s packinghouse. The Company has elected to treat any shipping and handling costs incurred after control of the goods has been transferred to the customer as agribusiness costs.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avocados, oranges, specialty citrus and other specialty crops are packed and sold by Calavo and other third-party packinghouses. The Company delivers all of its avocado production from its orchards to Calavo. These avocados are then packed by Calavo at its packinghouse and sold and distributed under Calavo brands to its customers primarily in the United States and Canada. The Company’s arrangements with other third-party packinghouses related to its oranges, specialty citrus and other specialty crops are similar to its arrangement with Calavo. The Company’s arrangements with its third-party packinghouses are such that the Company is the producer and supplier of the product and the third-party packinghouses are the Company’s customers.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Revenue from the sales of certain of the Company’s agricultural products is recorded based on estimated proceeds provided by certain of the Company’s sales and marketing partners (Calavo and other third-party packinghouses) due to the time between when the product is delivered by the Company and the closing of the pools for such fruits at the end of each month or harvest period. Calavo and other third-party packinghouses are agricultural cooperatives or function in a similar manner as an agricultural cooperative. The Company estimates the variable consideration using the most likely amount method, with the most likely amount being the quantities actually shipped extended by the prices reported by Calavo and other third-party packinghouses. Revenue is recognized at time of delivery to the packinghouses relating to fruits that are in pools that have not yet closed at month end if: (a) the related fruits have been delivered to and accepted by Calavo and other third-party packinghouses (i.e., Calavo and other third-party packinghouses obtain control) and (b) sales price information has been provided by Calavo and other third-party packinghouses (based on the marketplace activity for the related fruit) to estimate with reasonable certainty the final selling price for the fruit upon the closing of the pools. In such instances the Company has the present right to payment and Calavo and other third-party packinghouses have the present right to direct the use of, and obtain substantially all of the remaining benefits from, the delivered fruit. The Company does not expect that there is a high likelihood that a significant reversal in the amount of cumulative revenue recognized in the early periods of the pool will occur once the final pool prices have been reported by the packinghouses. Historically, the revenue that is recorded based on the sales price information provided to the Company by Calavo and other third-party packinghouses at the time of delivery, have not materially differed from the actual amounts that are paid after the monthly or harvest period pools are closed.</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revenues the Company recognizes related to the fruits sold to the third-party packinghouses are based on the volume and quality of the fruits delivered, the market price for such fruit, less the packinghouses’ charges to pack and market the fruit. Such packinghouse charges include the grading, sizing, packing, cooling, ripening and marketing of the related fruit. The Company bears inventory risk until product is delivered to the third-party packinghouses at which time control of the product is transferred to the third-party packinghouses and revenue is recognized. Such third-party packinghouse charges are recorded as a reduction of revenue as they are not for distinct services. The identifiable benefit the Company receives from the third-party packinghouses for packaging and marketing services cannot be sufficiently separated from the third-party packinghouses’ purchase of the Company’s products. In addition, the Company is not able to reasonably estimate the fair value of the benefit received from the third-party packinghouses for such services and as such, these costs are characterized as a reduction of revenue in the Company’s consolidated statements of operations.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entered into brokerage arrangements with third-party international packinghouses. In certain of these arrangements, the Company obtains physical possession and control of the fruit prior to delivery to the end customer, has the exclusive ability to direct the use of, and obtains substantially all of the remaining benefits from the fruit, and is therefore acting as a principal. As such, the Company records the related revenue and costs of the fruit gross in the consolidated statement of operations. Revenue under these brokered fruit sales was $294,000 for the three months ended January 31, 2019. In other brokerage arrangements, the Company does not take physical possession of the fruit, but acts as an agent and arranges for the transfer directly from the third-party international packinghouses to the end customers. The Company earns commissions on these brokered fruit sales, which are recorded net and were $66,000 and $23,000 for the three months ended January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8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6920" w:firstLine="8"/>
        <w:spacing w:after="0" w:line="503"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Revenue Recognition (continued)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Revenue from crop insurance proceeds is recorded when the amount can be reasonably determined and upon establishment of the present right to payment.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Rental Revenue - </w:t>
      </w:r>
      <w:r>
        <w:rPr>
          <w:rFonts w:ascii="Arial" w:cs="Arial" w:eastAsia="Arial" w:hAnsi="Arial"/>
          <w:sz w:val="18"/>
          <w:szCs w:val="18"/>
          <w:color w:val="auto"/>
        </w:rPr>
        <w:t>Minimum rental revenues are generally recognized on a straight-line basis over the respective initial lease term. Contingent rental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are contractually defined as to the percentage of rent received by the Company and are based on fees collected by the lessee. Such revenues are recognized when actual results, based on collected fees reported by the tenant, are received. The Company's rental arrangements generally require payment on a monthly or quarterly basis.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Real Estate Development Revenue - </w:t>
      </w:r>
      <w:r>
        <w:rPr>
          <w:rFonts w:ascii="Arial" w:cs="Arial" w:eastAsia="Arial" w:hAnsi="Arial"/>
          <w:sz w:val="18"/>
          <w:szCs w:val="18"/>
          <w:color w:val="auto"/>
        </w:rPr>
        <w:t>The Company recognizes revenue on real estate development projects with customers at a point in time (i.e.,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when the Company satisfies the single performance obligation and transfer control of such real estate to a buyer. The transaction price, which is the amount of consideration the Company receives upon delivery of the completed real estate to the buyer, is allocated to this single obligation and is received at closing. Real estate development projects with non-customers are accounted for in accordance with ASC 610-20, </w:t>
      </w:r>
      <w:r>
        <w:rPr>
          <w:rFonts w:ascii="Arial" w:cs="Arial" w:eastAsia="Arial" w:hAnsi="Arial"/>
          <w:sz w:val="18"/>
          <w:szCs w:val="18"/>
          <w:i w:val="1"/>
          <w:iCs w:val="1"/>
          <w:color w:val="auto"/>
        </w:rPr>
        <w:t>Other Income - Gains and Losses from the</w:t>
      </w:r>
      <w:r>
        <w:rPr>
          <w:rFonts w:ascii="Arial" w:cs="Arial" w:eastAsia="Arial" w:hAnsi="Arial"/>
          <w:sz w:val="18"/>
          <w:szCs w:val="18"/>
          <w:color w:val="auto"/>
        </w:rPr>
        <w:t xml:space="preserve"> </w:t>
      </w:r>
      <w:r>
        <w:rPr>
          <w:rFonts w:ascii="Arial" w:cs="Arial" w:eastAsia="Arial" w:hAnsi="Arial"/>
          <w:sz w:val="18"/>
          <w:szCs w:val="18"/>
          <w:i w:val="1"/>
          <w:iCs w:val="1"/>
          <w:color w:val="auto"/>
        </w:rPr>
        <w:t>Derecognition of Nonfinancial Assets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San Pablo and Fruticola Pan de Azucar S.A. (“PDA”) functional currency is the Chilean Peso. Their balance sheets are translated to U.S. dollars at exchange rates in effect at the balance sheet date and their income statements are translated at average exchange rates during the reporting period. The resulting foreign currency translation adjustments are recorded as a separate component of accumulated other comprehensive income ("AOCI").</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and Adjustments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prior years’ consolidated financial statements to conform to the January 31, 2019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 ASU 2014-09, Revenue from Contracts with Customers (Topic 606).</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(Topic 606). This ASU affects any entity that either enters into contracts with customers to transfer goods or services or enters into contracts for the transfer of nonfinancial assets unless those contracts are within the scope of other standards (e.g., insurance contracts or lease contracts). This ASU superseded the revenue recognition requirements in Topic 605, Revenue Recognition, and most industry-specific guidance. This ASU also supersedes some cost guidance included in Subtopic 605-35, Revenue Recognition - Construction-Type and Production-Type Contracts. In addition, the existing requirements for the recognition of a gain or loss on the transfer of nonfinancial assets that are not in a contract with a customer (e.g., assets within the scope of Topic 360, Property, Plant, and Equipment, and tangible assets within the scope of Topic 350, Intangibles - Goodwill and Other) are amended to be consistent with the guidance on recognition and measurement (including the constraint on revenue) in this ASU.</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18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March 2016, the FASB issued ASU 2016-08, Revenue from Contracts with Customers (Topic 606): Principal versus Agent Considerations (Reporting Revenue Gross versus Net). ASU 2016-08 clarifies the implementation guidance on principal versus agent considerations.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8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6920" w:firstLine="8"/>
        <w:spacing w:after="0" w:line="566" w:lineRule="auto"/>
        <w:tabs>
          <w:tab w:leader="none" w:pos="1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Recent Accounting Pronouncements (continued)</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2016, the FASB issued ASU 2016-10, Revenue from Contracts with Customers (Topic 606): Identifying Performance Obligations and Licensing. ASU 2016-10 clarifies the implementation guidance on identifying performance obligations. These ASUs apply to all companies that enter into contracts with customers to transfer goods or services.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May 2016, the FASB issued, ASU 2016-12, Revenue from Contracts with Customers (Topic 606): Narrow-Scope Improvements and Practical Expedients.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ASU 2016-12 provides clarifying guidance in certain narrow areas and adds some practical expedients.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adopted this new standard as of November 1, 2018 by using the modified-retrospective method. There was no net effect of applying the standard and therefore no cumulative adjustment to retained earnings was necessary at the date of initial application. See revenue recognition policy described above.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FASB ASU 2016-01, Financial Instruments Overall (Subtopic 825-10): Recognition and Measurement of Financial Assets and Financial Liabilities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amendments in ASU 2016-01, among other things, require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assets (i.e., securities or loans and receivables). Eliminates the requirement for public business entities to disclose the method(s) and significant assumptions used to estimate fair value that is required to be disclosed for financial instruments measured at amortized cost.</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ASU 2016-01 is effective for public companies for fiscal years beginning after December 15, 2017, including interim periods within those fiscal years. The Company’s adoption of this ASU on November 1, 2018 resulted in a cumulative-effect adjustment to the statement of financial position, with the Company reclassifying unrealized holding gains of $15,920,000 net of taxes, in Calavo common stock from the prior years to retained earnings from AOCI at the date of adoption. In addition, the change in the fair value of Calavo common stock has been disclosed as a separate line item in the statement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2016-02, Leases (Topic 842)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Under the new guidance, lessees will be required to recognize the following for all leases (with the exception of short-term leases) at the commencement date:</w:t>
      </w:r>
    </w:p>
    <w:p>
      <w:pPr>
        <w:spacing w:after="0" w:line="14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lease liability, which is a lessee’s obligation to make lease payments arising from a lease, measured on a discounted basis; and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right-of-use asset, which is an asset that represents the lessee’s right to use, or control the use of, a specified asset for the lease term.</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new guidance, lessor accounting is largely unchanged. Certain targeted improvements were made to align, where necessary, lessor accounting with the lessee accounting model and Topic 606, Revenue from Contracts with Customers. The new lease guidance simplified the accounting for sale and leaseback transactions primarily because lessees must recognize lease assets and lease liabilities. Lessees will no longer be provided with a source of off-balance sheet financing.</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ASU 2016-02 is effective for fiscal years beginning after December 15, 2018, including interim periods within those fiscal years. Early application is permitted.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The ASU will be effective for the Company beginning in the first quarter of its fiscal year ending October 31, 2020. The Company is evaluating the effect this ASU may have on its consolidated financial statements, however it expects to apply the practical expedients provided in the ASU. Note 20 – Commitments and Contingencies in the notes to consolidated financial statements included in the Company's fiscal year 2018 Annual Report on Form 10-K describes its operating lease arrangements as of October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8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6920" w:firstLine="8"/>
        <w:spacing w:after="0" w:line="566" w:lineRule="auto"/>
        <w:tabs>
          <w:tab w:leader="none" w:pos="18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Recent Accounting Pronouncements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2017-01, Business Combinations (Topic 805): Clarifying the Definition of a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amendment clarifies the definition of a business. The amendment affects all companies and other reporting organizations that must determine whether they have acquired or sold a business.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definition of a business affects many areas of accounting including acquisitions, disposals, goodwill, and consolidation. The amendment is intended to help companies and other organizations evaluate whether transactions should be accounted for as acquisitions (or disposals) of assets or businesses.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amendment is effective for public companies for annual periods beginning after December 15, 2017, including interim periods within those periods. The amendment should be applied prospectively as of the beginning of the period of adoption. The Company early adopted this ASU during the quarter ended July 31, 2018 and as a result, the purchase of San Pablo in the fiscal year 2018 was accounted for as an acquisition of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Accounting Standards Update No. 2017-04 -Intangibles -Goodwill and Other (Topic 350): Simplifying the Test for Goodwill Impairment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amendment eliminates Step 2 from the goodwill impairment test. The annual, or interim, goodwill impairment test is performed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 deductible goodwill on the carrying amount of the reporting unit should be considered when measuring the goodwill impairment loss, if applicable. This amendment also eliminates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Public business entities should apply the amendments for annual or any interim goodwill impairment tests in fiscal years beginning after December 15, 2019. Early adoption is permitted for interim or annual goodwill impairment tests performed on testing dates after January 1, 2017. ASU 2017-04 should be adopted on a prospective basis. The Company does not expect the adoption of this ASU will have a material effect on its consolidated financial statements.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2017-07, Compensation — Retirement Benefits (Topic 715): Improving the Presentation of Net Periodic Pension Cost and Net Periodic Postretirement Benefit Cost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amendment requires that an employer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are used to present the other components of net benefit cost, that line item or items must be appropriately described. If a separate line item or items are not used, the line item or items used in the income statement to present the other components of net benefit cost must be disclosed.</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amendment is effective for public business entities for annual periods beginning after December 15, 2017, including interim periods within those annual periods. The Company’s adoption of this ASU during the first quarter of fiscal year 2019 had no material impact on its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2017-12, Derivatives and Hedging (Topic 815): Targeted Improvements to Accounting for Hedging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amendment refines and expands hedge accounting for both financial and commodity risks. Its provisions create more transparency around how economic results are presented, both on the face of the financial statements and in the footnotes. It also makes certain targeted improvements to simplify the application of hedge accounting guidance. The amendment is effective for public business entities for fiscal years beginning after December 15, 2018, and interim periods within those fiscal years. Early adoption, including adoption in an interim period, is permitted. The Company is evaluating the effect this ASU may have on its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8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6920" w:firstLine="8"/>
        <w:spacing w:after="0" w:line="566" w:lineRule="auto"/>
        <w:tabs>
          <w:tab w:leader="none" w:pos="18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Recent Accounting Pronouncements (continued)</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2018-02, Income Statement—Reporting Comprehensive Income (Topic 220): Reclassification of Certain Tax Effects from Accumulated Other Comprehensive Income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amendment provides financial statement preparers with an option to reclassify stranded tax effects within AOCI to retained earnings in each period in which the effect of the change in the U.S. federal corporate income tax rate in the Tax Cuts and Jobs Act of 2017 (the "2017 Act") (or portion thereof) is recorded.</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amendment is effective for all organizations for fiscal years beginning after December 15, 2018, and interim periods within those fiscal years. Early adoption is permitted. Organizations should apply the proposed amendment either in the period of adoption or retrospectively to each period (or periods) in which the effect of the change in the U.S. federal corporate income tax rate in the 2017 Act is recognized. The Company early adopted this ASU on November 1, 2018, and as a result recorded a cumulative-effect reclassification in the statement of financial position from prior years to retained earnings from AOCI at the date of adoption as of the beginning of the fiscal year of $1,724,000 related to the investment in Calavo and pension liability.</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uses a portfolio approach to release the income tax effects in AOCI related to its equity securities. Under this approach, the income tax effects are released from AOCI upon the sale of an equity security based on the enacted tax rate at the date of sale. Any tax effects remaining in AOCI are released only when the entire portfolio of the equity securities is liquidated, sold or extinguished.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FASB ASU 2018-13, Fair Value Measurement (Topic 820): Disclosure Framework—Changes to the Disclosure Requirements for Fair Value Measurement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clarifies Topic 820 by removing, modifying and adding disclosure requirements.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all entities, amendments are effective for fiscal years, and interim periods within those fiscal years, beginning after December 15, 2019. Early adoption is permitted. An entity is permitted to early adopt any removed or modified disclosures upon issuance of ASU 2018-13 and delay adoption of the additional disclosures until their effective date. The Company is evaluating the effect this ASU may have on its consolidated financial statements.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2018-14, Compensation—Retirement Benefits—Defined Benefit Plans—General (Subtopic 715-20): Disclosure Framework—Changes to the Disclosure Requirements for Defined Benefit Plans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adds removes and clarifies the disclosure requirements for employers that sponsor defined benefit pension or other post retirement plans.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public business entities, the amendments are effective for fiscal years ending after December 15, 2020. Early adoption is permitted. The Company is evaluating the effect this ASU may have on its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 Amendments to Certain Disclosure Requirements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2018, the SEC adopted amendments to certain disclosure requirements for a number of SEC rules, including Rule 3-04 of Regulation S-X. Rule 3-04 requires that a public registrant’s Form 10-Q include a reconciliation of changes in stockholders’ equity for each period for which a statement of comprehensive income is required to be filed. These amendments are effective for interim periods beginning after November 5, 2018, therefore the Company plans to include a separate statement of stockholders’ equity in its Form 10-Q for the second quarter of fiscal year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8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Agriculture Property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2019, the Company purchased land for use as a citrus orchard for a cash purchase price of $397,000. The acquisition was for 26 acres of agricultural property adjacent to the Company’s orchards in Lindsay, California. This agriculture property acquisition was included in property, plant and equipment on the Company’s consolidated balance sheets as of January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Pablo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18, 2018, the Company completed the acquisition of San Pablo ranch and related assets in La Serena, Chile, for $13,000,000. The San Pablo ranch consists of 3,317 acres on two parcels, including 247 acres producing lemons, 61 acres producing oranges, the opportunity to immediately plant 120 acres for lemon production, as well as the potential for approximately 500 acres of avocado production. This acquisition was accounted for as an asset purchase and was included in property, plant and equipment in the Company’s consolidated balance sheet at October 31, 2018. In addition, transaction costs of $111,000 were capitalized as part of total acquisition costs.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is a summary of the fair value of the net assets acquired on the acquisition date based on a third-party valuation, which is considered a Level 3 fair value measurement under FASB ASC 820, Fair Value Measurements and Disclosures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Cultural costs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9,114</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equipment</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Orchards</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2,058</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 rights</w:t>
            </w: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13,111</w:t>
            </w:r>
          </w:p>
        </w:tc>
      </w:tr>
      <w:tr>
        <w:trPr>
          <w:trHeight w:val="20"/>
        </w:trPr>
        <w:tc>
          <w:tcPr>
            <w:tcW w:w="9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proforma consolidated statement of operations as if San Pablo had been included in the consolidated results of the Company for the year ended October 31, 2018 results in revenue of $130,262,000 and net income of $18,785,000.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Oxnard Lemon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24, 2018, the Company and Oxnard Lemon Associates, Ltd., a California limited partnership (“Seller”), entered into an Asset Purchase Agreement (the “Purchase Agreement”). Pursuant to the Purchase Agreement, on July 26, 2018 (the “Initial Closing Date”), the Company acquired certain tangible assets of seller, including a packinghouse and related land (“Oxnard Lemon”), for a purchase price of $24,750,000 (the “Initial Acquisition”). Pursuant to the Purchase Agreement, the closing on the purchase and sale of the intangible assets of Seller, including Seller’s trade names, trademarks and copyrights, took place on October 31, 2018 (the “Final Closing Date”), at which point an additional $250,000 in purchase price was paid to Seller by the Company. The aggregate purchase price for the tangible assets and the intangible assets provided in the Purchase Agreement was $25,000,000. Additionally, the Purchase Agreement provided that Seller lease back the tangible assets from the Company until the Final Closing Date, pursuant to a lease executed on the Initial Closing Date. Transaction costs of $142,000 were included in selling, general and administrative expense.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is a summary of the fair value of the net assets acquired on the acquisition date based on a third-party valuation, which is considered a Level 3 fair value measurement under FASB ASC 820, Fair Value Measurements and Disclosures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7,294</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equipment</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Customer relationships and trade names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2,270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57"/>
        </w:trPr>
        <w:tc>
          <w:tcPr>
            <w:tcW w:w="936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25,000</w:t>
            </w: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proforma consolidated statement of operations as if Oxnard Lemon had been included in the consolidated results of the Company for the year ended October 31, 2018 in revenue of $142,253,000 and net income of $19,728,000.</w:t>
      </w:r>
    </w:p>
    <w:p>
      <w:pPr>
        <w:sectPr>
          <w:pgSz w:w="11900" w:h="16838" w:orient="portrait"/>
          <w:cols w:equalWidth="0" w:num="1">
            <w:col w:w="11420"/>
          </w:cols>
          <w:pgMar w:left="240" w:top="38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82"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FASB ASC 820, Fair Value Measurement and Disclosures, 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Company’s financial assets and liabilities as of January 31, 2019 and October 31, 2018, which are measured on a recurring basis during the period, segregated by level within the fair value hierarchy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January 31, 2019</w:t>
            </w:r>
          </w:p>
        </w:tc>
        <w:tc>
          <w:tcPr>
            <w:tcW w:w="32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20,340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20,340</w:t>
            </w:r>
          </w:p>
        </w:tc>
      </w:tr>
      <w:tr>
        <w:trPr>
          <w:trHeight w:val="405"/>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October 31, 2018</w:t>
            </w:r>
          </w:p>
        </w:tc>
        <w:tc>
          <w:tcPr>
            <w:tcW w:w="320" w:type="dxa"/>
            <w:vAlign w:val="bottom"/>
          </w:tcPr>
          <w:p>
            <w:pPr>
              <w:spacing w:after="0"/>
              <w:rPr>
                <w:sz w:val="24"/>
                <w:szCs w:val="24"/>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24,250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24,250</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Equity securities consist of marketable securities in Calavo common stock. At January 31, 2019 and October 31, 2018, the Company owned 250,000 shares, representing approximately 1.4% of Calavo’s outstanding common stock. These securities are measured at fair value by quoted market prices and changes in fair value are included in the statement of operations subsequent to the adoption of ASU 2016-01. Calavo’s stock price at January 31, 2019 and October 31, 2018 was $81.36 and $97.00 per share, respectively. Prior to the adoption of ASU 2016-01, these equity securities were classified as available-for-sale securities and changes in fair value were recorded in AOCI net of tax.</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grants credit in the course of its operations to customers, cooperatives, companies and lessees of the Company’s facilities. The Company performs periodic credit evaluations of its customers’ financial condition and generally does not require collateral. The Company provides allowances on its receivables, as required, based on accounts receivable aging and certain other factors. As of January 31, 2019 and October 31, 2018 the allowances totaled $643,000 and $563,000,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Concentrations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Lemons procured from third-party growers were 59% and 53% of lemon supply in the three months ended January 31, 2019 and 2018 respectively, of which one third-party grower was 13% of lemon supply at January 31, 2019. The Company sells all of its avocado production to Calavo and the majority of its oranges and specialty citrus to a third-party packing house.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7. Prepaid Expenses and Other Current Assets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24"/>
        </w:trPr>
        <w:tc>
          <w:tcPr>
            <w:tcW w:w="8120" w:type="dxa"/>
            <w:vAlign w:val="bottom"/>
          </w:tcPr>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60"/>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4"/>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October 31, 2018</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insurance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Prepaid supplies</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1,196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 supplier advances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Note receivable, net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2,797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development held for sale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Water assessment fees and other</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694</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8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82"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Real Estate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Real estate development assets are comprised primarily of land and land development costs and consist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w:t>
            </w:r>
          </w:p>
        </w:tc>
        <w:tc>
          <w:tcPr>
            <w:tcW w:w="220" w:type="dxa"/>
            <w:vAlign w:val="bottom"/>
          </w:tcPr>
          <w:p>
            <w:pPr>
              <w:spacing w:after="0"/>
              <w:rPr>
                <w:sz w:val="18"/>
                <w:szCs w:val="18"/>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October 31,</w:t>
            </w:r>
          </w:p>
        </w:tc>
      </w:tr>
      <w:tr>
        <w:trPr>
          <w:trHeight w:val="234"/>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 Area I</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91,357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Retained Property - East Area I</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10,456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10,408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 Area II</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5,397</w:t>
            </w:r>
          </w:p>
        </w:tc>
      </w:tr>
      <w:tr>
        <w:trPr>
          <w:trHeight w:val="237"/>
        </w:trPr>
        <w:tc>
          <w:tcPr>
            <w:tcW w:w="8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15,942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107,162</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 I, Retained Property and East Area II</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fiscal year 2005, the Company began capitalizing the costs of two real estate development projects east of Santa Paula, California, for the development of 550 acres of land into residential units, commercial buildings and civic facilities. During the three months ended January 31, 2019 the Company capitalized $137,000 of costs related to the Retained Property and the East Area II project. During the three months ended January 31, 2018 the Company capitalized $3,189,000 of costs related to the East Area I, Retained Property and East Area II projects. Additionally, in relation to these projects, the Company incurred expenses of $2,000 and $1,000 in the three months ended January 31, 2019 and 2018, respectively.</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November 10, 2015 (the “Transaction Date”), the Company entered into a joint venture with The Lewis Group of Companies (“Lewis”) for the residential development of its East Area I real estate development project. To consummate the transaction, the Company formed Limoneira Lewis Community Builders, LLC (the “LLC” or “Joint Venture”) as the development entity, contributed its East Area I property to the LLC and sold a 50% interest in the LLC to Lewis for $20,000,000, comprised of a $2,000,000 deposit received in September 2015 and $18,000,000 received on the Transaction Date. The Company received net cash of approximately $18,800,000 after transaction costs of approximately $1,200,000, which were expensed in the first quarter of fiscal year 2017. In addition, on the Transaction Date, the Company incurred a Success Fee with Parkstone Companies, Inc., in the amount of $2,100,000, which was paid on January 28, 2016 and capitalized as a component of the Company’s investment in the East Area I property.</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the Transaction Date, the LLC and Lewis also entered into a limited liability company agreement (the “LLC Agreement”) providing for the admittance of Lewis as a 50% member of the Joint Venture. The LLC Agreement provides that Lewis will serve as the manager of the Joint Venture with the right to manage, control, and conduct its day-to-day business and development activities. Certain major decisions, which are enumerated in the LLC Agreement, require approval by an executive committee comprised of two representatives appointed by Lewis and two representatives appointed by the Company. Pursuant to the LLC Agreement, the Joint Venture will own, develop, subdivide, entitle, maintain, improve, hold for investment, market and dispose of the Joint Venture’s property in accordance with the business plan and budget approved by the executive committee.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and the Joint Venture also entered into a Retained Property Development Agreement on the Transaction Date (the "Retained Property Agreement"). Under the terms of the Retained Property Agreement, the Joint Venture will transfer certain contributed East Area I property, which is entitled for commercial development, back to the Company (the "Retained Property") and arrange for the design and construction of certain improvements to the Retained Property, subject to certain reimbursements by the Company. In August 2018, the Retained Property, which is approved for commercial development, was transferred back to the Company. The net carrying value of the Retained Property as of January 31, 2019 and October 31, 2018 was $10,456,000 and $10,408,000, respectively, and classified as real estate development.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on the Transaction Date, the Joint Venture and the Company entered into a Lease Agreement (the "Lease Agreement"), pursuant to which the Joint Venture would lease certain of the contributed East Area I property back to the Company for continuation of agricultural operations, and certain other permitted uses, on the property until the Joint Venture required the property for development. In December 2018, the Company terminated the Lease Agreement pursuant to the terms therein.</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sale of an interest in the LLC in which the Company’s contributed property comprises the LLC’s primary asset, combined with the Lease Agreement was considered a sale-leaseback transaction under FASB ASC 840</w:t>
      </w:r>
      <w:r>
        <w:rPr>
          <w:rFonts w:ascii="Arial" w:cs="Arial" w:eastAsia="Arial" w:hAnsi="Arial"/>
          <w:sz w:val="16"/>
          <w:szCs w:val="16"/>
          <w:i w:val="1"/>
          <w:iCs w:val="1"/>
          <w:color w:val="auto"/>
        </w:rPr>
        <w:t>, Leases,</w:t>
      </w:r>
      <w:r>
        <w:rPr>
          <w:rFonts w:ascii="Arial" w:cs="Arial" w:eastAsia="Arial" w:hAnsi="Arial"/>
          <w:sz w:val="16"/>
          <w:szCs w:val="16"/>
          <w:color w:val="auto"/>
        </w:rPr>
        <w:t xml:space="preserve"> because of the Company’s continuing involvement in the property in the form of its agricultural operations. Accordingly, the property was carried on the consolidated balance sheet as real estate development, rather than being classified as an equity investment and a sale-leaseback deferral had been recorded for the $20,000,000 payment made by Lewis for the purchase of the LLC interest. Lease expense associated with the Lease Agreement was not required under sale-leaseback accounting since the Company was treated as though it continued to own the property. During the three months ended January 31, 2018, the Company recorded $2,726,000, of real estate development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82"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Real Estate Development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 I, Retained Property and East Area and II (continued)</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costs and corresponding increases in the sale-leaseback deferral to recognize real estate development costs capitalized by the LLC. There were no repayment requirements for the sale-leaseback deferral. When the Lease Agreement was terminated in December 2018 control of the property transferred to the Joint Venture and therefore, the Company reduced the sale lease-back deferral and corresponding real estate development by $58,330,000 and reclassified $33,353,000 to equity in investments upon derecognition of the real estate development. As the fair value of the Company’s ownership interest in the Joint Venture approximated the Company’s historical basis in the real estate development, no gain or loss was recorded.</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determined the Joint Venture to be a Variable Interest Entity (“VIE”) under ASC 810, </w:t>
      </w:r>
      <w:r>
        <w:rPr>
          <w:rFonts w:ascii="Arial" w:cs="Arial" w:eastAsia="Arial" w:hAnsi="Arial"/>
          <w:sz w:val="18"/>
          <w:szCs w:val="18"/>
          <w:i w:val="1"/>
          <w:iCs w:val="1"/>
          <w:color w:val="auto"/>
        </w:rPr>
        <w:t>Consolidation</w:t>
      </w:r>
      <w:r>
        <w:rPr>
          <w:rFonts w:ascii="Arial" w:cs="Arial" w:eastAsia="Arial" w:hAnsi="Arial"/>
          <w:sz w:val="18"/>
          <w:szCs w:val="18"/>
          <w:color w:val="auto"/>
        </w:rPr>
        <w:t>, because the Joint Venture will require additional subordinated financial support to finance its operations. The Company further determined that it is not the primary beneficiary of the VIE, as the Company and Lewis have joint control over all significant decisions affecting the Joint Venture’s economic performance. Accordingly, contributions made by the Company to the LLC, the Company’s proportionate share of the Joint Venture’s results of operations and distributions received by the Company from the LLC will be accounted for under the equity method. The Company made contributions of $4,000,000 and $3,500,000 to the LLC in the three months ended January 31, 2019 and 2018, respectively.</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the Joint Venture entered into a $45,000,000 unsecured Line of Credit Loan Agreement and Promissory Note (the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 the Loan without penalty.</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2018, the obligations under the Loan were guaranteed by certain principals from Lewis and by the Company. The guarantee shall continue in effect until all of the Loan obligations are fully paid and the guarantors are jointly and severally liable for all Loan obligations in the event of default by the Joint Venture. The Joint Venture recorded the Loan balance of $45,000,000 and $36,243,000 as of January 31, 2019 and October 31, 2018, respectively. The $1,080,000 estimated value of the guarantee was recorded in the Company’s consolidated balance sheets and is included in other long-term liabilities with a corresponding increase in equity in investments. The Company has elected to reduce the guarantee liability upon expiration or settlement of the guarantee. Additionally, a Reimbursement Agreement was executed between the Lewis guarantors and the Company which provides for unpaid liabilities of the Joint Venture to be shared pro-rata by the Lewis guarantors and the Company in proportion to their percentage interest in the Joint Venture.</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LLC Agreement, the Company was reimbursed $250,000 by the Joint Venture in January 2018 for Initial Public Safety Facility Payments made to the City of Santa Paula in October 2015. Additionally, the Company leases office space to Lewis and received rental income of $4,000 for the three months ended January 31, 2019 and 2018.</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facilitating the annexation of the East Area I property into the City of Santa Paula, during February 2013, the Company entered into a Capital Improvement Cost Sharing Agreement for Improvements to Santa Paula Creek Channel (the “Cost Sharing Agreement”) with the Ventura County Watershed Protection District (the “District”). The Cost Sharing Agreement requires the Company to reimburse the District 28.5% of the costs of the improvements, up to a maximum of $5,000,000. Additionally, the Company is required to pay the cost of preparing a study to determine a feasible scope of work and budget for the improvements. No cost reimbursements have been incurred to date in relation to the Cost Sharing Agreement.</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2013, the Company entered into an option agreement for the purchase of a 7-acre parcel adjacent to its East Area II real estate development project. The Company made a $75,000 initial option payment in 2013 and four additional annual option payments of $50,000 each from 2014 to 2017. In February 2018, the Company exercised its option and purchased the property for $3,145,000, by making a cash payment of $1,444,000 and issuing a note payable for $1,435,000. The $275,000 of option payments were applied to the purchase price and the Company incurred $9,000 of transaction costs. The note payable is due in February 2023, with interest-only, monthly payments at interest rates ranging from 5.0% to 7.0%. The net carrying value of East Area II as of January 31, 2019 and October 31, 2018, was $5,486,000 and $5,397,000, respectively, and classified as real estate development.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and March 2019, the Company announced that its Joint Venture with Lewis closed the sales of the initial residential lots representing a total of 174 residential units.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82"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8380" w:firstLine="8"/>
        <w:spacing w:after="0" w:line="566" w:lineRule="auto"/>
        <w:tabs>
          <w:tab w:leader="none" w:pos="18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Real Estate Development (continued) Templeton Santa Barbara, LLC</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real estate development parcels within the Templeton Santa Barbara, LLC project are described as Centennial, The Terraces at Pacific Crest (“Pacific Crest”), and Sevilla. The net carrying values of Pacific Crest and Sevilla as of January 31, 2019 were $2,481,000 and $2,543,000, respectively. These projects were idle during the three months ended January 31, 2019 and 2018 and, as such, no costs were capitalized. In relation to these projects, the Company incurred expenses of $26,000 and $29,000 in the three months ended January 31, 2019 and 2018, respectively. Additionally, the Company recognized impairment charges of $769,000 and $789,000 related to Pacific Crest and Sevilla, respectively, in fiscal year 2018.</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2017, the Company sold Centennial for $3,250,000, receiving net proceeds of $179,000 and a $3,000,000 promissory note secured by the property for the balance of the purchase price. After transaction costs, the sale resulted in a gain of $194,000, to be recognized under the installment method, with $6,000 and $15,000 recognized in three months ended January 31, 2019 and 2018, respectively, and $161,000 deferred balance as of January 31, 2019. The promissory note was originally scheduled to mature in June 2018 but provided for three potential extensions to December 2019. In fiscal year 2018, per the terms of the promissory note, the holder of the note made two non-refundable $100,000 payments to the Company, extending the due date to December 30, 2018. In November 2018, the holder of the note made a non-refundable $100,000 payment, extending the due date to December 15, 2019. Additionally, the holder made a $50,000 payment towards the note principal in December 2018. Interest income related to this note was $33,000 and $24,000 in the three months ended January 31, 2019 and 2018, respectively.</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November 2017, the Company sold the commercial portion of its Sevilla project for $1,452,000, receiving net proceeds of $1,364,000. The Company recognized a gain of $10,000 after transaction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2018, the Company began negotiations to sell its Pacific Crest and Sevilla properties for a combined total price of $5,200,000. As a result, the Company recorded impairment charges on Pacific Crest and Sevilla of $769,000 and $789,000, respectively, in October 2018. As of the date of this filing, these transactions are still in negotiations.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January 31, 2019 and October 31, 2018, the $2,481,000 carrying value of Pacific Crest and the $2,543,000 carrying value of Sevilla were classified as held for sale and included in prepaid expenses and other current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9. Equity in Investments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24"/>
        </w:trPr>
        <w:tc>
          <w:tcPr>
            <w:tcW w:w="8120" w:type="dxa"/>
            <w:vAlign w:val="bottom"/>
          </w:tcPr>
          <w:p>
            <w:pPr>
              <w:spacing w:after="0"/>
              <w:rPr>
                <w:sz w:val="20"/>
                <w:szCs w:val="20"/>
                <w:color w:val="auto"/>
              </w:rPr>
            </w:pPr>
            <w:r>
              <w:rPr>
                <w:rFonts w:ascii="Arial" w:cs="Arial" w:eastAsia="Arial" w:hAnsi="Arial"/>
                <w:sz w:val="18"/>
                <w:szCs w:val="18"/>
                <w:color w:val="auto"/>
              </w:rPr>
              <w:t>Equity in investments consist of the following (in thousands):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60"/>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4"/>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October 31, 2018</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Limoneira Lewis Community Builders, LLC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Limco Del Mar, Ltd.</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1,935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Rosales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Romney Property Partnership</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512</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18,698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Rosales equity investment includes the Company’s 35% interest acquired in fiscal year 2015 and an additional 12% interest acquired with the purchase of PDA in fiscal year 2017. The Company’s investment in Rosales is accounted for using the equity method of accounting based on the sum of its direct and indirect ownership.</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Limoneira Lewis Community Builders, LLC investment balance includes the value of the Company's ownership interest in the Joint Venture and the estimated value of the loan guarantee as described in Note - 8 Real Estate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Investment in Calavo Growers, Inc.</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2005, the Company entered into a stock purchase agreement with Calavo. Pursuant to this agreement, the Company purchased 1,000,000 shares, or approximately 6.9%, of Calavo’s common stock for $10,000,000 and Calavo purchased 1,728,570 shares, or approximately 15.1%, of the Company’s common stock for $23,450,000. Under the terms of the agreement, the Company received net cash consideration of $13,450,000.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82"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Investment in Calavo Growers, Inc. (continued)</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fiscal year 2009, the Company sold 335,000 shares of Calavo stock for a total of $6,079,000, recognizing a gain of $2,729,000. In fiscal year 2013, the Company sold 165,000 shares to Calavo for a total of $4,788,000, recognizing a gain of $3,138,000. In fiscal year 2015, the Company sold 140,000 shares for a total of $6,433,000, recognizing a gain of $5,033,000. In fiscal year 2016, the Company sold 60,000 shares for a total of $4,019,000, recognizing a gain of $3,419,000. In fiscal year 2018, the Company sold 50,000 shares for a total of $4,721,000, recognizing a gain of $4,223,000. These gains are included in other income in the consolidated statements of operations. The Company continues to own 250,000 shares of Calavo common stock.</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With the adoption of FASB ASU 2016-01 on November 1, 2018, changes in the fair value of the marketable securities result in gains or losses recognized in net income. The Company recorded an unrealized loss of $3,910,000 during the three months ended January 31, 2019, which is included in other expense in the consolidated statements of operations. Prior to the adoption of FASB ASU 2016-01, changes in the fair value of the marketable securities resulted in unrealized holding gains or losses for the shares held by the Company. The Company recorded an unrealized holding gain of $3,990,000 ($2,821,000 net of tax), during the three months ended January 31, 2018 which was included in AOCI in the consolidated balance sheet.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Arial" w:cs="Arial" w:eastAsia="Arial" w:hAnsi="Arial"/>
                <w:sz w:val="18"/>
                <w:szCs w:val="18"/>
                <w:b w:val="1"/>
                <w:bCs w:val="1"/>
                <w:color w:val="auto"/>
              </w:rPr>
              <w:t>11. Other Assets</w:t>
            </w:r>
          </w:p>
        </w:tc>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60" w:type="dxa"/>
            <w:vAlign w:val="bottom"/>
          </w:tcPr>
          <w:p>
            <w:pPr>
              <w:spacing w:after="0"/>
              <w:rPr>
                <w:sz w:val="20"/>
                <w:szCs w:val="20"/>
                <w:color w:val="auto"/>
              </w:rPr>
            </w:pPr>
            <w:r>
              <w:rPr>
                <w:rFonts w:ascii="Arial" w:cs="Arial" w:eastAsia="Arial" w:hAnsi="Arial"/>
                <w:sz w:val="18"/>
                <w:szCs w:val="18"/>
                <w:color w:val="auto"/>
              </w:rPr>
              <w:t>Other assets consist of the following (in thousands):</w:t>
            </w: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0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October 31, 2018</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mutual water companies</w:t>
            </w:r>
          </w:p>
        </w:tc>
        <w:tc>
          <w:tcPr>
            <w:tcW w:w="3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Acquired water and mineral rights</w:t>
            </w:r>
          </w:p>
        </w:tc>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3,902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 for land purchase</w:t>
            </w:r>
          </w:p>
        </w:tc>
        <w:tc>
          <w:tcPr>
            <w:tcW w:w="3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Deferred lease assets and other</w:t>
            </w:r>
          </w:p>
        </w:tc>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 receivable</w:t>
            </w:r>
          </w:p>
        </w:tc>
        <w:tc>
          <w:tcPr>
            <w:tcW w:w="3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Revolving funds and memberships</w:t>
            </w:r>
          </w:p>
        </w:tc>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trade names, trademarks and customer relationships</w:t>
            </w:r>
          </w:p>
        </w:tc>
        <w:tc>
          <w:tcPr>
            <w:tcW w:w="3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6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14,504</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12. Accrued Liabilities</w:t>
            </w:r>
          </w:p>
        </w:tc>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60" w:type="dxa"/>
            <w:vAlign w:val="bottom"/>
            <w:vMerge w:val="continue"/>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6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0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October 31, 2018</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3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Property taxes</w:t>
            </w:r>
          </w:p>
        </w:tc>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3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Deferred rental income and deposits</w:t>
            </w:r>
          </w:p>
        </w:tc>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expense</w:t>
            </w:r>
          </w:p>
        </w:tc>
        <w:tc>
          <w:tcPr>
            <w:tcW w:w="3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Lemon supplier payables</w:t>
            </w:r>
          </w:p>
        </w:tc>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and other</w:t>
            </w:r>
          </w:p>
        </w:tc>
        <w:tc>
          <w:tcPr>
            <w:tcW w:w="30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60" w:type="dxa"/>
            <w:vAlign w:val="bottom"/>
            <w:vMerge w:val="restart"/>
          </w:tcPr>
          <w:p>
            <w:pPr>
              <w:jc w:val="right"/>
              <w:ind w:right="223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0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6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r>
              <w:rPr>
                <w:rFonts w:ascii="Arial" w:cs="Arial" w:eastAsia="Arial" w:hAnsi="Arial"/>
                <w:sz w:val="18"/>
                <w:szCs w:val="18"/>
                <w:b w:val="1"/>
                <w:bCs w:val="1"/>
                <w:color w:val="auto"/>
              </w:rPr>
              <w:t>13. Long-Term Debt</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Long-term debt is comprised of the following (in thousands):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w:t>
            </w:r>
          </w:p>
        </w:tc>
        <w:tc>
          <w:tcPr>
            <w:tcW w:w="16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34"/>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800" w:type="dxa"/>
            <w:vAlign w:val="bottom"/>
            <w:shd w:val="clear" w:color="auto" w:fill="CCEEFF"/>
          </w:tcPr>
          <w:p>
            <w:pPr>
              <w:ind w:left="40"/>
              <w:spacing w:after="0" w:line="192" w:lineRule="exact"/>
              <w:rPr>
                <w:sz w:val="20"/>
                <w:szCs w:val="20"/>
                <w:color w:val="auto"/>
              </w:rPr>
            </w:pPr>
            <w:r>
              <w:rPr>
                <w:rFonts w:ascii="Arial" w:cs="Arial" w:eastAsia="Arial" w:hAnsi="Arial"/>
                <w:sz w:val="17"/>
                <w:szCs w:val="17"/>
                <w:color w:val="auto"/>
                <w:w w:val="94"/>
              </w:rPr>
              <w:t>Farm Credit West revolving and non-revolving lines of credit: the interest rate of the revolving line of credit is variable based</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5"/>
              </w:rPr>
              <w:t>on the one-month London Interbank Offered Rate (“LIBOR”), which was 2.51% at January 31, 2019, plus 1.85%. Effective</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July 1, 2018, the interest rate for the $40.0 million outstanding balance of the non-revolving line of credit was fixed at 4.77%.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68,688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50,888</w:t>
            </w:r>
          </w:p>
        </w:tc>
        <w:tc>
          <w:tcPr>
            <w:tcW w:w="0" w:type="dxa"/>
            <w:vAlign w:val="bottom"/>
          </w:tcPr>
          <w:p>
            <w:pPr>
              <w:spacing w:after="0"/>
              <w:rPr>
                <w:sz w:val="1"/>
                <w:szCs w:val="1"/>
                <w:color w:val="auto"/>
              </w:rPr>
            </w:pPr>
          </w:p>
        </w:tc>
      </w:tr>
      <w:tr>
        <w:trPr>
          <w:trHeight w:val="22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is payable monthly and the principal is due in full on July 1, 2022.</w:t>
            </w: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color w:val="auto"/>
                <w:w w:val="93"/>
              </w:rPr>
              <w:t>Farm Credit West term loan: the interest rate is variable and was 4.95% at January 31, 2019. The loan is payable in quarterly</w:t>
            </w:r>
          </w:p>
        </w:tc>
        <w:tc>
          <w:tcPr>
            <w:tcW w:w="140" w:type="dxa"/>
            <w:vAlign w:val="bottom"/>
          </w:tcPr>
          <w:p>
            <w:pPr>
              <w:spacing w:after="0"/>
              <w:rPr>
                <w:sz w:val="18"/>
                <w:szCs w:val="18"/>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20"/>
        </w:trPr>
        <w:tc>
          <w:tcPr>
            <w:tcW w:w="8800" w:type="dxa"/>
            <w:vAlign w:val="bottom"/>
          </w:tcPr>
          <w:p>
            <w:pPr>
              <w:ind w:left="40"/>
              <w:spacing w:after="0"/>
              <w:rPr>
                <w:sz w:val="20"/>
                <w:szCs w:val="20"/>
                <w:color w:val="auto"/>
              </w:rPr>
            </w:pPr>
            <w:r>
              <w:rPr>
                <w:rFonts w:ascii="Arial" w:cs="Arial" w:eastAsia="Arial" w:hAnsi="Arial"/>
                <w:sz w:val="17"/>
                <w:szCs w:val="17"/>
                <w:color w:val="auto"/>
              </w:rPr>
              <w:t>installments through November 2022.</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Farm Credit West term loan: the interest rate is variable and was 4.95% at January 31, 2019. The loan is payable in monthly</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2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installments through October 2035.</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color w:val="auto"/>
                <w:w w:val="96"/>
              </w:rPr>
              <w:t>Farm Credit West term loan: the interest rate is fixed at 4.70%. The loan is payable in monthly installments though March</w:t>
            </w:r>
          </w:p>
        </w:tc>
        <w:tc>
          <w:tcPr>
            <w:tcW w:w="140" w:type="dxa"/>
            <w:vAlign w:val="bottom"/>
          </w:tcPr>
          <w:p>
            <w:pPr>
              <w:spacing w:after="0"/>
              <w:rPr>
                <w:sz w:val="18"/>
                <w:szCs w:val="18"/>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9,086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9,172</w:t>
            </w:r>
          </w:p>
        </w:tc>
        <w:tc>
          <w:tcPr>
            <w:tcW w:w="0" w:type="dxa"/>
            <w:vAlign w:val="bottom"/>
          </w:tcPr>
          <w:p>
            <w:pPr>
              <w:spacing w:after="0"/>
              <w:rPr>
                <w:sz w:val="1"/>
                <w:szCs w:val="1"/>
                <w:color w:val="auto"/>
              </w:rPr>
            </w:pPr>
          </w:p>
        </w:tc>
      </w:tr>
      <w:tr>
        <w:trPr>
          <w:trHeight w:val="220"/>
        </w:trPr>
        <w:tc>
          <w:tcPr>
            <w:tcW w:w="8800" w:type="dxa"/>
            <w:vAlign w:val="bottom"/>
          </w:tcPr>
          <w:p>
            <w:pPr>
              <w:ind w:left="40"/>
              <w:spacing w:after="0"/>
              <w:rPr>
                <w:sz w:val="20"/>
                <w:szCs w:val="20"/>
                <w:color w:val="auto"/>
              </w:rPr>
            </w:pPr>
            <w:r>
              <w:rPr>
                <w:rFonts w:ascii="Arial" w:cs="Arial" w:eastAsia="Arial" w:hAnsi="Arial"/>
                <w:sz w:val="17"/>
                <w:szCs w:val="17"/>
                <w:color w:val="auto"/>
              </w:rPr>
              <w:t>2036.</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4"/>
              </w:rPr>
              <w:t>Farm Credit West term loan: the interest rate is fixed at 3.62% until March 2021, becoming variable for the remainder of the</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6,737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6,808</w:t>
            </w:r>
          </w:p>
        </w:tc>
        <w:tc>
          <w:tcPr>
            <w:tcW w:w="0" w:type="dxa"/>
            <w:vAlign w:val="bottom"/>
          </w:tcPr>
          <w:p>
            <w:pPr>
              <w:spacing w:after="0"/>
              <w:rPr>
                <w:sz w:val="1"/>
                <w:szCs w:val="1"/>
                <w:color w:val="auto"/>
              </w:rPr>
            </w:pPr>
          </w:p>
        </w:tc>
      </w:tr>
      <w:tr>
        <w:trPr>
          <w:trHeight w:val="22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loan. The loan is payable in monthly installments though March 2036.</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7"/>
                <w:szCs w:val="17"/>
                <w:color w:val="auto"/>
                <w:w w:val="93"/>
              </w:rPr>
              <w:t>Wells Fargo term loan: the interest rate is fixed at 3.58%. The loan is payable in monthly installments through January 2023.</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6,367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2"/>
              </w:rPr>
              <w:t>Banco de Chile term loan: the interest rate is fixed at 6.48%. The loan is payable in annual installments through January 2025.</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color w:val="auto"/>
                <w:w w:val="93"/>
              </w:rPr>
              <w:t>Note Payable: the interest rate ranges from 5.0% to 7.0% and was 5.0% at January 31, 2019. The loan includes interest-only</w:t>
            </w:r>
          </w:p>
        </w:tc>
        <w:tc>
          <w:tcPr>
            <w:tcW w:w="140" w:type="dxa"/>
            <w:vAlign w:val="bottom"/>
          </w:tcPr>
          <w:p>
            <w:pPr>
              <w:spacing w:after="0"/>
              <w:rPr>
                <w:sz w:val="18"/>
                <w:szCs w:val="18"/>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20"/>
        </w:trPr>
        <w:tc>
          <w:tcPr>
            <w:tcW w:w="8800" w:type="dxa"/>
            <w:vAlign w:val="bottom"/>
          </w:tcPr>
          <w:p>
            <w:pPr>
              <w:ind w:left="40"/>
              <w:spacing w:after="0"/>
              <w:rPr>
                <w:sz w:val="20"/>
                <w:szCs w:val="20"/>
                <w:color w:val="auto"/>
              </w:rPr>
            </w:pPr>
            <w:r>
              <w:rPr>
                <w:rFonts w:ascii="Arial" w:cs="Arial" w:eastAsia="Arial" w:hAnsi="Arial"/>
                <w:sz w:val="17"/>
                <w:szCs w:val="17"/>
                <w:color w:val="auto"/>
              </w:rPr>
              <w:t>monthly payments and principal is due in February 2023.</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Subtotal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80,251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7"/>
                <w:szCs w:val="17"/>
                <w:color w:val="auto"/>
              </w:rPr>
              <w:t>Less deferred financing costs, net of accumulated amortization</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long-term debt,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96,874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80,093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7"/>
                <w:szCs w:val="17"/>
                <w:color w:val="auto"/>
              </w:rPr>
              <w:t>Less current portion</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less current portion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94,001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76,966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20, 2017, the Company entered into a Master Loan Agreement (the “Loan Agreement”) with Farm Credit West, FLCA (“Farm Credit West”) which includes a Revolving Credit Supplement and a Non-Revolving Credit Supplement (the “Supplements”). Proceeds from the Supplements were used to pay down all the remaining outstanding indebtedness under the revolving credit facility the Company had with Rabobank, N.A. On January 29, 2018, the Company amended the Revolving Credit Supplement to increase the borrowing capacity from $60,000,000 to $75,000,000. The Supplements provide aggregate borrowing capacity of $115,000,000 comprised of $75,000,000 under the Revolving Credit Supplement and $40,000,000 under the Non-Revolving Credit Supplement.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2018, the Company entered into a Conversion Agreement with Farm Credit West which fixed the interest rate on the Non-Revolving Credit Supplement at 4.77% effective July 1, 2018. The agreement provides for a fee equal to 0.50% of any amounts prepaid under the Non-Revolving Credit Supplement. The Company may prepay any amounts under the Revolving Credit Supplement without penalty.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for any amount outstanding under the Supplements is based on the one-month LIBOR rate plus an applicable margin, which is subject to adjustment on a monthly basis. The applicable margin ranges from 1.60% to 2.35% depending on the ratio of current assets plus the remaining available commitment divided by current liabilities. On July 1, 2018, and on each one-year anniversary thereafter, we have the option to convert the interest rate in use under each Supplement from the preceding LIBOR-based calculation to a variable interest rate, or the reverse, as applicable. Any amounts outstanding under the Supplements are due and payable in full on July 1, 2022.</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indebtedness under the Loan Agreements, including any indebtedness under the Supplements, is secured by a first lien on certain of the Company’s agricultural properties in Tulare and Ventura counties in California and certain of the Company’s building fixtures and improvements and investments in mutual water companies associated with the pledged agricultural properties. The Loan Agreement includes customary default provisions that provide should an event of default occur, Farm Credit West, at its option, may declare all or any portion of the indebtedness under the Loan Agreement to be immediately due and payable without demand, notice of non-payment, protest or prior recourse to collateral, and terminate or suspend the Company’s right to draw or request funds on any loan or line of credit.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82"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Loan Agreement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covenant that it will maintain a debt service coverage ratio greater than 1.25:1.0 measured annually at October 31. The Company was in compliance with the covenant as of October 31, 2018.</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Supplements provide for maximum borrowings of $115,000,000 and the borrowing capacity based on collateral value was $115,000,000 at January 31,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20, 2016, the Company entered into a $10,000,000 term loan with Wells Fargo Equipment Finance, Inc., which is secured by certain equipment associated with the Company’s new packing facilities.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16, 2016, the Company entered into a Promissory Note and Loan Agreement with Farm Credit West. The loan agreement provides for a term loan in the amount of $10,000,000 and a term loan in the amount of $7,500,000 (the “Term Loans”). The proceeds from the Term Loans were used to repay the Farm Credit West Line of Credit and pay down outstanding indebtedness.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Banco de Chile term loan was assumed with the acquisition of PDA in February 2017. The interest rate is fixed at 6.48%. The loan is payable in eight annual principal and interest payments that began in January 2018. This loan is unsecured.</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February 2013, the Company entered into an option agreement for the purchase of a 7-acre parcel adjacent to its East Area II real estate development project. The Company made a $75,000 initial option payment in 2013 and four additional annual option payments of $50,000 each from 2014 to 2017. In February 2018, the Company exercised its option and purchased the property for $3,145,000, by making a cash payment of $1,444,000 and issuing a note payable for $1,435,000. The $275,000 of option payments were applied to the purchase price and the Company incurred $9,000 of transaction costs. The note payable is due in February 2023, with interest-only, monthly payments at interest rates ranging from 5.0% to 7.0%.</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is capitalized on non-bearing orchards, real estate development projects and significant construction in progress. The Company capitalized interest of $267,000 and $577,000 during the three months ended January 31, 2019 and 2018, respectively. Capitalized interest is included in property, plant and equipment and real estate development in the Company’s consolidated balance sheets.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incurs certain loan fees and costs associated with its new or amended credit arrangements. Such costs are capitalized as deferred financing costs and amortized as interest expense using the straight-line method over the terms of the credit agreements. The balance of deferred financing costs is $150,000, net of amortization is included in long-term debt on the Company’s consolidated balance sheet at January 31,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 Instrument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enters into an interest rate swap to minimize the risks and costs associated with its financing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2011, the Company entered into a forward interest rate swap agreement with Rabobank International, Utrecht to fix the interest rate at 4.30% on $40,000,000 of its outstanding borrowings under the Rabobank line of credit beginning July 2013 until June 2018. In connection with the paydown of the Rabobank debt noted above, on June 20, 2017, the Company entered into a novation agreement with Rabobank International, Utrecht and CoBank, ACB (“CoBank”). The agreement provided for the prior interest rate swap agreement with Rabobank to be in place with CoBank. The interest rate swap expired June 30, 2018.</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82"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Basic and Diluted Net (Loss) Income per Share</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net (loss) income per common share is calculated using the weighted-average number of common shares outstanding during the period without consideration of the dilutive effect of conversion of preferred stock. Diluted net (loss) income per common share is calculated using the weighted-average number of common shares outstanding during the period plus the dilutive effect of conversion of unvested, restricted stock and preferred stock. The computations for basic and diluted net (loss) income per common share are as follows (in thousands, except per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Three Months Ended January 31,</w:t>
            </w:r>
          </w:p>
        </w:tc>
      </w:tr>
      <w:tr>
        <w:trPr>
          <w:trHeight w:val="27"/>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(loss) income per common share: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(loss) income applicable to common stock</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(4,818)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8,500</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unvested, restricted stock</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Numerator: Net (loss) income for basic EPS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(4,834)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8,500</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 Weighted average common shares-basic</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17,488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14,466</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Basic net (loss) income per common share</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0.59</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22"/>
        </w:trPr>
        <w:tc>
          <w:tcPr>
            <w:tcW w:w="8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(loss) income per common share: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Numerator: Net (loss) income for diluted EPS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(4,834)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8,625</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 Weighted average common shares–basic</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17,488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Effect of dilutive unvested, restricted stock and preferred stock</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518</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shares–diluted</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17,488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14,984</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Diluted net (loss) income per common share</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0.58</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Diluted (losses) earnings per common share are computed using the more dilutive method of either the two-class method or the treasury method. Unvested stock-based compensation awards that contain non-forfeitable rights to dividends as participating shares are included in computing earnings per share. The Company’s unvested, restricted stock awards qualify as participating shares. The Company excluded 162,000 and 98,000, unvested, restricted shares, as calculated under the treasury stock method, from its computation of diluted earnings per share for the three months ended January 31, 2019 and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rents certain of its residential housing assets to employees on a month-to-month basis. The Company recorded $178,000 and $177,000 of rental revenue from employees in the three months ended January 31, 2019 and 2018, respectively. There were no rental payments due from employees at January 31, 2019 or October 31, 2018.</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representation on the boards of directors of the mutual water companies in which the Company has investments. The Company recorded capital contributions and purchased water and water delivery services from such mutual water companies, in aggregate, of $777,000 and $720,000 in the three months ended January 31, 2019 and 2018, respectively. Capital contributions are included in other assets in the Company’s consolidated balance sheets and purchases of water and water delivery services are included in agribusiness expense in the Company’s consolidated statements of operations. Water payments due to the mutual water companies were, in aggregate, $631,000 and $142,000 at January 31, 2019 and October 31, 2018, respectively.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representation on the board of directors of a non-profit cooperative association that provides pest control services for the agricultural industry. The Company purchased services and supplies of $316,000 and $307,000 from the association in the three months ended January 31, 2019 and 2018, respectively, which is included in agribusiness expense in the Company’s consolidated statements of operations. Payments due to the cooperative were $6,000 and $142,000 at January 31, 2019 and October 31, 2018, respectively.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an investment in and representation on the board of directors of Calavo and Calavo has an investment in and had representation on the board of directors of the Company. The Company recorded dividend income of $250,000 and $285,000 in the three months ended January 31, 2019 and 2018, respectively, on its investment in Calavo, which is included in other income (expense), net in the Company’s consolidated statements of operations. The Company paid $129,000 and $108,000 of dividends to Calavo for the three months ended January 31, 2019 and 2018, respectively. The Company had $3,000 and zero in avocado sales to Calavo for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82"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three months ended January 31, 2019 and 2018, respectively, which is included in agribusiness revenues in the Company's consolidated statements of operations. There were no amounts receivable by the Company from Calavo at January 31, 2019 and January 31, 2018. The Company leases office space to Calavo and received rental income of $79,000 and $72,000 in the three months ended January 31, 2019 and 2018, respectively, which is included in rental operations revenues in the Company’s consolidated statements of operations. The Company purchased $1,000 and $3,000 of storage services from Calavo in the three months ended January 31, 2019 and 2018, respectively. Amounts due to Calavo at January 31, 2019 and October 31, 2018 were zero and $3,000, respectively.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members of the Company’s board of directors market lemons through the Company. The aggregate amount of lemons procured from entities owned or controlled by members of the board of directors was $377,000 and $228,000 in the three months ended January 31, 2019 and 2018, respectively, which is included in agribusiness expense in the Company’s consolidated statements of operations. Payments due to these board members were $267,000 and $487,000 at January 31, 2019 and October 31, 2018, respectively. Additionally, the Company leases approximately 31 acres of orchards from entities affiliated with a member on the board of directors and incurred $23,000 and $6,000 of lease expense related to these leases in the three months ended January 31, 2019 and 2018, respectively.</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1, 2013, the Company and Cadiz Real Estate LLC (“Cadiz”), a wholly-owned subsidiary of Cadiz Inc., entered into a long-term lease agreement (the “Lease”) for a minimum of 320 acres, with options to lease up to an additional 960 acres, located within 9,600 zoned agricultural acres owned by Cadiz in eastern San Bernardino County, California. The initial term of the Lease runs for 20 years and the annual base rental rate is equal to the sum of $200 per planted acre and 20% of gross revenues from the sale of harvested lemons (less operating expenses) not to exceed $1,200 per acre per year. A member of the Company’s board of directors serves as the CEO, President and a member of the board of directors of Cadiz, Inc. Additionally, this board member is an attorney with a law firm that provided services of $2,000 and $9,000 to the Company during the three months ended January 31, 2019 and 2018, respectively. Payments due to the law firm were $50,000 and $67,000 at January 31, 2019 and October 31, 2018, respectively. The Company incurred lease and farming expenses of $66,000 and $36,000 in the three months ended January 31, 2019 and 2018, respectively, which are recorded in agribusiness expense in the Company’s consolidated statements of operations.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5, 2015, the Company entered into a Modification of Lease Agreement (the “Amendment”) with Cadiz. The Amendment, among other things, increased by 200 acres the amount of property leased by the Company under the lease agreement dated July 1, 2013. In connection with the Amendment, the Company paid a total of $1,212,000 to acquire existing lemon trees and irrigations systems from Cadiz and a Cadiz tenant. In February 2016, Cadiz assigned this lease to Fenner Valley Farms, LLC (“Fenner”), a subsidiary of Water Asset Management, LLC (“WAM”). An entity affiliated with WAM is the holder of 9,300 shares of Limoneira Company Series B-2 convertible preferred stock. Amounts due to Fenner were $120,000 and $100,000 at January 31, 2019 and October 31, 2018, respectively.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representation on the board of directors of Colorado River Growers, Inc. (“CRG”), a non-profit cooperative association of fruit growers engaged in the agricultural harvesting business in Yuma County, Arizona. The Company paid harvest costs to CRG of $3,841,000 and $2,451,000 in the three months ended January 31, 2019 and 2018, respectively, which are included in agribusiness expense in the Company’s consolidated statements of operations. Additionally, Associated provided harvest management and administrative services to CRG in the amounts of $306,000 and $218,000 during the three months ended January 31, 2019 and 2018, respectively, which are included in agribusiness revenues in the Company’s consolidated statements of operations. There was zero and $232,000 due to Associated from CRG at January 31, 2019 and October 31, 2018, respectively, which is included in accounts receivable in the Company’s consolidated balance sheets.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representation on the board of directors of Yuma Mesa Irrigation and Drainage District (“YMIDD”). The Company purchased water in the amounts of $32,000 and $84,000 from YMIDD during the three months ended January 31, 2019 and 2018, respectively, which is included in agribusiness expenses in the Company’s consolidated statements of operations. There were no amounts due to YMIDD at January 31, 2019 and October 31, 2018.</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 1.3% interest in Limco Del Mar, Ltd. (“Del Mar”) as a general partner and a 26.8% interest as a limited partner. The Company provides Del Mar with farm management, orchard land development and accounting services and received expense reimbursements of $35,000 and $47,000 in the three months ended January 31, 2019 and 2018, respectively. The Company procures lemons from Del Mar and fruit proceeds due to Del Mar were $12,000 and $709,000 at January 31, 2019 and October 31, 2018, respectively, and are included in grower’s payable in the Company’s consolidated balance sheets. The Company received distributions of zero and recorded equity in earnings of this investment of $205,000 and $163,000, respectively, in the three months ended January 31, 2019 and 2018, respectively.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82"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 (continued)</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14, 2014, the Company’s wholly owned subsidiary, Limoneira Chile SpA, invested approximately $1,750,000 for a 35% interest in Rosales, a citrus packing, marketing and sales business located in La Serena, Chile. The Company purchased an additional 12% interest in Rosales with the February 2017 acquisition of PDA. The Company recognized $521,000 and $141,000 of lemon sales to Rosales in the three months ended January 31, 2019 and 2018, respectively. Additionally, San Pablo recognized aggregate sales of $60,000 of lemon and orange sales to Rosales for the three months ended January 31, 2019. PDA recognized aggregate sales of $80,000 and $282,000 of lemon and orange sales to Rosales in the three months ended January 31, 2019 and 2018, respectively. Such amounts are recorded in agribusiness revenues in the Company’s consolidated statements of operations. The aggregate amount of lemons and oranges procured from Rosales was $359,000 and zero, respectively, in the three months ended January 31, 2019 and 2018. Amounts due from (payable to) Rosales were $107,000 and $(65,000) at January 31, 2019 and October 31, 2018, respectively. The Company recorded equity in losses of this investment of $77,000 and $36,000 in the three months ended January 31, 2019 and 2018, respectively and amortization of fair value basis differences of $84,000 in both the three months ended January 31, 2019 and 2018. The Company received no cash distributions from this equity investment in the three months ended January 31, 2019 and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estimated annual effective blended tax rate for fiscal year 2019 is approximately 28.0%. As such, a 27.4% estimated effective blended tax rate, after discrete items, was utilized by the Company in the three months ended January 31, 2019 to calculate its income tax provision.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no uncertain tax positions as of January 31, 2019. The Company’s policy is to recognize interest expense and penalties related to income tax matters as a component of income tax expense. The Company has not accrued any interest and penalties associated with uncertain tax positions as of January 31, 2019.</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22, 2017, the 2017 Act was signed into law making significant changes to the Internal Revenue Code (“IRC”). The 2017 Act is generally effective for tax years beginning on or after January 1, 2018. As a fiscal year U.S. taxpayer, the majority of the provisions applied to the Company’s 2018 fiscal year. During fiscal year 2018, the Company recorded a provisional amount of $10,000,000 of deferred tax benefit in connection with the re-measurement of certain deferred tax assets and liabilities and zero additional taxable income recorded in connection with the transition tax on the mandatory deemed repatriation of foreign earnings.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applied the guidance in Staff Accounting Bulletin No. 118 (“SAB 118”) when accounting for the enactment-date effects of the 2017 Act throughout fiscal year 2018. At January 31, 2018, the Company had not completed its accounting for all of the enactment-date income tax effects of the 2017 Act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related to the re-measurement of deferred tax assets and liabilities. At January 31, 2019, the Company has now completed its evaluation for all of the enactment-date income tax effects of the 2017 Act and no material adjustments noted to be made on the provisional amounts recorded at January 31, 2018.</w:t>
      </w:r>
    </w:p>
    <w:p>
      <w:pPr>
        <w:spacing w:after="0" w:line="18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As of January 31, 2018, the Company remeasured certain deferred tax assets and liabilities based on the rates at which they were expected to reverse in the future (which was generally 21%), by recording a provisional amount of $10,000,000. Upon further analysis of certain aspects of the 2017 Act and refinement of the calculations during the 12 months ended January 31, 2019, the Company determined that no adjustment was necessary to its provisional amount.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Retirement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Limoneira Company Retirement Plan (the “Plan”) is a noncontributory, defined benefit, single employer pension plan, which provides retirement benefits for all eligible employees. Benefits paid by the Plan are calculated based on years of service, highest five-year average earnings, primary Social Security benefit and retirement age. Effective June 2004, the Company froze the Plan and no additional benefits accrued to participants subsequent to that date. The Plan is administered by Wells Fargo Bank and Mercer Human Resource Consulting.</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Plan is funded consistent with the funding requirements of federal law and regulations. There were funding contributions of $150,000 during both three months ended January 31, 2019 and 2018.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periodic pension cost for the Plan for the three months ended January 31, 2019 and 2018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82"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18. Retirement Plans (continued)</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8340" w:type="dxa"/>
            <w:vAlign w:val="bottom"/>
          </w:tcPr>
          <w:p>
            <w:pPr>
              <w:spacing w:after="0"/>
              <w:rPr>
                <w:sz w:val="24"/>
                <w:szCs w:val="24"/>
                <w:color w:val="auto"/>
              </w:rPr>
            </w:pPr>
          </w:p>
        </w:tc>
        <w:tc>
          <w:tcPr>
            <w:tcW w:w="25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January 31,</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actuarial loss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19. Other Long-Term Liabilities</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40" w:type="dxa"/>
            <w:vAlign w:val="bottom"/>
          </w:tcPr>
          <w:p>
            <w:pPr>
              <w:spacing w:after="0"/>
              <w:rPr>
                <w:sz w:val="20"/>
                <w:szCs w:val="20"/>
                <w:color w:val="auto"/>
              </w:rPr>
            </w:pPr>
            <w:r>
              <w:rPr>
                <w:rFonts w:ascii="Arial" w:cs="Arial" w:eastAsia="Arial" w:hAnsi="Arial"/>
                <w:sz w:val="18"/>
                <w:szCs w:val="18"/>
                <w:color w:val="auto"/>
              </w:rPr>
              <w:t>Other long-term liabilities consist of the following (in thousands):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340" w:type="dxa"/>
            <w:vAlign w:val="bottom"/>
          </w:tcPr>
          <w:p>
            <w:pPr>
              <w:spacing w:after="0"/>
              <w:rPr>
                <w:sz w:val="24"/>
                <w:szCs w:val="24"/>
                <w:color w:val="auto"/>
              </w:rPr>
            </w:pPr>
          </w:p>
        </w:tc>
        <w:tc>
          <w:tcPr>
            <w:tcW w:w="1600" w:type="dxa"/>
            <w:vAlign w:val="bottom"/>
            <w:gridSpan w:val="3"/>
          </w:tcPr>
          <w:p>
            <w:pPr>
              <w:ind w:left="280"/>
              <w:spacing w:after="0"/>
              <w:rPr>
                <w:sz w:val="20"/>
                <w:szCs w:val="20"/>
                <w:color w:val="auto"/>
              </w:rPr>
            </w:pPr>
            <w:r>
              <w:rPr>
                <w:rFonts w:ascii="Arial" w:cs="Arial" w:eastAsia="Arial" w:hAnsi="Arial"/>
                <w:sz w:val="18"/>
                <w:szCs w:val="18"/>
                <w:b w:val="1"/>
                <w:bCs w:val="1"/>
                <w:color w:val="auto"/>
              </w:rPr>
              <w:t>January 31,</w:t>
            </w:r>
          </w:p>
        </w:tc>
        <w:tc>
          <w:tcPr>
            <w:tcW w:w="14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5"/>
              </w:rPr>
              <w:t>October 31, 2018</w:t>
            </w:r>
          </w:p>
        </w:tc>
        <w:tc>
          <w:tcPr>
            <w:tcW w:w="0" w:type="dxa"/>
            <w:vAlign w:val="bottom"/>
          </w:tcPr>
          <w:p>
            <w:pPr>
              <w:spacing w:after="0"/>
              <w:rPr>
                <w:sz w:val="1"/>
                <w:szCs w:val="1"/>
                <w:color w:val="auto"/>
              </w:rPr>
            </w:pPr>
          </w:p>
        </w:tc>
      </w:tr>
      <w:tr>
        <w:trPr>
          <w:trHeight w:val="126"/>
        </w:trPr>
        <w:tc>
          <w:tcPr>
            <w:tcW w:w="83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pension liability</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2,256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2,404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Loan guarantee</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1,080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1,080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gain and other</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3,498</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3,647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Contingencies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183" w:lineRule="exact"/>
        <w:rPr>
          <w:sz w:val="20"/>
          <w:szCs w:val="20"/>
          <w:color w:val="auto"/>
        </w:rPr>
      </w:pPr>
    </w:p>
    <w:p>
      <w:pPr>
        <w:ind w:right="8100" w:firstLine="8"/>
        <w:spacing w:after="0" w:line="566" w:lineRule="auto"/>
        <w:tabs>
          <w:tab w:leader="none" w:pos="27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Series B and Series B-2 Preferred Stock Series B Convertible Preferred Stock</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1997, in connection with the acquisition of Ronald Michaelis Ranches, Inc., the Company issued 30,000 shares of Series B Convertible Preferred Stock at $100.00 par value (the “Series B Stock”).</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Dividends: The holders of shares of Series B Stock are entitled to receive cumulative cash dividends at an annual rate of 8.75% of par value. Such dividends are payable quarterly on the first day of January, April, July and October in each year commencing July 1, 1997.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Voting Rights: Each holder of Series B Stock is entitled to ten votes on all matters submitted to a vote of the stockholders of the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Redemption: The Company, at the option of the board of directors, may redeem the Series B Stock, as a whole or in part, at any time or from time to time on or after August 1, 2017 and before July 31, 2027, at a redemption price equal to the par value thereof, plus accrued and unpaid dividends thereon to the date fixed for redemption. Redemption by the Company of a portion of the Series B Stock totaling 14,790 shares is subject to certain conditions agreed upon between the Company and the holders of this portion of the Series B Stock.</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Conversion: The holders of Series B Stock have the right, at their option, to convert such shares into shares of Common Stock of the Company at any time prior to redemption. The conversion price is $8.00 per share of Common Stock. Pursuant to the terms of the Certificate of Designation, Preferences and Rights of the Series B Stock, the conversion price shall be adjusted to reflect any dividends paid in Common Stock of the Company, the subdivision of the Common Stock of the Company into a greater number of shares of Common Stock of the Company or upon the advice of legal counsel.</w:t>
      </w:r>
    </w:p>
    <w:p>
      <w:pPr>
        <w:sectPr>
          <w:pgSz w:w="11900" w:h="16838" w:orient="portrait"/>
          <w:cols w:equalWidth="0" w:num="1">
            <w:col w:w="11420"/>
          </w:cols>
          <w:pgMar w:left="240" w:top="38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382"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7180" w:firstLine="8"/>
        <w:spacing w:after="0" w:line="566" w:lineRule="auto"/>
        <w:tabs>
          <w:tab w:leader="none" w:pos="27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Series B and Series B-2 Preferred Stock (continued) Series B Convertible Preferred Stock (continued)</w:t>
      </w:r>
    </w:p>
    <w:p>
      <w:pPr>
        <w:spacing w:after="0" w:line="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Put: The holders of Series B Stock may at any time after July 1, 2017 and before June 31, 2027 cause the Company to repurchase such shares at a repurchase price equal to the par value thereof, plus accrued and unpaid dividends thereon to the date fixed for repurchase. The put features of a portion of the Series B Stock totaling 14,790 shares are subject to certain conditions agreed upon between the Company and the holders of this portion of the Series B Stock.</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Series B Stock may be redeemed by holders of the shares at their discretion beginning July 1, 2017, the redemption is outside of the control the Company and accordingly, the Series B Stock has been classified as temporary equity.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fiscal year 2017, a total of 14,210 shares of Series B preferred stock were converted into 177,624 shares of common stock. In fiscal year 2016, 500 shares of Series B preferred stock were converted into 6,250 shares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B-2 Convertible Preferred Stock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March and April of 2014, pursuant to a Series B-2 Stock Purchase Agreement dated March 21, 2014, the Company issued an aggregate of 9,300 shares of Series B-2, 4% voting preferred stock with a par value of $100.00 per share (“Series B-2 Preferred Stock”) to WPI-ACP Holdings, LLC (“WPI”), an entity affiliated with WAM for total proceeds of $9,300,000. The transactions were exempt from the registration requirements of the Securities Act of 1933, as amended. The Series B-2 Preferred Stock has the following rights, preferences, privileges, and restrictions: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Conversion: Each share of the Series B-2 Preferred Stock is convertible into common stock at a conversion price equal to the greater of (a) the then-market price of the Company’s common stock based upon the closing price of the Company’s common stock on The NASDAQ Stock Market, LLC or on such other principal market on which the Company’s common stock may then be trading and (b) $15.00 per share of common stock. Shares of the Series B-2 Preferred Stock may be converted into common stock (i) at any time prior to the redemption thereof, or (ii) in the event the Option Agreement (as defined below) is terminated without all of the shares of Series B-2 Preferred Stock having been redeemed, within 30 calendar days following such termination.</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Dividends: The holder of shares of the Series B-2 Preferred Stock is entitled to receive cumulative cash dividends at an annual rate of 4% of the liquidation value of $1,000 per share. Such dividends are payable quarterly on the first day of January, April, July and October in each year commencing July 1, 2014.</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Liquidation Rights: In the event of any voluntary or involuntary liquidation, dissolution or winding up of the Company, the holder of shares of the Series B-2 Preferred Stock is entitled to be paid out of the assets available for distribution, before any payment is made to the holders of the Company’s common stock or any other series or class of the Company’s shares ranking junior to the Series B-2 Preferred Stock, an amount equal to the liquidation value of $1,000 per share, plus an amount equal to all accrued and unpaid dividends.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Voting Rights: Each share of Series B-2 Preferred Stock is entitled to one vote on all matters submitted to a vote of the Company’s stockholders.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Redemption: The Company may redeem shares of Series B-2 Preferred Stock only (i) from WPI or its designee and (ii) upon, and to the extent of, an election to exercise the option pursuant to the Option Agreement, described below, at a redemption price equal to the liquidation value of $1,000 per share plus accrued and unpaid dividends.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Series B-2 Preferred Stock may be redeemed by WPI at its discretion with the exercise of the Option Agreement, the redemption is outside of the control the Company and accordingly, the Series B-2 Preferred Stock has been classified as temporary equity.</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sale of the Series B-2 Preferred Stock, Associated and another affiliate of WAM (“WPI-ACP”), entered into a series of agreements related to the future ownership and disposition of farmland with associated Colorado River water rights and other real estate that is held by Associated in Yuma, Arizona. The agreements allow the parties to explore strategies that will make the highest and best use of those assets, including but not limited to the sale or lease of assets or the expansion of a fallowing and water savings program in which a portion of Associated’s property is currently enrolled.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82"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7180" w:firstLine="8"/>
        <w:spacing w:after="0" w:line="566" w:lineRule="auto"/>
        <w:tabs>
          <w:tab w:leader="none" w:pos="27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Series B and Series B-2 Preferred Stock (continued) Series B-2 Convertible Preferred Stock (continued)</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net proceeds of any monetization event would be shared equally by the parties. The agreements entered into include a Water Development Agreement and an Option Agreement. Pursuant to the Water Development Agreement, Associated granted WPI-ACP exclusive rights to develop water assets attributable to the real estate owned by Associated for the mutual benefit of Associated and WAM. Pursuant to the Option Agreement, Associated granted WPI-ACP an option to purchase an undivided interest of up to one-half of the real estate owned by Associated in Yuma County, Arizona (the “Property”) and the water rights associated therewith until January 1, 2026. The purchase price for the Property subject to the Option Agreement will be paid via the redemption by the Company of a proportionate percentage of the Series B-2 Preferred Stock. Unless and until a definitive agreement or definitive agreements with respect to Associated’s real estate and water rights is entered into that would cause the cessation of farming operations, Associated expects to continue farming the Property and recognize all results of operations and retain all proceeds from such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Stock-based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a stock-based compensation plan (the “Stock Plan”) that allows for the grant of common stock of the Company to members of management based on achievement of certain annual financial performance and other criteria. The number of shares granted is based on a percentage of the employee’s base salary divided by the stock price on the grant date. Shares granted under the Stock Plan vest over two to five-year periods.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2018, 40,094 shares of common stock with a per share value of $18.74 were granted to management under the Stock Plan for fiscal year 2018 performance, resulting in total compensation expense of approximately $751,000, with $343,000 recognized in the year ended October 31, 2018 and the balance to be recognized over the next two years as the shares vest. In addition, 90,000 shares of common stock with a per share value of $19.84 were granted to key executives under the Stock Plan, resulting in a total compensation expense of approximately $1,786,000, to be recognized equally over the next three years as the shares vest.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2017, 41,291 shares of common stock with a per share value of $22.86 were granted to management under the Stock Plan for fiscal year 2017 performance, resulting in a total compensation expense of approximately $944,000, with $605,000 recognized in the year ended October 31, 2017 and the balance to be recognized over the next two years as the shares vest. In addition, 90,000 shares of common stock with a per share value of $22.19 were granted to key executives under the Stock Plan, resulting in a total compensation expense of approximately $1,997,000, to be recognized equally over the next five years as the shares vest.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2016, 44,688 shares of common stock with a per share value of $19.92 were granted to management under the Stock Plan for fiscal year 2016 performance, resulting in total compensation expense of approximately $890,000, with $544,000 recognized in the year ended October 31, 2016 and the balance to be recognized over the next two years as the shares vest.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is recognized over the performance and vesting periods as summarized below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rPr>
              <w:t>January 31,</w:t>
            </w:r>
          </w:p>
        </w:tc>
        <w:tc>
          <w:tcPr>
            <w:tcW w:w="980" w:type="dxa"/>
            <w:vAlign w:val="bottom"/>
          </w:tcPr>
          <w:p>
            <w:pPr>
              <w:spacing w:after="0"/>
              <w:rPr>
                <w:sz w:val="20"/>
                <w:szCs w:val="20"/>
                <w:color w:val="auto"/>
              </w:rPr>
            </w:pPr>
          </w:p>
        </w:tc>
      </w:tr>
      <w:tr>
        <w:trPr>
          <w:trHeight w:val="27"/>
        </w:trPr>
        <w:tc>
          <w:tcPr>
            <w:tcW w:w="2540" w:type="dxa"/>
            <w:vAlign w:val="bottom"/>
            <w:gridSpan w:val="2"/>
          </w:tcPr>
          <w:p>
            <w:pPr>
              <w:spacing w:after="0"/>
              <w:rPr>
                <w:sz w:val="2"/>
                <w:szCs w:val="2"/>
                <w:color w:val="auto"/>
              </w:rPr>
            </w:pPr>
          </w:p>
        </w:tc>
        <w:tc>
          <w:tcPr>
            <w:tcW w:w="5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Performance Year</w:t>
            </w:r>
          </w:p>
        </w:tc>
        <w:tc>
          <w:tcPr>
            <w:tcW w:w="5820" w:type="dxa"/>
            <w:vAlign w:val="bottom"/>
          </w:tcPr>
          <w:p>
            <w:pPr>
              <w:ind w:left="2300"/>
              <w:spacing w:after="0"/>
              <w:rPr>
                <w:sz w:val="20"/>
                <w:szCs w:val="20"/>
                <w:color w:val="auto"/>
              </w:rPr>
            </w:pPr>
            <w:r>
              <w:rPr>
                <w:rFonts w:ascii="Arial" w:cs="Arial" w:eastAsia="Arial" w:hAnsi="Arial"/>
                <w:sz w:val="18"/>
                <w:szCs w:val="18"/>
                <w:color w:val="auto"/>
              </w:rPr>
              <w:t>Shares Granted</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0"/>
              </w:rPr>
              <w:t>44,688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24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5820" w:type="dxa"/>
            <w:vAlign w:val="bottom"/>
          </w:tcPr>
          <w:p>
            <w:pPr>
              <w:jc w:val="center"/>
              <w:ind w:right="30"/>
              <w:spacing w:after="0"/>
              <w:rPr>
                <w:sz w:val="20"/>
                <w:szCs w:val="20"/>
                <w:color w:val="auto"/>
              </w:rPr>
            </w:pPr>
            <w:r>
              <w:rPr>
                <w:rFonts w:ascii="Arial" w:cs="Arial" w:eastAsia="Arial" w:hAnsi="Arial"/>
                <w:sz w:val="18"/>
                <w:szCs w:val="18"/>
                <w:color w:val="auto"/>
                <w:w w:val="90"/>
              </w:rPr>
              <w:t>41,291</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9"/>
              </w:rPr>
              <w:t>130,094</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r>
      <w:tr>
        <w:trPr>
          <w:trHeight w:val="304"/>
        </w:trPr>
        <w:tc>
          <w:tcPr>
            <w:tcW w:w="24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tcPr>
          <w:p>
            <w:pPr>
              <w:spacing w:after="0"/>
              <w:rPr>
                <w:sz w:val="24"/>
                <w:szCs w:val="24"/>
                <w:color w:val="auto"/>
              </w:rPr>
            </w:pPr>
          </w:p>
        </w:tc>
        <w:tc>
          <w:tcPr>
            <w:tcW w:w="5820" w:type="dxa"/>
            <w:vAlign w:val="bottom"/>
            <w:tcBorders>
              <w:bottom w:val="single" w:sz="8" w:color="CCEEFF"/>
            </w:tcBorders>
          </w:tcPr>
          <w:p>
            <w:pPr>
              <w:jc w:val="center"/>
              <w:ind w:right="30"/>
              <w:spacing w:after="0"/>
              <w:rPr>
                <w:sz w:val="20"/>
                <w:szCs w:val="20"/>
                <w:color w:val="auto"/>
              </w:rPr>
            </w:pPr>
            <w:r>
              <w:rPr>
                <w:rFonts w:ascii="Arial" w:cs="Arial" w:eastAsia="Arial" w:hAnsi="Arial"/>
                <w:sz w:val="18"/>
                <w:szCs w:val="18"/>
                <w:color w:val="auto"/>
                <w:w w:val="90"/>
              </w:rPr>
              <w:t>90,000</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229</w:t>
            </w: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62"/>
        </w:trPr>
        <w:tc>
          <w:tcPr>
            <w:tcW w:w="2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January 31, 2019 and 2018 members of management exchanged 20,119 and 17,250 shares, respectively of common stock with fair value of $305,252 and $401,000, respectively, at the date of the exchanges, for the payment of payroll taxes associated with the vesting of shares under the Company’s stock-based compensation programs.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January 2019 and 2018, 15,642 and 14,033 shares, respectively, of common stock were granted to the Company’s non-employee directors under the Company’s stock-based compensation plans. The Company recognized $339,000 and $309,000 of stock-based compensation to non-employee directors during the three months ended January 31, 2019 and 2018, respectively.</w:t>
      </w:r>
    </w:p>
    <w:p>
      <w:pPr>
        <w:sectPr>
          <w:pgSz w:w="11900" w:h="16838" w:orient="portrait"/>
          <w:cols w:equalWidth="0" w:num="1">
            <w:col w:w="11420"/>
          </w:cols>
          <w:pgMar w:left="240" w:top="382"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382" w:right="2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Public Offering of Common Stock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2018, the Company completed the sale of an aggregate of 3,136,362 shares of our common stock, at a price of $22.00 per share, to a limited number of institutional and other investors in a registered offering under the shelf registration statement. The offering represented 18% of our outstanding common stock on an after-issued basis as of June 25, 2018. Upon completion of the offering and issuance of common stock, the Company had 17,669,314 shares of common stock outstanding. The gross proceeds of the offering totaled $69,000,000 and after an underwriting discount of $4,485,000 and other offering expenses of $418,000, the net proceeds received by the Company were $64,097,000.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Segment Information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operates in six reportable operating segments: fresh lemons, lemon packing, avocados, other agribusiness, rental operations and real estate development. The reportable operating segments of the Company are strategic business units with different products and services, distribution processes and customer bases. The fresh lemons segment includes sales, farming and harvesting expenses and third-party grower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harvesting of oranges, specialty citrus and other crops. The rental operations segment includes housing and commercial rental operations, leased land and organic recycling. The real estate development segment includes real estate development operations.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other income, interest expense and income taxes, or specifically identify them to its operating segments. The Company earns packing revenue for packing lemons grown on its orchards and lemons procured from third-party growers. Intersegment revenues represent packing revenues related to lemons grown on the Company’s orchards.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January 31, 2019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160" w:type="dxa"/>
            <w:vAlign w:val="bottom"/>
          </w:tcPr>
          <w:p>
            <w:pPr>
              <w:spacing w:after="0"/>
              <w:rPr>
                <w:sz w:val="14"/>
                <w:szCs w:val="14"/>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Lemon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b w:val="1"/>
                <w:bCs w:val="1"/>
                <w:color w:val="auto"/>
              </w:rPr>
              <w:t>Rental</w:t>
            </w:r>
          </w:p>
        </w:tc>
        <w:tc>
          <w:tcPr>
            <w:tcW w:w="18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3"/>
        </w:trPr>
        <w:tc>
          <w:tcPr>
            <w:tcW w:w="23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4"/>
                <w:szCs w:val="14"/>
                <w:b w:val="1"/>
                <w:bCs w:val="1"/>
                <w:color w:val="auto"/>
                <w:w w:val="80"/>
              </w:rPr>
              <w:t>Lemons</w:t>
            </w:r>
            <w:r>
              <w:rPr>
                <w:rFonts w:ascii="Arial" w:cs="Arial" w:eastAsia="Arial" w:hAnsi="Arial"/>
                <w:sz w:val="22"/>
                <w:szCs w:val="22"/>
                <w:b w:val="1"/>
                <w:bCs w:val="1"/>
                <w:color w:val="auto"/>
                <w:w w:val="80"/>
                <w:vertAlign w:val="superscript"/>
              </w:rPr>
              <w:t>(1)</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Packing</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8"/>
              </w:rPr>
              <w:t>Eliminations</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0"/>
              </w:rPr>
              <w:t>Avocados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88"/>
              </w:rPr>
              <w:t>Development</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0"/>
              </w:rPr>
              <w:t>and Other</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Total</w:t>
            </w:r>
          </w:p>
        </w:tc>
      </w:tr>
      <w:tr>
        <w:trPr>
          <w:trHeight w:val="21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34,493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4,103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2,201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40,800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42,018</w:t>
            </w:r>
          </w:p>
        </w:tc>
      </w:tr>
      <w:tr>
        <w:trPr>
          <w:trHeight w:val="210"/>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7,044</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(7,044)</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34,493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11,147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2,201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40,800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42,018</w:t>
            </w:r>
          </w:p>
        </w:tc>
      </w:tr>
      <w:tr>
        <w:trPr>
          <w:trHeight w:val="210"/>
        </w:trPr>
        <w:tc>
          <w:tcPr>
            <w:tcW w:w="230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8"/>
                <w:szCs w:val="18"/>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32,082</w:t>
            </w:r>
          </w:p>
        </w:tc>
        <w:tc>
          <w:tcPr>
            <w:tcW w:w="160" w:type="dxa"/>
            <w:vAlign w:val="bottom"/>
          </w:tcPr>
          <w:p>
            <w:pPr>
              <w:spacing w:after="0"/>
              <w:rPr>
                <w:sz w:val="18"/>
                <w:szCs w:val="18"/>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8,784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(7,044)</w:t>
            </w:r>
          </w:p>
        </w:tc>
        <w:tc>
          <w:tcPr>
            <w:tcW w:w="14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716</w:t>
            </w:r>
          </w:p>
        </w:tc>
        <w:tc>
          <w:tcPr>
            <w:tcW w:w="14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2,510</w:t>
            </w:r>
          </w:p>
        </w:tc>
        <w:tc>
          <w:tcPr>
            <w:tcW w:w="14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37,048</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884</w:t>
            </w:r>
          </w:p>
        </w:tc>
        <w:tc>
          <w:tcPr>
            <w:tcW w:w="18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4,952</w:t>
            </w:r>
          </w:p>
        </w:tc>
        <w:tc>
          <w:tcPr>
            <w:tcW w:w="180" w:type="dxa"/>
            <w:vAlign w:val="bottom"/>
          </w:tcPr>
          <w:p>
            <w:pPr>
              <w:spacing w:after="0"/>
              <w:rPr>
                <w:sz w:val="18"/>
                <w:szCs w:val="18"/>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42,912</w:t>
            </w: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1,868</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63</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2,126</w:t>
            </w:r>
          </w:p>
        </w:tc>
      </w:tr>
      <w:tr>
        <w:trPr>
          <w:trHeight w:val="216"/>
        </w:trPr>
        <w:tc>
          <w:tcPr>
            <w:tcW w:w="230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2,363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1,884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(3,020)</w:t>
            </w: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January 31, 2018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160" w:type="dxa"/>
            <w:vAlign w:val="bottom"/>
          </w:tcPr>
          <w:p>
            <w:pPr>
              <w:spacing w:after="0"/>
              <w:rPr>
                <w:sz w:val="14"/>
                <w:szCs w:val="14"/>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Lemon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b w:val="1"/>
                <w:bCs w:val="1"/>
                <w:color w:val="auto"/>
              </w:rPr>
              <w:t>Rental</w:t>
            </w:r>
          </w:p>
        </w:tc>
        <w:tc>
          <w:tcPr>
            <w:tcW w:w="18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2"/>
        </w:trPr>
        <w:tc>
          <w:tcPr>
            <w:tcW w:w="2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Lemons</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Packing</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8"/>
              </w:rPr>
              <w:t>Eliminations</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0"/>
              </w:rPr>
              <w:t>Avocados</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88"/>
              </w:rPr>
              <w:t>Development</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0"/>
              </w:rPr>
              <w:t>and Other</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Total</w:t>
            </w: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24,976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2,833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30,333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31,593</w:t>
            </w:r>
          </w:p>
        </w:tc>
      </w:tr>
      <w:tr>
        <w:trPr>
          <w:trHeight w:val="210"/>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4,924</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(4,924)</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24,976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7,757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30,333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31,593</w:t>
            </w:r>
          </w:p>
        </w:tc>
      </w:tr>
      <w:tr>
        <w:trPr>
          <w:trHeight w:val="210"/>
        </w:trPr>
        <w:tc>
          <w:tcPr>
            <w:tcW w:w="230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4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22,890</w:t>
            </w:r>
          </w:p>
        </w:tc>
        <w:tc>
          <w:tcPr>
            <w:tcW w:w="160" w:type="dxa"/>
            <w:vAlign w:val="bottom"/>
          </w:tcPr>
          <w:p>
            <w:pPr>
              <w:spacing w:after="0"/>
              <w:rPr>
                <w:sz w:val="18"/>
                <w:szCs w:val="18"/>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5,724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(4,924)</w:t>
            </w:r>
          </w:p>
        </w:tc>
        <w:tc>
          <w:tcPr>
            <w:tcW w:w="14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704</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2,321</w:t>
            </w:r>
          </w:p>
        </w:tc>
        <w:tc>
          <w:tcPr>
            <w:tcW w:w="16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26,715</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870</w:t>
            </w:r>
          </w:p>
        </w:tc>
        <w:tc>
          <w:tcPr>
            <w:tcW w:w="18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4,026</w:t>
            </w:r>
          </w:p>
        </w:tc>
        <w:tc>
          <w:tcPr>
            <w:tcW w:w="180" w:type="dxa"/>
            <w:vAlign w:val="bottom"/>
          </w:tcPr>
          <w:p>
            <w:pPr>
              <w:spacing w:after="0"/>
              <w:rPr>
                <w:sz w:val="18"/>
                <w:szCs w:val="18"/>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31,641</w:t>
            </w: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1,447</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48</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1,690</w:t>
            </w:r>
          </w:p>
        </w:tc>
      </w:tr>
      <w:tr>
        <w:trPr>
          <w:trHeight w:val="216"/>
        </w:trPr>
        <w:tc>
          <w:tcPr>
            <w:tcW w:w="230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2,086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2,171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(1,738)</w:t>
            </w:r>
          </w:p>
        </w:tc>
      </w:tr>
      <w:tr>
        <w:trPr>
          <w:trHeight w:val="20"/>
        </w:trPr>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82"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Segment Information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revenues by category, by segment for the three months ended January 31, 2019 and 2018 (in thousands):</w:t>
      </w:r>
    </w:p>
    <w:p>
      <w:pPr>
        <w:spacing w:after="0" w:line="16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Fresh lemons </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34,493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24,976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Lemon packing</w:t>
            </w:r>
          </w:p>
        </w:tc>
        <w:tc>
          <w:tcPr>
            <w:tcW w:w="3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11,147</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7,757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Lemon revenues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38,596</w:t>
            </w: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27,809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Avocados</w:t>
            </w:r>
          </w:p>
        </w:tc>
        <w:tc>
          <w:tcPr>
            <w:tcW w:w="3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Navel and Valencia oranges</w:t>
            </w:r>
          </w:p>
        </w:tc>
        <w:tc>
          <w:tcPr>
            <w:tcW w:w="3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946</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1,343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citrus and other crops</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1,255</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Other agribusiness revenues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2,201</w:t>
            </w: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2,524</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 revenues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40,800</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30,333</w:t>
            </w:r>
          </w:p>
        </w:tc>
      </w:tr>
      <w:tr>
        <w:trPr>
          <w:trHeight w:val="297"/>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and commercial rentals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877</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Leased land</w:t>
            </w:r>
          </w:p>
        </w:tc>
        <w:tc>
          <w:tcPr>
            <w:tcW w:w="3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269</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recycling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Rental operations revenues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1,218</w:t>
            </w: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Real estate development revenues</w:t>
            </w:r>
          </w:p>
        </w:tc>
        <w:tc>
          <w:tcPr>
            <w:tcW w:w="34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42,018</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31,593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50" w:lineRule="auto"/>
        <w:tabs>
          <w:tab w:leader="none" w:pos="206"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During the first quarter of fiscal 2019, the Company adopted a comprehensive new revenue recognition standard using a modified retrospective method that does not restate prior periods to be comparable to the current period presentation. The adoption of this guidance primarily impacted the presentation of certain brokered fruit sales revenue received and the related cost of fruit incurred by the Company. The adoption of this guidance resulted in revenue within the Company’s fresh lemon segment of $294,000, during the three months ended January 31, 2019. See Note 2 - Summary of Significant Accounting Policies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Subsequent Events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evaluated events subsequent to January 31, 2019 through the date of this filing, to assess the need for potential recognition or disclosure in this Quarterly Report on Form 10-Q. Based upon this evaluation, except as described below or in the notes to the interim consolidated financial statements, it was determined that no other subsequent events occurred that require recognition or disclosure in the unaudited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4, 2019, the Company entered into an agreement with FGF Trapani (“FGF”), a multi-generational, family owned citrus operation in Argentina to form a joint venture, which will operate under the name Trapani Fresh. As part of the agreement, the Company will create a subsidiary in Argentina under the name Limoneira Argentina S.A.U. (“Limoneira Argentina”) and will acquire 25% of the parcels of Finca Santa Clara, approximately 1,200 acres of planted lemons, upfront for $6,500,000 with an additional 25% of such parcels to be acquired over a three-year period for an additional $8,500,000, through the loan agreement described below. As a result of the foregoing acquisitions, the Company will acquire 50% of the parcels of Finca Santa Clara for a combined purchase price of $15,000,000. Limoneira Argentina will act as the managing partner of Trapani Fresh (holding a 51% interest) and will be responsible for all fresh fruit sales. FGF will hold the remaining 49% interest in Trapani Fresh and the agreement is expected to close in the second quarter of fiscal year 2019.</w:t>
      </w:r>
    </w:p>
    <w:p>
      <w:pPr>
        <w:sectPr>
          <w:pgSz w:w="11900" w:h="16838" w:orient="portrait"/>
          <w:cols w:equalWidth="0" w:num="1">
            <w:col w:w="11420"/>
          </w:cols>
          <w:pgMar w:left="240" w:top="38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82"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8760" w:firstLine="8"/>
        <w:spacing w:after="0" w:line="604" w:lineRule="auto"/>
        <w:tabs>
          <w:tab w:leader="none" w:pos="270"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 (continued) Acquisition (continued)</w:t>
      </w:r>
    </w:p>
    <w:p>
      <w:pPr>
        <w:jc w:val="both"/>
        <w:spacing w:after="0" w:line="257" w:lineRule="auto"/>
        <w:rPr>
          <w:sz w:val="20"/>
          <w:szCs w:val="20"/>
          <w:color w:val="auto"/>
        </w:rPr>
      </w:pPr>
      <w:r>
        <w:rPr>
          <w:rFonts w:ascii="Arial" w:cs="Arial" w:eastAsia="Arial" w:hAnsi="Arial"/>
          <w:sz w:val="18"/>
          <w:szCs w:val="18"/>
          <w:color w:val="auto"/>
        </w:rPr>
        <w:t>On February 25, 2019, the Company entered into a loan agreement with FGF. The Company agreed to loan $8,500,000 to FGF in the form of two advances: first advance of $2,000,000 upon execution of the loan agreement and second advance of $6,500,000 at FGF’s request subject to certain conditions. The maturity date is February 15, 2024, the interest rate is LIBOR plus 2.5% and the loan is secured by the Finca Santa Clara property. The Company advanced $2,000,000 to FGF on February 25, 2019. Additionally, the Company and FGF entered into an Irrevocable Offer Agreement whereas FGF will repay the loan with 25% ownership in Finca Santa Clara.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8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Limoneira Company was incorporated in Delaware in 1990 as the successor to several businesses with operations in California since 1893. We are an agribusiness and real estate development company founded and based in Santa Paula, California, committed to responsibly using and managing our approximately 14,500 acres of land, water resources and other assets to maximize long-term stockholder value. Our current operations consist of fruit production, sales and marketing, real estate development and capital investment activities.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other specialty citrus and other crops. We have agricultural plantings throughout Ventura, Tulare, San Bernardino and San Luis Obispo Counties in California, Yuma County in Arizona and La Serena, Chile, which collectively consist of approximately 5,000 acres of lemons, 900 acres of avocados, 1,600 acres of oranges and 1,000 acres of specialty citrus and other crops. We also operate our own packinghouses in Santa Paula, California and Yuma, Arizona, where we process and pack lemons that we grow, as well as lemons grown by others. We have a 47% interest in Rosales S.A. (“Rosales”), a citrus packing, marketing and sales business, a 90% interest in Fruticola Pan de Azucar S.A. (“PDA”), a lemon and orange orchard and 100% interest in Agricola San Pablo, SpA ("San Pablo"), a lemon and orange orchard, all of which are located near La Serena, Chile.</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water districts and irrigation districts in Tulare County, which is in California’s San Joaquin Valley and we use ground water from the Cadiz Valley Basin in San Bernardino County. We also use surface water in Arizona from the Colorado River through the Yuma Mesa Irrigation and Drainage District (“YMIDD”). We use ground water provided by wells and surface water for our PDA and San Pablo farming operations in Chile.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more than 100 years, we have been making strategic investments in California agribusiness and real estate development. We currently have three active real estate development projects in California. These projects include multi-family housing and single-family homes comprised of approximately 260 completed rental units and another approximately 1,500 units in various stages of planning and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Division Summary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three business divisions: agribusiness, rental operations and real estate development. The agribusiness division is comprised of four reportable operating segments: fresh lemons, lemon packing, avocados and other agribusiness, and includes our farming, harvesting, lemon packing and lemon sales operations. The rental operations division includes our residential and commercial rentals, leased land operations and organic recycling. The real estate development division includes our real estate projects and development. Financial information and discussion of our six reportable segments, which includes fresh lemons, lemon packing, avocados, other agribusiness, rental operations and real estate development, are contained in the notes to the accompanying consolidated financial statements of this Quarterly Report 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Division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agribusiness division is comprised of four of our reportable operating segments: fresh lemons, lemon packing, avocados and other agribusiness, which represented approximately 96%, 96% and 95% of our fiscal year 2018, 2017 and 2016 consolidated revenues, respectively, of which fresh lemons and lemon packing combined represented 80%, 78% and 76% of our fiscal year 2018, 2017 and 2016 consolidated revenues, respectively.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lemon farming is included in our “fresh lemons” and “lemon packing” reportable operating segments within our financial statements. We are one of the largest growers of lemons and avocados in the United States. We market and sell lemons directly to our food service, wholesale and retail customers throughout the United States, Canada, Asia, Australia and certain other international markets. During the three months ended January 31, 2019, lemon sales were comprised of approximately 67% in domestic and Canadian sales, 24% in sales to domestic exporters and 9% in international sales. Additionally, we had approximately $0.6 million of lemon and orange sales in Chile by PDA and San Pablo in the first quarter of fiscal year 2019. We sell a portion of our oranges and specialty citrus to Sunkist-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licensed and other third-party packinghouses. We sell our pistachios to a roaster, packager and marketer of nuts, and our wine grapes are sold to various wine producers.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avocado producing business is important to us yet faces constraints on growth as there is little additional land that can be cost-effectively acquired to support new avocado orchards in Southern California. Also, avocado production is cyclical as avocados typically bear fruit on a bi-annual basis with large crops in one year followed by smaller crops the next year. While our avocado production can be volatile, the profitability and cash flow realized from our avocados frequently offsets occasional losses in other crops we grow and helps to diversify our fruit production base.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growing lemons and avocados, we grow oranges, specialty citrus and other crops, typically utilizing land not suitable for growing high quality lemons. We regularly monitor the demand for the fruit we grow in the ever-changing marketplace to identify trends. For instance, while per capita consumption of oranges in the United States has been decreasing since 2000 primarily as a result of consumers increasing their consumption of mandarin oranges and other specialty citrus, the international market demand for U.S. oranges has increased. As a result, we have focused our orange production on high quality late season Navel oranges primarily for export to Japan, China and Korea, which are typically highly profitable niche markets. We produce our specialty citrus and other crops in response to consumer trends we identify and believe that we are a leader in the niche production and sale of certain of these high margin fruits. We carefully monitor the respective markets of specialty citrus and other crops and we believe that demand for the types and varieties of specialty citrus and other crops that we grow will continue to increase throughout the world.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 Division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rental operations division is provided for in our financial statements as its own reportable operating segment and includes our residential and commercial rentals, leased land operations and organic recycling. Our rental operations division represented approximately 4%, 4% and 5% of our consolidated revenues in fiscal years 2018, 2017 and 2016, respectively. Our residential rental units generate reliable cash flows which we use to partially fund the operations of all three of our business divisions and provide affordable housing to many of our employees, including our agribusiness employees, a unique employment benefit that helps us maintain a dependable, long-term employee base. In addition, our leased land business provides us with a typically profitable diversification. Revenue from our rental operations segment is generally level throughout the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Division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real estate development division is provided for in our financial statements as its own reportable operating segment and includes our real estate development operations. The real estate development division had no significant revenue in fiscal years 2018, 2017 or 2016. We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and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Water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YMIDD. We use ground and surface water for our PDA and San Pablo farming operations in Chile.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California has historically experienced periods of below average precipitation. Recent precipitation has brought relief to California’s drought conditions, although the last few years have been among the most severe droughts on record. Rainfall, snow levels and water content of snow pack had previously been significantly below historical averages. These conditions resulted in reduced water levels in streams, rivers, lakes, aquifers and reservoirs. The governor of California declared a drought State of Emergency in February 2014, which was lifted in April 2017. Federal officials oversee the Central Valley Project, California’s largest water delivery system and 100% of the contracted amount of water was provided to San Joaquin Valley farmers in 2018 and 2017 compared to 75% in 2016 and zero for 2015 and 2014.</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Depending on the location of our agricultural operations, we obtain our water from aquifers, water delivered by water federal, state and local water and irrigation districts and rainfall. Our water resources include water rights, usage rights and pumping rights to the water in aquifers under, and canals that run through, the land we own.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Water for our farming operations located in Ventura County, California is sourced from the existing water resources associated with our land, which includes approximately 8,600 acre feet of adjudicated water rights in Santa Paula Basin (aquifer) and the un-adjudicated Fillmore Basin.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 a combination of ground water provided by wells and water from various local water and irrigation districts in Tulare County, California that is in the agriculturally productive San Joaquin Valley.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use ground water provided by wells that derive water from the Cadiz Valley Basin at the Cadiz Ranch in San Bernardino, California.</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Windfall Investors, LLC (“Windfall”) property located in San Luis Obispo County, California, obtains water from wells deriving water from the Paso Robles Basin.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Associated Citrus Packers, Inc. (“Associated”) farming operations in Yuma, Arizona sources water from the Colorado River through the YMIDD, where we have access to approximately 11,700 acre feet of Class 3 Colorado River water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use ground water provided by wells and surface water for our PDA and San Pablo farming operations in La Serena, Chile.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10, 2015, we entered into a joint venture with The Lewis Group of Companies (“Lewis”) for the residential development of our East Area I real estate development project. To consummate the transaction, we formed Limoneira Lewis Community Builders, LLC (the "LLC" or "Joint Venture") as the development entity. The first phase of the project broke ground to commence mass grading on November 8, 2017. Project plans include approximately 632 residential units in Phase 1. Grading began in November 2017 and Phase 1 site improvements have been substantially completed. The Joint Venture received lot deposits from national homebuilders in fiscal year 2018 and initial lot sales representing a total of 174 residential units closed in February and March 2019. For further information see Note 8 – Real Estate Development, of the notes to consolidated financial statements included in this Quarterly Report on Form 10-Q</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2018, we completed the sale of 3,136,000 shares of common stock, at a price of $22.00 per share to institutional and other investors in a registered offering under our shelf registration statement. The offering represented 18% of our outstanding common stock on an after-issued basis. Upon completion of the offering and issuance of common stock, we had 17,669,000 shares of common stock outstanding. The gross proceeds of the offering totaled $69.0 million and after an underwriting discount of $4.5 million and other offering expenses of $0.4 million, the net proceeds were $64.1 million. In June and July 2018, we used the offering proceeds to pay down debt, purchase the San Pablo ranch and purchase Oxnard Lemon Associates, Ltd.'s ("Oxnard Lemon") packinghouse, related land and certain other assets.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4" w:right="23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8"/>
          <w:szCs w:val="18"/>
          <w:color w:val="auto"/>
        </w:rPr>
        <w:t>In July 2018, we completed the acquisition of San Pablo ranch and related assets in La Serena, Chile, for $13.1 million. The San Pablo ranch consists of 3,317 total acres on two parcels, including 247 acres producing lemons, 61 acres producing oranges, the opportunity to immediately plant 120 acres for lemon production, as well as the potential for approximately 500 acres of avocado production.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2018, we entered into an agreement to purchase Oxnard Lemon for $25.0 million. Pursuant to the agreement, we acquired certain “hard assets” of Oxnard Lemon, including a packinghouse and related land for a purchase price of $24.7 million on July 26, 2018. Pursuant to the agreement, the closing on the purchase and sale of the “soft assets” of Oxnard Lemon, including trade names, trademarks and copyrights, took place on October 31, 2018, at which point an additional $0.3 million in purchase price was paid. Additionally, the agreement provided that the sellers lease back the “hard assets” from July 26, 2018 until October 31, 2018, pursuant to a lease agreement executed July 26, 2018.</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Late in the third quarter of fiscal year 2018, Ventura County experienced record high temperatures. We expect that the effect of these high temperatures will result in lower avocado crop volume in fiscal year 2019 compared to fiscal year 2018.</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2018, we sold 50,000 shares of Calavo Growers, Inc. (“Calavo”) common stock at an average price of $94.47 per share. Net proceeds from the sale were $4.7 million and we recognized a gain of $4.2 million. We continue to own 250,000 shares of Calavo common stock. With the adoption of Financial Accounting Standards Board (“FASB”) Accounting Standards Update (“ASU”) 2016-01 on November 1, 2018, changes in the fair value of the equity securities result in gains or losses recognized in net income. The Company recorded an unrealized loss of $3,910,000 during the three months ended January 31, 2019, which is included in other expense in the consolidated statements of operations.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2018, we began negotiations to sell both our The Terraces at Pacific Crest ("Pacific Crest") property and the remaining residential portion of our Sevilla property for $5.2 million. As a result, based on the estimated selling prices, we recorded an impairment charge of $1.6 million in fiscal year 2018. As of the date of the filing, these transactions are still in negotiations.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fiscal year 2018, we declared cash dividends to our stockholders totaling $0.25 per common share in the aggregate amount of $4.0 million compared to a total of $0.22 per common share in the aggregate amount of $3.2 million for fiscal year 2017. On December 18, 2018, we declared a cash dividend $0.075 per common share which was paid on January 15, 2019, in the aggregate amount of $1.3 million to common stockholders of record as of December 31, 2018. This represented a 20% increase in our dividend compared to 2018.</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4, 2019, we entered into an agreement with FGF Trapani (“FGF”), a multi-generational, family owned citrus operation in Argentina to form a joint venture, which will operate under the name Trapani Fresh. As part of the agreement, we will create a subsidiary in Argentina under the name Limoneira Argentina S.A.U. (“Limoneira Argentina”) and will acquire 25% of the parcels of Finca Santa Clara, approximately 1,200 acres of planted lemons, upfront for $6.5 million with an additional 25% of such parcels to be acquired over a three-year period for an additional $8.5 million, through the loan agreement described below. As a result of the foregoing acquisitions, we will acquire 50% of the parcels of Finca Santa Clara for a combined purchase price of $15.0 million. Limoneira Argentina will act as the managing partner of Trapani Fresh (holding a 51% interest) and will be responsible for all fresh fruit sales. FGF will hold the remaining 49% interest in Trapani Fresh and the agreement is expected to close in the second quarter of fiscal year 2019.</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25, 2019, we entered into a loan agreement with FGF. We agreed to loan $8.5 million to FGF in the form of two advances: first advance of $2.0 million upon execution of the loan agreement and second advance of $6.5 million at FGF’s request subject to certain conditions. The maturity date is February 15, 2024, the interest rate is LIBOR plus 2.5% and the loan is secured by the Finca Santa Clara property. We advanced $2,000,000 to FGF on February 25, 2019. Additionally, us and FGF entered into an Irrevocable Option Agreement whereas FGF will repay the loan with 25% ownership in Finca Santa Clara.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8"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color w:val="auto"/>
              </w:rPr>
              <w:t>The following table shows the results of operations (in thousands):</w:t>
            </w: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33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 January 31,</w:t>
            </w:r>
          </w:p>
        </w:tc>
      </w:tr>
      <w:tr>
        <w:trPr>
          <w:trHeight w:val="27"/>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Agribusiness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w w:val="90"/>
              </w:rPr>
              <w:t>40,800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30,333</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1,218</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Real estate development</w:t>
            </w:r>
          </w:p>
        </w:tc>
        <w:tc>
          <w:tcPr>
            <w:tcW w:w="98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0"/>
              </w:rPr>
              <w:t>42,018</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31,593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0"/>
              </w:rPr>
              <w:t>38,916</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28,162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98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1,079</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1,065</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development</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5,015</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4,074</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0"/>
              </w:rPr>
              <w:t>45,038</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33,331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1,884</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98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139</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development</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(5,015)</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(4,074)</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(3,020)</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Equity in earnings of investments</w:t>
            </w:r>
          </w:p>
        </w:tc>
        <w:tc>
          <w:tcPr>
            <w:tcW w:w="98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stock in Calavo Growers, Inc.</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(3,910)</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98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304</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w:t>
            </w:r>
          </w:p>
        </w:tc>
        <w:tc>
          <w:tcPr>
            <w:tcW w:w="9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(3,417)</w:t>
            </w:r>
          </w:p>
        </w:tc>
        <w:tc>
          <w:tcPr>
            <w:tcW w:w="4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Loss before income tax benefit</w:t>
            </w:r>
          </w:p>
        </w:tc>
        <w:tc>
          <w:tcPr>
            <w:tcW w:w="9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(6,437)</w:t>
            </w:r>
          </w:p>
        </w:tc>
        <w:tc>
          <w:tcPr>
            <w:tcW w:w="4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1,761</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10,587</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9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(4,676)</w:t>
            </w:r>
          </w:p>
        </w:tc>
        <w:tc>
          <w:tcPr>
            <w:tcW w:w="4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8,623</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attributable to noncontrolling interest</w:t>
            </w: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Net (loss) income attributable to Limoneira Company</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(4,693)</w:t>
            </w:r>
          </w:p>
        </w:tc>
        <w:tc>
          <w:tcPr>
            <w:tcW w:w="4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8,625</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unrealized gain (loss) on stock in Calavo and impairments on real estate development assets when applicable, is an important measure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 EBITDA and adjusted EBITDA are summarized and reconciled to net (loss) income attributable to Limoneira Company which management considers to be the most directly comparable financial measure calculated and presented in accordance with GAAP as follows (in thousands):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4"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Three Months Ended January 31,</w:t>
            </w: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Limoneira Company</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(4,693)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510</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(1,761)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1,690</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(4,475)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Unrealized loss on stock in Calavo Growers, Inc.</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of Fiscal Year 2019 Compared to the First Quarter of Fiscal Year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net revenues for the first quarter of fiscal year 2019 was $42.0 million compared to $31.6 million for the first quarter of fiscal year 2018. The 33% increase of $10.4 million was primarily the result of increased agribusiness revenues, as detailed below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6840" w:type="dxa"/>
            <w:vAlign w:val="bottom"/>
            <w:gridSpan w:val="7"/>
          </w:tcPr>
          <w:p>
            <w:pPr>
              <w:ind w:left="960"/>
              <w:spacing w:after="0"/>
              <w:rPr>
                <w:sz w:val="20"/>
                <w:szCs w:val="20"/>
                <w:color w:val="auto"/>
              </w:rPr>
            </w:pPr>
            <w:r>
              <w:rPr>
                <w:rFonts w:ascii="Arial" w:cs="Arial" w:eastAsia="Arial" w:hAnsi="Arial"/>
                <w:sz w:val="18"/>
                <w:szCs w:val="18"/>
                <w:b w:val="1"/>
                <w:bCs w:val="1"/>
                <w:color w:val="auto"/>
              </w:rPr>
              <w:t>Agribusiness Revenues for the Three Months Ended January 31,</w:t>
            </w:r>
          </w:p>
        </w:tc>
      </w:tr>
      <w:tr>
        <w:trPr>
          <w:trHeight w:val="27"/>
        </w:trPr>
        <w:tc>
          <w:tcPr>
            <w:tcW w:w="4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240" w:type="dxa"/>
            <w:vAlign w:val="bottom"/>
          </w:tcPr>
          <w:p>
            <w:pPr>
              <w:spacing w:after="0"/>
              <w:rPr>
                <w:sz w:val="20"/>
                <w:szCs w:val="20"/>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38,596</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27,809</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10,787</w:t>
            </w:r>
          </w:p>
        </w:tc>
        <w:tc>
          <w:tcPr>
            <w:tcW w:w="1240" w:type="dxa"/>
            <w:vAlign w:val="bottom"/>
            <w:tcBorders>
              <w:bottom w:val="single" w:sz="8" w:color="CCEEFF"/>
            </w:tcBorders>
            <w:shd w:val="clear" w:color="auto" w:fill="CCEEFF"/>
          </w:tcPr>
          <w:p>
            <w:pPr>
              <w:jc w:val="center"/>
              <w:ind w:right="370"/>
              <w:spacing w:after="0"/>
              <w:rPr>
                <w:sz w:val="20"/>
                <w:szCs w:val="20"/>
                <w:color w:val="auto"/>
              </w:rPr>
            </w:pPr>
            <w:r>
              <w:rPr>
                <w:rFonts w:ascii="Arial" w:cs="Arial" w:eastAsia="Arial" w:hAnsi="Arial"/>
                <w:sz w:val="18"/>
                <w:szCs w:val="18"/>
                <w:color w:val="auto"/>
                <w:w w:val="94"/>
              </w:rPr>
              <w:t>39%</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Avocados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3</w:t>
            </w:r>
          </w:p>
        </w:tc>
        <w:tc>
          <w:tcPr>
            <w:tcW w:w="1240" w:type="dxa"/>
            <w:vAlign w:val="bottom"/>
          </w:tcPr>
          <w:p>
            <w:pPr>
              <w:jc w:val="center"/>
              <w:ind w:right="370"/>
              <w:spacing w:after="0"/>
              <w:rPr>
                <w:sz w:val="20"/>
                <w:szCs w:val="20"/>
                <w:color w:val="auto"/>
              </w:rPr>
            </w:pPr>
            <w:r>
              <w:rPr>
                <w:rFonts w:ascii="Arial" w:cs="Arial" w:eastAsia="Arial" w:hAnsi="Arial"/>
                <w:sz w:val="18"/>
                <w:szCs w:val="18"/>
                <w:color w:val="auto"/>
                <w:w w:val="99"/>
              </w:rPr>
              <w:t>—%</w:t>
            </w:r>
          </w:p>
        </w:tc>
      </w:tr>
      <w:tr>
        <w:trPr>
          <w:trHeight w:val="27"/>
        </w:trPr>
        <w:tc>
          <w:tcPr>
            <w:tcW w:w="4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Navel and Valencia oranges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6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(397)</w:t>
            </w:r>
          </w:p>
        </w:tc>
        <w:tc>
          <w:tcPr>
            <w:tcW w:w="1240" w:type="dxa"/>
            <w:vAlign w:val="bottom"/>
            <w:tcBorders>
              <w:bottom w:val="single" w:sz="8" w:color="CCEEFF"/>
            </w:tcBorders>
            <w:shd w:val="clear" w:color="auto" w:fill="CCEEFF"/>
          </w:tcPr>
          <w:p>
            <w:pPr>
              <w:jc w:val="center"/>
              <w:ind w:right="370"/>
              <w:spacing w:after="0"/>
              <w:rPr>
                <w:sz w:val="20"/>
                <w:szCs w:val="20"/>
                <w:color w:val="auto"/>
              </w:rPr>
            </w:pPr>
            <w:r>
              <w:rPr>
                <w:rFonts w:ascii="Arial" w:cs="Arial" w:eastAsia="Arial" w:hAnsi="Arial"/>
                <w:sz w:val="18"/>
                <w:szCs w:val="18"/>
                <w:color w:val="auto"/>
                <w:w w:val="95"/>
              </w:rPr>
              <w:t>(30)%</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Specialty citrus and other crops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1,255</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1,181</w:t>
            </w:r>
          </w:p>
        </w:tc>
        <w:tc>
          <w:tcPr>
            <w:tcW w:w="640" w:type="dxa"/>
            <w:vAlign w:val="bottom"/>
          </w:tcPr>
          <w:p>
            <w:pPr>
              <w:spacing w:after="0"/>
              <w:rPr>
                <w:sz w:val="21"/>
                <w:szCs w:val="21"/>
                <w:color w:val="auto"/>
              </w:rPr>
            </w:pP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74</w:t>
            </w:r>
          </w:p>
        </w:tc>
        <w:tc>
          <w:tcPr>
            <w:tcW w:w="1240" w:type="dxa"/>
            <w:vAlign w:val="bottom"/>
          </w:tcPr>
          <w:p>
            <w:pPr>
              <w:jc w:val="center"/>
              <w:ind w:right="390"/>
              <w:spacing w:after="0"/>
              <w:rPr>
                <w:sz w:val="20"/>
                <w:szCs w:val="20"/>
                <w:color w:val="auto"/>
              </w:rPr>
            </w:pPr>
            <w:r>
              <w:rPr>
                <w:rFonts w:ascii="Arial" w:cs="Arial" w:eastAsia="Arial" w:hAnsi="Arial"/>
                <w:sz w:val="18"/>
                <w:szCs w:val="18"/>
                <w:color w:val="auto"/>
                <w:w w:val="92"/>
              </w:rPr>
              <w:t>6%</w:t>
            </w:r>
          </w:p>
        </w:tc>
      </w:tr>
      <w:tr>
        <w:trPr>
          <w:trHeight w:val="27"/>
        </w:trPr>
        <w:tc>
          <w:tcPr>
            <w:tcW w:w="45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 revenues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40,800</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30,333</w:t>
            </w:r>
          </w:p>
        </w:tc>
        <w:tc>
          <w:tcPr>
            <w:tcW w:w="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10,467</w:t>
            </w:r>
          </w:p>
        </w:tc>
        <w:tc>
          <w:tcPr>
            <w:tcW w:w="1240" w:type="dxa"/>
            <w:vAlign w:val="bottom"/>
            <w:tcBorders>
              <w:bottom w:val="single" w:sz="8" w:color="auto"/>
            </w:tcBorders>
            <w:shd w:val="clear" w:color="auto" w:fill="CCEEFF"/>
          </w:tcPr>
          <w:p>
            <w:pPr>
              <w:jc w:val="center"/>
              <w:ind w:right="370"/>
              <w:spacing w:after="0"/>
              <w:rPr>
                <w:sz w:val="20"/>
                <w:szCs w:val="20"/>
                <w:color w:val="auto"/>
              </w:rPr>
            </w:pPr>
            <w:r>
              <w:rPr>
                <w:rFonts w:ascii="Arial" w:cs="Arial" w:eastAsia="Arial" w:hAnsi="Arial"/>
                <w:sz w:val="18"/>
                <w:szCs w:val="18"/>
                <w:color w:val="auto"/>
                <w:w w:val="94"/>
              </w:rPr>
              <w:t>35%</w:t>
            </w:r>
          </w:p>
        </w:tc>
      </w:tr>
      <w:tr>
        <w:trPr>
          <w:trHeight w:val="20"/>
        </w:trPr>
        <w:tc>
          <w:tcPr>
            <w:tcW w:w="4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93"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Lemons: The increase in the first quarter of fiscal year 2019 was primarily the result of higher volume partially offset by lower prices of fresh lemons sold compared to the same period in fiscal year 2018. During the first quarter of fiscal years 2019 and 2018, fresh lemon sales were $30.9 million and $24.0 million, respectively, on 1,272,000 and 912,000 cartons of lemons sold at average per carton prices of $24.30 and $26.32, respectively. Lemon revenues included $4.1 million shipping and handling, $2.0 million lemon by-products and $1.6 million other lemon sales in the first quarter of fiscal year 2019 compared to $2.8 million shipping and handling, $0.5 million lemon by-product and $0.5 million other lemon sales during the same period in fiscal year 2018. Other lemon sales in the first quarter of fiscal year 2019 include $0.4 million in Chile by PDA and San Pablo.</w:t>
      </w:r>
    </w:p>
    <w:p>
      <w:pPr>
        <w:spacing w:after="0" w:line="164" w:lineRule="exact"/>
        <w:rPr>
          <w:rFonts w:ascii="Arial" w:cs="Arial" w:eastAsia="Arial" w:hAnsi="Arial"/>
          <w:sz w:val="16"/>
          <w:szCs w:val="16"/>
          <w:color w:val="auto"/>
        </w:rPr>
      </w:pP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Avocados: No significant sales of avocados were recorded in the first quarter of fiscal years 2019 and 2018.</w:t>
      </w:r>
    </w:p>
    <w:p>
      <w:pPr>
        <w:spacing w:after="0" w:line="225" w:lineRule="exact"/>
        <w:rPr>
          <w:rFonts w:ascii="Arial" w:cs="Arial" w:eastAsia="Arial" w:hAnsi="Arial"/>
          <w:sz w:val="18"/>
          <w:szCs w:val="18"/>
          <w:color w:val="auto"/>
        </w:rPr>
      </w:pPr>
    </w:p>
    <w:p>
      <w:pPr>
        <w:jc w:val="both"/>
        <w:ind w:left="500" w:hanging="330"/>
        <w:spacing w:after="0" w:line="25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Navel and Valencia oranges: The decrease in the first quarter of fiscal year 2019 was primarily attributable to lower prices partially offset by higher volume of oranges sold compared to the same period in fiscal year 2018. In the first quarter of fiscal year 2019, 124,000 40-pound carton equivalents of oranges were sold at average per carton prices of $7.63 compared to 104,000 40-pound carton equivalents sold at average per carton prices of $12.91 in the first quarter of fiscal year 2018. Orange sales in the first quarter of fiscal year 2019 include $0.2 million in Chile by PDA and San Pablo compared to $0.3 million in Chile by PDA in the first quarter of fiscal year 2018.</w:t>
      </w:r>
    </w:p>
    <w:p>
      <w:pPr>
        <w:spacing w:after="0" w:line="188"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Specialty citrus and other crops: The increase in the first quarter of fiscal year 2019 was primarily the result of higher prices partially offset by lower volume of specialty citrus sold compared to the same period in fiscal year 2018. During the first quarter of fiscal year 2019, 81,000 40-pound carton equivalents of specialty citrus were sold at an average per carton price of $15.49 compared to 83,000 40-pound carton equivalents sold at an average per carton price of $14.23 during the same period in fiscal year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total costs and expenses in the first quarter of fiscal year 2019 were $45.0 million compared to $33.3 million in the first quarter of fiscal year 2018, for a 35% increase of $11.7 million. This increase was primarily attributable to increases in our agribusiness and selling, general and administrative costs and expenses. Costs associated with our agribusiness include packing costs, harvest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26"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growing costs, costs related to the fruit we procure and sell for third-party growers and depreciation expense, as detailed below ($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6840" w:type="dxa"/>
            <w:vAlign w:val="bottom"/>
            <w:gridSpan w:val="7"/>
          </w:tcPr>
          <w:p>
            <w:pPr>
              <w:jc w:val="right"/>
              <w:ind w:right="450"/>
              <w:spacing w:after="0"/>
              <w:rPr>
                <w:sz w:val="20"/>
                <w:szCs w:val="20"/>
                <w:color w:val="auto"/>
              </w:rPr>
            </w:pPr>
            <w:r>
              <w:rPr>
                <w:rFonts w:ascii="Arial" w:cs="Arial" w:eastAsia="Arial" w:hAnsi="Arial"/>
                <w:sz w:val="18"/>
                <w:szCs w:val="18"/>
                <w:b w:val="1"/>
                <w:bCs w:val="1"/>
                <w:color w:val="auto"/>
                <w:w w:val="97"/>
              </w:rPr>
              <w:t>Agribusiness Costs and Expenses for the Three Months Ended January 31,</w:t>
            </w:r>
          </w:p>
        </w:tc>
      </w:tr>
      <w:tr>
        <w:trPr>
          <w:trHeight w:val="27"/>
        </w:trPr>
        <w:tc>
          <w:tcPr>
            <w:tcW w:w="4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1600" w:type="dxa"/>
            <w:vAlign w:val="bottom"/>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200" w:type="dxa"/>
            <w:vAlign w:val="bottom"/>
          </w:tcPr>
          <w:p>
            <w:pPr>
              <w:spacing w:after="0"/>
              <w:rPr>
                <w:sz w:val="20"/>
                <w:szCs w:val="20"/>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Packing costs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8,784</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3,060</w:t>
            </w:r>
          </w:p>
        </w:tc>
        <w:tc>
          <w:tcPr>
            <w:tcW w:w="12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53%</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Harvest costs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4,565</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3,273</w:t>
            </w:r>
          </w:p>
        </w:tc>
        <w:tc>
          <w:tcPr>
            <w:tcW w:w="640" w:type="dxa"/>
            <w:vAlign w:val="bottom"/>
          </w:tcPr>
          <w:p>
            <w:pPr>
              <w:spacing w:after="0"/>
              <w:rPr>
                <w:sz w:val="21"/>
                <w:szCs w:val="21"/>
                <w:color w:val="auto"/>
              </w:rPr>
            </w:pPr>
          </w:p>
        </w:tc>
        <w:tc>
          <w:tcPr>
            <w:tcW w:w="1600" w:type="dxa"/>
            <w:vAlign w:val="bottom"/>
          </w:tcPr>
          <w:p>
            <w:pPr>
              <w:jc w:val="right"/>
              <w:ind w:right="510"/>
              <w:spacing w:after="0"/>
              <w:rPr>
                <w:sz w:val="20"/>
                <w:szCs w:val="20"/>
                <w:color w:val="auto"/>
              </w:rPr>
            </w:pPr>
            <w:r>
              <w:rPr>
                <w:rFonts w:ascii="Arial" w:cs="Arial" w:eastAsia="Arial" w:hAnsi="Arial"/>
                <w:sz w:val="18"/>
                <w:szCs w:val="18"/>
                <w:color w:val="auto"/>
              </w:rPr>
              <w:t>1,292</w:t>
            </w: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39%</w:t>
            </w:r>
          </w:p>
        </w:tc>
      </w:tr>
      <w:tr>
        <w:trPr>
          <w:trHeight w:val="27"/>
        </w:trPr>
        <w:tc>
          <w:tcPr>
            <w:tcW w:w="4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Growing costs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6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775</w:t>
            </w:r>
          </w:p>
        </w:tc>
        <w:tc>
          <w:tcPr>
            <w:tcW w:w="12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11%</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Third-party grower costs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16,086</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10,880</w:t>
            </w:r>
          </w:p>
        </w:tc>
        <w:tc>
          <w:tcPr>
            <w:tcW w:w="640" w:type="dxa"/>
            <w:vAlign w:val="bottom"/>
          </w:tcPr>
          <w:p>
            <w:pPr>
              <w:spacing w:after="0"/>
              <w:rPr>
                <w:sz w:val="21"/>
                <w:szCs w:val="21"/>
                <w:color w:val="auto"/>
              </w:rPr>
            </w:pPr>
          </w:p>
        </w:tc>
        <w:tc>
          <w:tcPr>
            <w:tcW w:w="1600" w:type="dxa"/>
            <w:vAlign w:val="bottom"/>
          </w:tcPr>
          <w:p>
            <w:pPr>
              <w:jc w:val="right"/>
              <w:ind w:right="510"/>
              <w:spacing w:after="0"/>
              <w:rPr>
                <w:sz w:val="20"/>
                <w:szCs w:val="20"/>
                <w:color w:val="auto"/>
              </w:rPr>
            </w:pPr>
            <w:r>
              <w:rPr>
                <w:rFonts w:ascii="Arial" w:cs="Arial" w:eastAsia="Arial" w:hAnsi="Arial"/>
                <w:sz w:val="18"/>
                <w:szCs w:val="18"/>
                <w:color w:val="auto"/>
              </w:rPr>
              <w:t>5,206</w:t>
            </w: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48%</w:t>
            </w:r>
          </w:p>
        </w:tc>
      </w:tr>
      <w:tr>
        <w:trPr>
          <w:trHeight w:val="27"/>
        </w:trPr>
        <w:tc>
          <w:tcPr>
            <w:tcW w:w="4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6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421</w:t>
            </w:r>
          </w:p>
        </w:tc>
        <w:tc>
          <w:tcPr>
            <w:tcW w:w="12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29%</w:t>
            </w: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Agribusiness costs and expenses</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38,916</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28,162</w:t>
            </w:r>
          </w:p>
        </w:tc>
        <w:tc>
          <w:tcPr>
            <w:tcW w:w="6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10,754</w:t>
            </w: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38%</w:t>
            </w:r>
          </w:p>
        </w:tc>
      </w:tr>
      <w:tr>
        <w:trPr>
          <w:trHeight w:val="20"/>
        </w:trPr>
        <w:tc>
          <w:tcPr>
            <w:tcW w:w="4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91"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Packing costs: Packing costs primarily consist of the costs to pack lemons for sale such as labor and benefits, cardboard cartons, fruit treatments, packing and shipping supplies and facility operating costs. Lemon packing costs were $8.8 million and $5.7 million in the first quarter of fiscal years 2019 and 2018, respectively. During the first quarter of fiscal year 2019, we packed and sold 1,272,000 cartons of lemons at average per carton costs of $6.50 compared to 912,000 cartons of lemons sold at average per carton costs of $5.95 during the same period in fiscal year 2018. The increase in average per carton costs in fiscal year 2019 compared to fiscal year 2018 is primarily due to $1.2 million of operating costs incurred at the Oxnard Lemon facility, partially offset by decreased average per carton costs incurred at our Santa Paula facility. Additionally, packing costs included $0.5 million of shipping costs in the first quarter of fiscal year 2019 compared to $0.3 million in the first quarter of fiscal year 2018.</w:t>
      </w:r>
    </w:p>
    <w:p>
      <w:pPr>
        <w:spacing w:after="0" w:line="167" w:lineRule="exact"/>
        <w:rPr>
          <w:rFonts w:ascii="Arial" w:cs="Arial" w:eastAsia="Arial" w:hAnsi="Arial"/>
          <w:sz w:val="16"/>
          <w:szCs w:val="16"/>
          <w:color w:val="auto"/>
        </w:rPr>
      </w:pPr>
    </w:p>
    <w:p>
      <w:pPr>
        <w:ind w:left="500" w:hanging="330"/>
        <w:spacing w:after="0"/>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Harvest costs: The increase in the first quarter of fiscal year 2019 is primarily attributable to increased volume of lemons and oranges harvested.</w:t>
      </w:r>
    </w:p>
    <w:p>
      <w:pPr>
        <w:spacing w:after="0" w:line="236" w:lineRule="exact"/>
        <w:rPr>
          <w:rFonts w:ascii="Arial" w:cs="Arial" w:eastAsia="Arial" w:hAnsi="Arial"/>
          <w:sz w:val="17"/>
          <w:szCs w:val="17"/>
          <w:color w:val="auto"/>
        </w:rPr>
      </w:pPr>
    </w:p>
    <w:p>
      <w:pPr>
        <w:jc w:val="both"/>
        <w:ind w:left="500" w:hanging="330"/>
        <w:spacing w:after="0" w:line="259"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Growing costs: Growing costs, also referred to as cultural costs, consist of orchard maintenance costs such as cultivation, fertilization and soil amendments, pest control, pruning and irrigation. Growing costs in the first quarter of fiscal year 2019 were higher than the first quarter of fiscal year 2018 due to increased cultivation and the acquisition of the San Pablo ranch. Growing costs reflect farm management decisions based on weather, harvest timing and crop conditions.</w:t>
      </w:r>
    </w:p>
    <w:p>
      <w:pPr>
        <w:spacing w:after="0" w:line="186" w:lineRule="exact"/>
        <w:rPr>
          <w:rFonts w:ascii="Arial" w:cs="Arial" w:eastAsia="Arial" w:hAnsi="Arial"/>
          <w:sz w:val="18"/>
          <w:szCs w:val="18"/>
          <w:color w:val="auto"/>
        </w:rPr>
      </w:pPr>
    </w:p>
    <w:p>
      <w:pPr>
        <w:jc w:val="both"/>
        <w:ind w:left="500" w:hanging="330"/>
        <w:spacing w:after="0" w:line="25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grower costs: We sell fruit that we grow and fruit that we procure from other growers. The cost of procuring fruit from other growers is referred to as third-party grower costs. The increase in the first quarter of fiscal year 2019 is primarily attributable to higher volume partially offset by lower price of third-party grower fruit sold. Of the 1,272,000 and 912,000 cartons of lemons packed and sold during the first quarter of fiscal years 2019 and 2018, respectively, 757,000 (59%) and 483,000 (53%) were procured from third-party growers at average per carton prices of $20.87 and $22.47, respectively.</w:t>
      </w:r>
    </w:p>
    <w:p>
      <w:pPr>
        <w:spacing w:after="0" w:line="188" w:lineRule="exact"/>
        <w:rPr>
          <w:rFonts w:ascii="Arial" w:cs="Arial" w:eastAsia="Arial" w:hAnsi="Arial"/>
          <w:sz w:val="18"/>
          <w:szCs w:val="18"/>
          <w:color w:val="auto"/>
        </w:rPr>
      </w:pPr>
    </w:p>
    <w:p>
      <w:pPr>
        <w:ind w:left="500" w:right="20" w:hanging="330"/>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Depreciation expense for the first quarter of fiscal year 2019 was approximately $0.4 million higher than the first quarter of fiscal year 2018 primarily due to the acquisitions of Oxnard Lemon and San Pablo and an increase in assets placed into service.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Selling, general and administrative costs and expenses were $5.0 million in the three months ended January 31, 2019 compared to $4.1 million in the three months ended January 31, 2018. The $0.9 million increase is primarily attributable to an increase in administration personnel, salaries and benefits and increased incentive compensation as a result of projected improved operating results as of January 31, 2019 compared to January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expense, net for the three months ended January 31, 2019 is comprised primarily of $3.9 million unrealized loss on equity securities partially offset by $0.1 million of net interest income and $0.3 million of dividend income received from Calavo. Other expense, net for the three months ended January 31, 2018 is comprised primarily of $0.5 million of net interest expense partially offset by $0.3 million of dividend income received from Calavo.</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is capitalized on real estate development projects and significant construction in progress using the weighted average interest rate during the fiscal year. We capitalized $0.3 million and $0.6 million of interest in the first quarter of fiscal years 2019 and 2018, respectively. Interest capitalization is discontinued when a project is substantially complete. Under the equity method of accounting used for our Limoneira/Lewis Joint Venture, interest capitalization ceased upon the commencement of lot sales in February 2019.</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an estimated income tax benefit of $1.8 million in the first quarter of fiscal year 2019 on pre-tax loss of $6.4 million compared to an estimated income tax benefit of $10.6 million in the first quarter of fiscal year 2018 on pre-tax loss of $2.0 million. The discrete driver of the estimated income tax benefit in the first quarter of fiscal year 2018 was the approximately $10.0 million decrease in deferred tax liabilities related to the change in the federal tax rate from the Tax Cuts and Jobs Act of 2017 (the "2017 Act") from 34% to 21%. Our projected annual effective blended tax rate for fiscal year 2019 is approximately 28.0%.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attributable to noncontrolling interest represents 10% of the net (income) loss of PDA.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operate in six reportable operating segments: fresh lemons, lemon packing, avocados, other agribusiness, rental operations and real estate development.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24 - Segment Information of the Notes to Consolidated Financial Statements included in this Quarterly Report on Form 10-Q for additional information regarding our operating segments.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Three Months Ended January 31, 2019 Compared to the Three Months Ended January 31,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January 31, 2019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49"/>
              <w:spacing w:after="0"/>
              <w:rPr>
                <w:sz w:val="20"/>
                <w:szCs w:val="20"/>
                <w:color w:val="auto"/>
              </w:rPr>
            </w:pPr>
            <w:r>
              <w:rPr>
                <w:rFonts w:ascii="Arial" w:cs="Arial" w:eastAsia="Arial" w:hAnsi="Arial"/>
                <w:sz w:val="14"/>
                <w:szCs w:val="14"/>
                <w:b w:val="1"/>
                <w:bCs w:val="1"/>
                <w:color w:val="auto"/>
              </w:rPr>
              <w:t>Fresh</w:t>
            </w:r>
          </w:p>
        </w:tc>
        <w:tc>
          <w:tcPr>
            <w:tcW w:w="18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40" w:type="dxa"/>
            <w:vAlign w:val="bottom"/>
          </w:tcPr>
          <w:p>
            <w:pPr>
              <w:jc w:val="right"/>
              <w:ind w:right="149"/>
              <w:spacing w:after="0"/>
              <w:rPr>
                <w:sz w:val="20"/>
                <w:szCs w:val="20"/>
                <w:color w:val="auto"/>
              </w:rPr>
            </w:pPr>
            <w:r>
              <w:rPr>
                <w:rFonts w:ascii="Arial" w:cs="Arial" w:eastAsia="Arial" w:hAnsi="Arial"/>
                <w:sz w:val="14"/>
                <w:szCs w:val="14"/>
                <w:b w:val="1"/>
                <w:bCs w:val="1"/>
                <w:color w:val="auto"/>
              </w:rPr>
              <w:t>Rental</w:t>
            </w:r>
          </w:p>
        </w:tc>
        <w:tc>
          <w:tcPr>
            <w:tcW w:w="1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93"/>
        </w:trPr>
        <w:tc>
          <w:tcPr>
            <w:tcW w:w="24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
              <w:spacing w:after="0" w:line="193" w:lineRule="exact"/>
              <w:rPr>
                <w:sz w:val="20"/>
                <w:szCs w:val="20"/>
                <w:color w:val="auto"/>
              </w:rPr>
            </w:pPr>
            <w:r>
              <w:rPr>
                <w:rFonts w:ascii="Arial" w:cs="Arial" w:eastAsia="Arial" w:hAnsi="Arial"/>
                <w:sz w:val="14"/>
                <w:szCs w:val="14"/>
                <w:b w:val="1"/>
                <w:bCs w:val="1"/>
                <w:color w:val="auto"/>
                <w:w w:val="80"/>
              </w:rPr>
              <w:t>Lemons</w:t>
            </w:r>
            <w:r>
              <w:rPr>
                <w:rFonts w:ascii="Arial" w:cs="Arial" w:eastAsia="Arial" w:hAnsi="Arial"/>
                <w:sz w:val="22"/>
                <w:szCs w:val="22"/>
                <w:b w:val="1"/>
                <w:bCs w:val="1"/>
                <w:color w:val="auto"/>
                <w:w w:val="80"/>
                <w:vertAlign w:val="superscript"/>
              </w:rPr>
              <w:t>(1)</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Packing</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0"/>
              </w:rPr>
              <w:t>Avocados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3"/>
              </w:rPr>
              <w:t>Agribusiness</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6"/>
              </w:rPr>
              <w:t>Development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3"/>
              </w:rPr>
              <w:t>and Other</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Total</w:t>
            </w:r>
          </w:p>
        </w:tc>
      </w:tr>
      <w:tr>
        <w:trPr>
          <w:trHeight w:val="210"/>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34,493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4,103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2,201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42,018</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7,044</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(7,044)</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34,493</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11,147</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2,201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1,218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42,018</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00" w:type="dxa"/>
            <w:vAlign w:val="bottom"/>
          </w:tcPr>
          <w:p>
            <w:pPr>
              <w:spacing w:after="0"/>
              <w:rPr>
                <w:sz w:val="18"/>
                <w:szCs w:val="18"/>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32,082</w:t>
            </w:r>
          </w:p>
        </w:tc>
        <w:tc>
          <w:tcPr>
            <w:tcW w:w="18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8,784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(7,044)</w:t>
            </w:r>
          </w:p>
        </w:tc>
        <w:tc>
          <w:tcPr>
            <w:tcW w:w="16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716</w:t>
            </w:r>
          </w:p>
        </w:tc>
        <w:tc>
          <w:tcPr>
            <w:tcW w:w="140" w:type="dxa"/>
            <w:vAlign w:val="bottom"/>
          </w:tcPr>
          <w:p>
            <w:pPr>
              <w:spacing w:after="0"/>
              <w:rPr>
                <w:sz w:val="18"/>
                <w:szCs w:val="18"/>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2,510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37,048</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884</w:t>
            </w:r>
          </w:p>
        </w:tc>
        <w:tc>
          <w:tcPr>
            <w:tcW w:w="140" w:type="dxa"/>
            <w:vAlign w:val="bottom"/>
          </w:tcPr>
          <w:p>
            <w:pPr>
              <w:spacing w:after="0"/>
              <w:rPr>
                <w:sz w:val="18"/>
                <w:szCs w:val="18"/>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4,952</w:t>
            </w:r>
          </w:p>
        </w:tc>
        <w:tc>
          <w:tcPr>
            <w:tcW w:w="140" w:type="dxa"/>
            <w:vAlign w:val="bottom"/>
          </w:tcPr>
          <w:p>
            <w:pPr>
              <w:spacing w:after="0"/>
              <w:rPr>
                <w:sz w:val="18"/>
                <w:szCs w:val="18"/>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w w:val="97"/>
              </w:rPr>
              <w:t>42,912</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195</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63</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2,126</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2,411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2,363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(3,020)</w:t>
            </w: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January 31, 2018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0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40" w:type="dxa"/>
            <w:vAlign w:val="bottom"/>
          </w:tcPr>
          <w:p>
            <w:pPr>
              <w:jc w:val="right"/>
              <w:ind w:right="149"/>
              <w:spacing w:after="0"/>
              <w:rPr>
                <w:sz w:val="20"/>
                <w:szCs w:val="20"/>
                <w:color w:val="auto"/>
              </w:rPr>
            </w:pPr>
            <w:r>
              <w:rPr>
                <w:rFonts w:ascii="Arial" w:cs="Arial" w:eastAsia="Arial" w:hAnsi="Arial"/>
                <w:sz w:val="14"/>
                <w:szCs w:val="14"/>
                <w:b w:val="1"/>
                <w:bCs w:val="1"/>
                <w:color w:val="auto"/>
              </w:rPr>
              <w:t>Rental</w:t>
            </w:r>
          </w:p>
        </w:tc>
        <w:tc>
          <w:tcPr>
            <w:tcW w:w="1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2"/>
        </w:trPr>
        <w:tc>
          <w:tcPr>
            <w:tcW w:w="2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9"/>
              </w:rPr>
              <w:t>Lemons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Packing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0"/>
              </w:rPr>
              <w:t>Avocados</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6"/>
              </w:rPr>
              <w:t>Development</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3"/>
              </w:rPr>
              <w:t>and Other</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2,833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1,260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31,593</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4,924</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(4,924)</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7,757</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1,260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31,593</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22,890</w:t>
            </w:r>
          </w:p>
        </w:tc>
        <w:tc>
          <w:tcPr>
            <w:tcW w:w="20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5,724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(4,924)</w:t>
            </w:r>
          </w:p>
        </w:tc>
        <w:tc>
          <w:tcPr>
            <w:tcW w:w="16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704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2,321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26,715</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870</w:t>
            </w:r>
          </w:p>
        </w:tc>
        <w:tc>
          <w:tcPr>
            <w:tcW w:w="140" w:type="dxa"/>
            <w:vAlign w:val="bottom"/>
          </w:tcPr>
          <w:p>
            <w:pPr>
              <w:spacing w:after="0"/>
              <w:rPr>
                <w:sz w:val="18"/>
                <w:szCs w:val="18"/>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4,026</w:t>
            </w:r>
          </w:p>
        </w:tc>
        <w:tc>
          <w:tcPr>
            <w:tcW w:w="140" w:type="dxa"/>
            <w:vAlign w:val="bottom"/>
          </w:tcPr>
          <w:p>
            <w:pPr>
              <w:spacing w:after="0"/>
              <w:rPr>
                <w:sz w:val="18"/>
                <w:szCs w:val="18"/>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w w:val="97"/>
              </w:rPr>
              <w:t>31,641</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1,447</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195</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48</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1,690</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(1,738)</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53" w:lineRule="auto"/>
        <w:tabs>
          <w:tab w:leader="none" w:pos="195"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During the first quarter of fiscal 2019, we adopted a comprehensive new revenue recognition standard using a modified retrospective method that does not restate prior periods to be comparable to the current period presentation. The adoption of this guidance primarily impacted the presentation of certain brokered fruit sales revenue received and the related cost of fruit incurred by us. The adoption of this guidance resulted in revenue within our fresh lemon segment of $294,000, as well as costs and expenses within that segment, during the three months ended January 31, 2019. Refer to Note 2 - Summary of Significant Accounting Policies for more information regarding the impact from the adoption of this new standard.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Lemons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first quarter of fiscal year 2019, our fresh lemons segment total net revenues were $34.5 million compared to $25.0 million for the first quarter of fiscal year 2018; a 38% increase of $9.5 million, primarily due to higher volume of fresh lemons sold.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expenses associated with our fresh lemons segment include harvest costs, growing costs and costs of fruit we procure from third-party growers. For the first quarter of fiscal year 2019, our fresh lemons costs and expenses were $32.1 million compared to $22.9 million for the first quarter of fiscal year 2018. The 40% increase of $9.2 million primarily consisted of the following:</w:t>
      </w:r>
    </w:p>
    <w:p>
      <w:pPr>
        <w:spacing w:after="0" w:line="181" w:lineRule="exact"/>
        <w:rPr>
          <w:sz w:val="20"/>
          <w:szCs w:val="20"/>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Harvest costs for the first quarter of fiscal year 2019 were $1.2 million higher than the first quarter of fiscal year 2018.</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Growing costs for the first quarter of fiscal year 2019 were $0.7 million higher than the first quarter of fiscal year 2018.</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grower costs for the first quarter of fiscal year 2019 were $5.2 million higher than the first quarter of fiscal year 2018.</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Intersegment costs and expenses for the first quarter of fiscal year 2019 were $2.1 million higher than the first quarter of fiscal year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Lemon Packing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the first quarter of fiscal years 2019 and 2018, our lemon packing segment revenues were $11.1 million and $7.8 million,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4" w:right="239" w:bottom="1440" w:gutter="0" w:footer="0" w:header="0"/>
        </w:sectPr>
      </w:pPr>
    </w:p>
    <w:bookmarkStart w:id="41" w:name="page42"/>
    <w:bookmarkEnd w:id="41"/>
    <w:p>
      <w:pPr>
        <w:jc w:val="both"/>
        <w:ind w:firstLine="47"/>
        <w:spacing w:after="0" w:line="264"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first quarter of fiscal years 2019 and 2018, our lemon packing costs and expenses were $8.8 million and $5.7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For the first quarter of fiscal years 2019 and 2018, lemon packing segment operating income per carton sold was $1.86 and $2.23, respectively.</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first quarter of fiscal years 2019 and 2018, the lemon packing segment included $7.0 million and $4.9 million, respectively, of intersegment revenues that were charged to the fresh lemons segment to pack lemons for sale. Such intersegment revenues and expenses are eliminated in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fiscal year 2019 and 2018, our avocados segment had no significant revenues.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Costs and expenses associated with our avocados segment include harvest and growing costs. For the first quarters of fiscal years 2019 and 2018, our avocados segment costs and expenses were $0.7 million and primarily consisted of the following:</w:t>
      </w:r>
    </w:p>
    <w:p>
      <w:pPr>
        <w:spacing w:after="0" w:line="170" w:lineRule="exact"/>
        <w:rPr>
          <w:sz w:val="20"/>
          <w:szCs w:val="20"/>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Avocado harvest costs were zero for the first quarter of fiscal years 2019 and 2018.</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Growing costs for the first quarter of fiscal year 2019 were similar to the first quarter of fiscal year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Agribusiness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first quarter of fiscal year 2019 our other agribusiness segment total net revenues were $2.2 million compared to $2.5 million for the first quarter of fiscal year 2018. The 13% decrease of $0.3 million primarily consisted of the following:</w:t>
      </w:r>
    </w:p>
    <w:p>
      <w:pPr>
        <w:spacing w:after="0" w:line="170" w:lineRule="exact"/>
        <w:rPr>
          <w:sz w:val="20"/>
          <w:szCs w:val="20"/>
          <w:color w:val="auto"/>
        </w:rPr>
      </w:pPr>
    </w:p>
    <w:p>
      <w:pPr>
        <w:ind w:left="500" w:hanging="330"/>
        <w:spacing w:after="0"/>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Navel and Valencia orange revenues for the first quarter of fiscal year 2019 were $0.4 million lower than the first quarter of fiscal year 2018.</w:t>
      </w:r>
    </w:p>
    <w:p>
      <w:pPr>
        <w:spacing w:after="0" w:line="236" w:lineRule="exact"/>
        <w:rPr>
          <w:rFonts w:ascii="Arial" w:cs="Arial" w:eastAsia="Arial" w:hAnsi="Arial"/>
          <w:sz w:val="17"/>
          <w:szCs w:val="17"/>
          <w:color w:val="auto"/>
        </w:rPr>
      </w:pPr>
    </w:p>
    <w:p>
      <w:pPr>
        <w:ind w:left="500" w:hanging="330"/>
        <w:spacing w:after="0"/>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Specialty citrus and other crop revenues for the first quarter of fiscal year 2019 were $0.1 million higher than the first quarter of fiscal year 2018.</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expenses associated with our other agribusiness segment include harvest costs and growing costs. For the first quarter of fiscal year 2019, our other agribusiness costs and expenses were $2.5 million compared to $2.3 million for the first quarter of fiscal year 2018. The 8% increase of $0.2 million primarily consisted of the following:</w:t>
      </w:r>
    </w:p>
    <w:p>
      <w:pPr>
        <w:spacing w:after="0" w:line="181" w:lineRule="exact"/>
        <w:rPr>
          <w:sz w:val="20"/>
          <w:szCs w:val="20"/>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Harvest costs for the first quarter of fiscal year 2019 were $0.1 million higher than the first quarter of fiscal year 2018.</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Growing costs for the first quarter of fiscal year 2019 were $0.1 million higher than the first quarter of fiscal year 2018.</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agribusiness depreciation and amortization expenses for the first quarter of fiscal year 2019 were $0.4 million higher than the first quarter of fiscal year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rental operations segment had total net revenues of $1.2 million and $1.3 million for the first quarter of fiscal years 2019 and 2018, respectively.</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Costs and expenses in our rental operations segment for the first quarter of fiscal year 2019 were similar to the first quarter of fiscal year 2018 at approximately $0.9 million. Depreciation and amortization expense was similar quarter to quarter at approximately $0.2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fiscal years 2019 and 2018, our real estate development segment total net revenues were zero.</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8"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Costs and expenses in our real estate development segment for the first quarter of fiscal year 2019 were similar to the first quarter of fiscal year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costs and expenses include selling, general and administrative costs and other costs not allocated to the operating segments. Selling, general and administrative costs and expenses for the first quarter of fiscal year 2019 were $0.9 million higher than the first quarter of fiscal year 2018. Depreciation expense was similar quarter to quarter at approximately $0.1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Results of Operations for the Trailing Twelve Months Ended January 31, 2019 and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unaudited results of operations (in thousands):</w:t>
      </w:r>
    </w:p>
    <w:p>
      <w:pPr>
        <w:spacing w:after="0" w:line="383"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Trailing twelve months ended January</w:t>
      </w:r>
    </w:p>
    <w:p>
      <w:pPr>
        <w:spacing w:after="0" w:line="50"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Agribusiness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134,811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119,433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Rental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development</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Agribusiness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92,980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Rental operations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3,942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Impairment of real estate development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131,613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111,446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Equity in earnings of investments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stock in Calavo Growers, Inc.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Unrealized loss on stock in Calavo Growers, Inc.</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(provision) benefit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5,270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loss attributable to noncontrolling interest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Limoneira Company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17,292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ind w:left="500" w:hanging="330"/>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revenues increased $15.0 million in the twelve months ended January 31, 2019 compared to the twelve months ended January 31, 2018 primarily due to increased agribusiness revenues, particularly increased lemon sales.</w:t>
      </w:r>
    </w:p>
    <w:p>
      <w:pPr>
        <w:spacing w:after="0" w:line="170"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costs and expenses increased $20.2 million in the twelve months ended January 31, 2019 compared to the twelve months ended January 31, 2018 primarily due to increases in our agribusiness costs, real estate impairments and selling, general and administrative expenses. The increase in agribusiness costs is associated with increased agribusiness production and the increase in selling, general and administrative expenses is primarily attributable to increased personnel and higher salaries, benefits and incentive compensation.</w:t>
      </w:r>
    </w:p>
    <w:p>
      <w:pPr>
        <w:spacing w:after="0" w:line="186"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other income increased $2.2 million in the twelve months ended January 31, 2019 compared to the twelve months ended January 31, 2018 primarily due to a $1.4 million decrease in net interest expense and $0.6 million increase in equity in earnings of investments.</w:t>
      </w:r>
    </w:p>
    <w:p>
      <w:pPr>
        <w:spacing w:after="0" w:line="170"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Income tax benefit decreased $7.4 million in the twelve months ended January 31, 2019 compared to the twelve months ended January 31, 2018 primarily due to the approximately $10.0 million decrease in deferred tax liabilities related to the change in the federal corporate tax rate from the 2017 Act.</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364"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Company’s liquidity and capital position fluctuates during the year depending on seasonal production cycles, weather events and demand for our products. Typically, our second and third quarters tend to generate greater operating income than our first and fourth quarters due to the volume of fruit harvested.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meet working capital demand and investment requirements of our agribusiness and real estate development segments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January 31, 2019, net cash used in operating activities was $4.5 million compared to net cash used in operating activities of $5.1 million for the three months ended January 31, 2018. The significant components of our Company’s cash flows provided by operating activities as included in the unaudited consolidated statements of cash flows are as follows:</w:t>
      </w:r>
    </w:p>
    <w:p>
      <w:pPr>
        <w:spacing w:after="0" w:line="181" w:lineRule="exact"/>
        <w:rPr>
          <w:sz w:val="20"/>
          <w:szCs w:val="20"/>
          <w:color w:val="auto"/>
        </w:rPr>
      </w:pPr>
    </w:p>
    <w:p>
      <w:pPr>
        <w:jc w:val="both"/>
        <w:ind w:left="500" w:hanging="330"/>
        <w:spacing w:after="0" w:line="259"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loss for the three months ended January 31, 2019 was $4.7 million compared to net income of $8.6 million for the three months ended January 31, 2018. The decrease in net income of $13.3 million in the three months ended January 31, 2019 compared to the same period in fiscal year 2018 was primarily attributable to an increase in operating loss of $1.3 million an increase in other expenses of $3.2 million and a decrease in income tax benefit of $8.8 million.</w:t>
      </w:r>
    </w:p>
    <w:p>
      <w:pPr>
        <w:spacing w:after="0" w:line="186"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Depreciation and amortization expenses increased $0.4 million in the three months ended January 31, 2019 compared to the same period in fiscal year 2018 primarily due to the acquisition of San Pablo and Oxnard Lemon in July 2018 and an increase in assets placed into service.</w:t>
      </w:r>
    </w:p>
    <w:p>
      <w:pPr>
        <w:spacing w:after="0" w:line="146" w:lineRule="exact"/>
        <w:rPr>
          <w:rFonts w:ascii="Arial" w:cs="Arial" w:eastAsia="Arial" w:hAnsi="Arial"/>
          <w:sz w:val="17"/>
          <w:szCs w:val="17"/>
          <w:color w:val="auto"/>
        </w:rPr>
      </w:pPr>
    </w:p>
    <w:p>
      <w:pPr>
        <w:jc w:val="both"/>
        <w:ind w:left="500" w:hanging="330"/>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(gain) on disposals of assets of $(22,000) in the three months ended January 31, 2019 compared to a loss on disposals of assets of $0.1 million in the three months ended January 31, 2018. Fiscal year 2018 loss was primarily the result of expenses incurred from orchard disposals related to the December 2017 Southern California wildfires and our ongoing orchard redevelopment plans.</w:t>
      </w:r>
    </w:p>
    <w:p>
      <w:pPr>
        <w:spacing w:after="0" w:line="181"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Stock compensation expense was $0.8 million and $0.7 million in the three months ended January 31, 2019 and 2018, respectively, and was comprised primarily of vesting and expense recognition of the 2016, 2017, 2018 and 2019 grants to management under our stock-based compensation plan plus non-employee directors’ stock-based compensation.</w:t>
      </w:r>
    </w:p>
    <w:p>
      <w:pPr>
        <w:spacing w:after="0" w:line="181" w:lineRule="exact"/>
        <w:rPr>
          <w:rFonts w:ascii="Arial" w:cs="Arial" w:eastAsia="Arial" w:hAnsi="Arial"/>
          <w:sz w:val="18"/>
          <w:szCs w:val="18"/>
          <w:color w:val="auto"/>
        </w:rPr>
      </w:pPr>
    </w:p>
    <w:p>
      <w:pPr>
        <w:jc w:val="both"/>
        <w:ind w:left="500" w:hanging="330"/>
        <w:spacing w:after="0" w:line="297"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Accounts receivable, net balance at January 31, 2019 was $19.6 million compared to $14.1 million at October 31, 2018, resulting in a corresponding decrease in operating cash flows of approximately $5.0 million in the three months ended January 31, 2019. Accounts receivable, net balance at January 31, 2018 was $13.5 million compared to $11.0 million at October 31, 2017, resulting in a corresponding decrease in operating cash flows of $2.5 million. The $5.0 million decrease in operating cash flows in the three months ended January 31, 2019 compared to the $2.5 million decrease in operating cash flows during same period in fiscal year 2018 was primarily due to fluctuations in price and volume related to agribusiness revenues.</w:t>
      </w:r>
    </w:p>
    <w:p>
      <w:pPr>
        <w:spacing w:after="0" w:line="158" w:lineRule="exact"/>
        <w:rPr>
          <w:rFonts w:ascii="Arial" w:cs="Arial" w:eastAsia="Arial" w:hAnsi="Arial"/>
          <w:sz w:val="16"/>
          <w:szCs w:val="16"/>
          <w:color w:val="auto"/>
        </w:rPr>
      </w:pPr>
    </w:p>
    <w:p>
      <w:pPr>
        <w:jc w:val="both"/>
        <w:ind w:left="500" w:hanging="330"/>
        <w:spacing w:after="0" w:line="259"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Cultural costs provided $2.9 million of operating cash flows in the three months ended January 31, 2019 compared to providing $2.1 million of operating cash flows during the same period in fiscal year 2018. This increase in operating cash flows was primarily due to an initial higher amount of capitalized cultural costs carried at the beginning of fiscal year 2019 and the related amortization of such costs during the first quarter of fiscal year 2019 compared to the same period in fiscal year 2018.</w:t>
      </w:r>
    </w:p>
    <w:p>
      <w:pPr>
        <w:spacing w:after="0" w:line="186"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Income taxes receivable balance was $0.4 million at January 31, 2019 and October 31, 2018. Income taxes receivable balance was $0.6 million at January 31, 2018 and October 31, 2017.</w:t>
      </w:r>
    </w:p>
    <w:p>
      <w:pPr>
        <w:spacing w:after="0" w:line="170" w:lineRule="exact"/>
        <w:rPr>
          <w:rFonts w:ascii="Arial" w:cs="Arial" w:eastAsia="Arial" w:hAnsi="Arial"/>
          <w:sz w:val="18"/>
          <w:szCs w:val="18"/>
          <w:color w:val="auto"/>
        </w:rPr>
      </w:pPr>
    </w:p>
    <w:p>
      <w:pPr>
        <w:jc w:val="both"/>
        <w:ind w:left="500" w:hanging="330"/>
        <w:spacing w:after="0" w:line="25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Accounts payable and growers payable provided $2.4 million and used $2.9 million of operating cash flows in the three months ended January 31, 2019 and 2018, respectively. The $2.4 million of cash provided in the three months ended January 31, 2019 was primarily the result of $1.9 million increase in accounts payable, $1.0 million increase in growers payable offset by $0.2 million of capital expenditures accrued but not paid at period end and $0.3 million accrued contribution obligation of investment in mutual water company. The $2.9 million of cash used in the three months ended January 31, 2018 was primarily the result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4" w:right="239" w:bottom="1440" w:gutter="0" w:footer="0" w:header="0"/>
        </w:sectPr>
      </w:pPr>
    </w:p>
    <w:bookmarkStart w:id="45" w:name="page46"/>
    <w:bookmarkEnd w:id="45"/>
    <w:p>
      <w:pPr>
        <w:ind w:left="500"/>
        <w:spacing w:after="0" w:line="324" w:lineRule="auto"/>
        <w:rPr>
          <w:sz w:val="20"/>
          <w:szCs w:val="20"/>
          <w:color w:val="auto"/>
        </w:rPr>
      </w:pPr>
      <w:r>
        <w:rPr>
          <w:rFonts w:ascii="Arial" w:cs="Arial" w:eastAsia="Arial" w:hAnsi="Arial"/>
          <w:sz w:val="18"/>
          <w:szCs w:val="18"/>
          <w:color w:val="auto"/>
        </w:rPr>
        <w:t>of $1.3 million decrease in accounts payable, $1.1 million decrease in growers payable, $0.2 million of capital expenditures accrued but not paid at period end and $0.3 million accrued contribution obligation of investment in mutual water company.</w:t>
      </w:r>
    </w:p>
    <w:p>
      <w:pPr>
        <w:spacing w:after="0" w:line="143" w:lineRule="exact"/>
        <w:rPr>
          <w:sz w:val="20"/>
          <w:szCs w:val="20"/>
          <w:color w:val="auto"/>
        </w:rPr>
      </w:pPr>
    </w:p>
    <w:p>
      <w:pPr>
        <w:jc w:val="both"/>
        <w:ind w:left="500" w:hanging="330"/>
        <w:spacing w:after="0" w:line="279"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Accrued liabilities used $3.0 million of operating cash flows in the three months ended January 31, 2019 compared to $1.1 million of operating cash flows used during the same period in fiscal year 2018. The operating cash used in the three months ended January 31, 2019 was primarily due to payments for incentive compensation, property taxes and lemon suppliers. The operating cash flows used in the three months ended January 31, 2018 was primarily comprised of payments for incentive compensation, property taxes and lease expense.</w:t>
      </w:r>
    </w:p>
    <w:p>
      <w:pPr>
        <w:spacing w:after="0" w:line="171" w:lineRule="exact"/>
        <w:rPr>
          <w:rFonts w:ascii="Arial" w:cs="Arial" w:eastAsia="Arial" w:hAnsi="Arial"/>
          <w:sz w:val="17"/>
          <w:szCs w:val="17"/>
          <w:color w:val="auto"/>
        </w:rPr>
      </w:pPr>
    </w:p>
    <w:p>
      <w:pPr>
        <w:jc w:val="both"/>
        <w:ind w:left="500" w:hanging="330"/>
        <w:spacing w:after="0" w:line="286"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 long-term liabilities operating cash flows in the three months ended January 31, 2019 represented $0.1 million of non-cash pension expense offset by $0.2 million of pension contributions for the period. Other long-term liabilities operating cash flows in the three months ended January 31, 2018 represented $0.2 million of non-cash pension expense offset by $0.2 million of pension contributions for the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January 31, 2019, net cash used in investing activities was $9.8 million compared to net cash used in investing activities of $4.0 million during the same period in fiscal year 2018. Net cash used in investing activities was primarily comprised of capital expenditures, an agriculture property acquisition and investments.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 expenditures were $5.1 million in the three months ended January 31, 2019, comprised of $4.6 million for property, plant and equipment primarily related to orchard and vineyard development and the purchase of a photovoltaic solar array and $0.3 million for real estate development projects. Additionally, in the three months ended January 31, 2019, we purchased an agriculture property for $0.4 million and contributed $4.0 million to the Joint Venture for the development of our East Area I real estate development project.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Capital expenditures were $2.0 million in the three months ended January 31, 2018, comprised of $1.7 million for property, plant and equipment primarily related to orchard and vineyard development and $0.3 million for real estate development projects. Additionally, in the three months ended January 31, 2018, we contributed $3.5 million to the Joint Venture for the development of our East Area I real estate development project and received combined net proceeds of $1.5 million from the sale of the commercial portion of Sevilla and the sale of Centennial Square ("Centennial").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January 31, 2019, net cash provided by financing activities was $14.9 million compared to net cash provided by financing activities of $9.1 million during the same period in fiscal year 2018.</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$14.9 million of cash provided by financing activities during the three months ended January 31, 2019 was primarily comprised of net borrowings of long-term debt in the amount $16.7 million partially offset by common and preferred dividends, in aggregate, of $1.5 million. The $9.1 million of net cash provided by financing activities in the three months ended January 31, 2018 was primarily comprised of net borrowings of long-term debt in the amount of $10.5 million partially offset by common and preferred dividends, in aggregate, of $1.0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Affecting Liquidity and Capital Resources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20, 2017, we entered into a Master Loan Agreement (the “Loan Agreement”) with Farm Credit West, FLCA (“Farm Credit West”) which includes a Revolving Credit Supplement and a Non-Revolving Credit Supplement (the “Supplements”). Proceeds from the Supplements were used to pay down all the remaining outstanding indebtedness under the revolving credit facility we had with Rabobank, N.A. On January 29, 2018, we amended the Revolving Credit Supplement to increase the borrowing capacity from $60.0 million to $75.0 million. The Supplements provide aggregate borrowing capacity of $115.0 million, comprised of $75.0 million under the Revolving Credit Supplement and $40.0 million under the Non-Revolving Credit Supplement. In May 2018, we locked the interest rate on the Non-Revolving Credit Supplement at 4.77%, effective July 1, 2018.</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interest rate for any amount outstanding under the Supplements is based on the one-month London Interbank Offered Rate (“LIBOR”) rate plus an applicable margin, which is subject to adjustment on a monthly basis. The applicable margin ranges from 1.60% to 2.35% depending on the ratio of current assets plus the remaining available commitment divided by current liabilities. On July 1, 2018, and on each one-year anniversary thereafter, we have the option to convert the interest rate in use under each Supplement from the preceding LIBOR-based calculation to a variable interest rate, or the reverse, as applicable. Any amounts outstanding under the Supplements are due and payable in full on July 1, 2022.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95" w:right="239" w:bottom="1440" w:gutter="0" w:footer="0" w:header="0"/>
        </w:sectPr>
      </w:pPr>
    </w:p>
    <w:bookmarkStart w:id="46" w:name="page47"/>
    <w:bookmarkEnd w:id="46"/>
    <w:p>
      <w:pPr>
        <w:jc w:val="both"/>
        <w:ind w:firstLine="58"/>
        <w:spacing w:after="0" w:line="255" w:lineRule="auto"/>
        <w:rPr>
          <w:sz w:val="20"/>
          <w:szCs w:val="20"/>
          <w:color w:val="auto"/>
        </w:rPr>
      </w:pPr>
      <w:r>
        <w:rPr>
          <w:rFonts w:ascii="Arial" w:cs="Arial" w:eastAsia="Arial" w:hAnsi="Arial"/>
          <w:sz w:val="18"/>
          <w:szCs w:val="18"/>
          <w:color w:val="auto"/>
        </w:rPr>
        <w:t>All indebtedness under the Loan Agreement, including any indebtedness under the Supplements, is secured by a first lien on certain of our agricultural properties in Tulare and Ventura counties in California and certain of our building fixtures and improvements and investments in mutual water companies associated with the pledged agricultural properties. The Loan Agreement includes customary default provisions that provide that should an event of default occur, Farm Credit West, at its option, may declare all or any portion of the indebtedness under the Loan Agreement to be immediately due and payable without demand, notice of non-payment, protest or prior recourse to collateral, and terminate or suspend our right to draw or request funds on any loan or line of credit.</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Loan Agreement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covenant that we will maintain a debt service coverage ratio greater than 1.25:1.0 measured annually at October 31, with which we were in compliance at October 31, 2018.</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finance our working capital and other liquidity requirements primarily through cash from operations and our Farm Credit West Credit Facility. In addition, we have the Farm Credit West Term Loans, the Wells Fargo term loan, the Banco de Chile term loan and a note payable to the sellers of a land parcel. Additional information regarding the Farm Credit West Credit Facility, the Farm Credit West Term Loans, the Wells Fargo term loan, the Banco de Chile term loan and the note payable can be found in the notes to consolidated financial statements included in this Quarterly Report on Form 10-Q.</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remainder of fiscal year 2019. In addition, we have the ability to control a portion of our investing cash flows to the extent necessary based on our liquidity demands.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Farm Credit West Credit Facility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January 31, 2019, our outstanding borrowings under the Farm Credit West Credit Facility were $68.7 million and we had $46.3 million of availability. The Farm Credit West revolving line of credit balance of $28.7 million currently bears interest at a variable rate equal to the one-month LIBOR plus 1.85%. The interest rate resets on the first of each month and was 4.36% at January 31, 2019. We have the ability to prepay any amounts outstanding under the Farm Credit West revolving line of credit without penalty. The line of credit provides for maximum borrowings of $115.0 million and the borrowing capacity based on collateral value was $115.0 million at January 31, 2019.</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the option of fixing the interest rate under the Farm Credit West Credit Facility on any portion of outstanding borrowings using interest rate swaps. Effective July 2013, we fixed the interest rate at 4.30% utilizing an interest rate swap on $40.0 million of the Rabobank Credit Facility. In connection with the paydown of the Rabobank debt noted above, on June 20, 2017, we entered into a novation agreement with Rabobank International, Utrecht and CoBank, ACB (“CoBank”). The agreement provided for the prior interest rate swap agreement with Rabobank to be in place with CoBank. Additional information regarding the interest rate swap can be found in the notes to consolidated financial statements included in this Quarterly Report on Form 10-Q. This interest rate swap expired June 30,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Farm Credit West Term Loans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January 31, 2019, we had an aggregate of approximately $19.4 million outstanding under Farm Credit West Term Loans, which are further discussed here:</w:t>
      </w:r>
    </w:p>
    <w:p>
      <w:pPr>
        <w:spacing w:after="0" w:line="170" w:lineRule="exact"/>
        <w:rPr>
          <w:sz w:val="20"/>
          <w:szCs w:val="20"/>
          <w:color w:val="auto"/>
        </w:rPr>
      </w:pPr>
    </w:p>
    <w:p>
      <w:pPr>
        <w:jc w:val="both"/>
        <w:ind w:left="500" w:hanging="330"/>
        <w:spacing w:after="0" w:line="257" w:lineRule="auto"/>
        <w:tabs>
          <w:tab w:leader="none" w:pos="50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 Loan Maturing November 2022. </w:t>
      </w:r>
      <w:r>
        <w:rPr>
          <w:rFonts w:ascii="Arial" w:cs="Arial" w:eastAsia="Arial" w:hAnsi="Arial"/>
          <w:sz w:val="18"/>
          <w:szCs w:val="18"/>
          <w:color w:val="auto"/>
        </w:rPr>
        <w:t>As of January 31, 2019, we had $2.5 million outstanding under the Farm Credit West Term Loan that matures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2022. This term loan bears interest at a variable rate equal to an internally calculated rate based on Farm Credit West’s internal monthly operations and their cost of funds and generally follows the changes in the 90-day treasury rates in increments divisible by 0.25% and is payable in quarterly installments through November 2022. The interest rate resets monthly and was 4.95% at January 31, 2019. This term loan is secured by certain of our agricultural properties.</w:t>
      </w:r>
    </w:p>
    <w:p>
      <w:pPr>
        <w:spacing w:after="0" w:line="188" w:lineRule="exact"/>
        <w:rPr>
          <w:rFonts w:ascii="Arial" w:cs="Arial" w:eastAsia="Arial" w:hAnsi="Arial"/>
          <w:sz w:val="18"/>
          <w:szCs w:val="18"/>
          <w:i w:val="1"/>
          <w:iCs w:val="1"/>
          <w:color w:val="auto"/>
        </w:rPr>
      </w:pPr>
    </w:p>
    <w:p>
      <w:pPr>
        <w:jc w:val="both"/>
        <w:ind w:left="500" w:hanging="330"/>
        <w:spacing w:after="0" w:line="257" w:lineRule="auto"/>
        <w:tabs>
          <w:tab w:leader="none" w:pos="50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 Loan Maturing October 2035. </w:t>
      </w:r>
      <w:r>
        <w:rPr>
          <w:rFonts w:ascii="Arial" w:cs="Arial" w:eastAsia="Arial" w:hAnsi="Arial"/>
          <w:sz w:val="18"/>
          <w:szCs w:val="18"/>
          <w:color w:val="auto"/>
        </w:rPr>
        <w:t>As of January 31, 2019, Windfall had $1.1 million outstanding under the Farm Credit West Term Loan that</w:t>
      </w:r>
      <w:r>
        <w:rPr>
          <w:rFonts w:ascii="Arial" w:cs="Arial" w:eastAsia="Arial" w:hAnsi="Arial"/>
          <w:sz w:val="18"/>
          <w:szCs w:val="18"/>
          <w:i w:val="1"/>
          <w:iCs w:val="1"/>
          <w:color w:val="auto"/>
        </w:rPr>
        <w:t xml:space="preserve"> </w:t>
      </w:r>
      <w:r>
        <w:rPr>
          <w:rFonts w:ascii="Arial" w:cs="Arial" w:eastAsia="Arial" w:hAnsi="Arial"/>
          <w:sz w:val="18"/>
          <w:szCs w:val="18"/>
          <w:color w:val="auto"/>
        </w:rPr>
        <w:t>matures in October 2035. This term loan bears interest at a variable rate equal to an internally calculated rate based on Farm Credit West’s internal monthly operations and their cost of funds and generally follows the changes in the 90-day treasury rates in increments divisible by 0.25% and is payable in monthly installments through October 2035. The interest rate resets monthly and was 4.95% at January 31, 2019. This term loan is secured by the Windfall Farms property.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8" w:right="239" w:bottom="1440" w:gutter="0" w:footer="0" w:header="0"/>
        </w:sectPr>
      </w:pPr>
    </w:p>
    <w:bookmarkStart w:id="47" w:name="page48"/>
    <w:bookmarkEnd w:id="47"/>
    <w:p>
      <w:pPr>
        <w:jc w:val="both"/>
        <w:ind w:left="500" w:hanging="330"/>
        <w:spacing w:after="0" w:line="264" w:lineRule="auto"/>
        <w:tabs>
          <w:tab w:leader="none" w:pos="50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 Loan Maturing March 2036. </w:t>
      </w:r>
      <w:r>
        <w:rPr>
          <w:rFonts w:ascii="Arial" w:cs="Arial" w:eastAsia="Arial" w:hAnsi="Arial"/>
          <w:sz w:val="18"/>
          <w:szCs w:val="18"/>
          <w:color w:val="auto"/>
        </w:rPr>
        <w:t>As of January 31, 2019, we had $9.1 million outstanding under the Farm Credit West Term Loan that matures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2036. This loan bears interest at a fixed rate of 4.70% and is payable in monthly installments through March 2036. This term loan is secured by certain of our agricultural properties.</w:t>
      </w:r>
    </w:p>
    <w:p>
      <w:pPr>
        <w:spacing w:after="0" w:line="181" w:lineRule="exact"/>
        <w:rPr>
          <w:rFonts w:ascii="Arial" w:cs="Arial" w:eastAsia="Arial" w:hAnsi="Arial"/>
          <w:sz w:val="18"/>
          <w:szCs w:val="18"/>
          <w:i w:val="1"/>
          <w:iCs w:val="1"/>
          <w:color w:val="auto"/>
        </w:rPr>
      </w:pPr>
    </w:p>
    <w:p>
      <w:pPr>
        <w:jc w:val="both"/>
        <w:ind w:left="500" w:hanging="330"/>
        <w:spacing w:after="0" w:line="257" w:lineRule="auto"/>
        <w:tabs>
          <w:tab w:leader="none" w:pos="50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 Loan Maturing March 2036. </w:t>
      </w:r>
      <w:r>
        <w:rPr>
          <w:rFonts w:ascii="Arial" w:cs="Arial" w:eastAsia="Arial" w:hAnsi="Arial"/>
          <w:sz w:val="18"/>
          <w:szCs w:val="18"/>
          <w:color w:val="auto"/>
        </w:rPr>
        <w:t>As of January 31, 2019, we had $6.7 million outstanding under the Farm Credit West Term Loan that matures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2036. This loan bears interest at a fixed rate of 3.62% until March 2021, becoming variable for the remainder of the loan at a variable rate equal to an internally calculated rate based on Farm Credit West’s internal monthly operations and their cost of funds and generally follows the changes in the 90-day treasury rates in increments divisible by 0.25%. This term loan is payable in monthly installments through March 2036 and is secured by certain of our agricultural properties.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Farm Credit West Term Loans contain various conditions, covenants and requirements with which our Company and Windfall must comply. In addition, our Company and Windfall are subject to limitations on, among other things, selling, abandoning or ceasing business operations; merging or consolidating with a third party; disposing of a substantial portion of assets by sale, transfer, gifts or lease except for inventory sales in the ordinary course of business; obtaining credit or loans from other lenders other than trade credit customary in the business; becoming a guarantor or surety on or otherwise liable for the debts or obligations of a third party; and mortgaging, pledging, leasing for over a year, or otherwise making or allowing the filing of a lien on any collateral.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Wells Fargo Term Loan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January 31, 2019, we had $6.0 million outstanding under the Wells Fargo term loan. This term loan bears interest at a fixed rate of 3.58% and is payable in monthly installments through January 2023. The loan is secured by certain equipment associated with our new lemon packing facilities. The loan contains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We are also subject to a covenant that our Company will maintain a debt service coverage ratio, as defined in the loan agreement, of less than 1.25 to 1.0 measured annually at October 31, with which we were in compliance at October 31,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Banco de Chile Term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the acquisition of PDA in February 2017, we assumed a $1.7 million term loan with Banco de Chile that matures in January 2025. This term loan bears interest at a fixed rate of 6.48% and is payable in eight annual installments which began in January 2018. This loan is unsecured and contains certain pre-payment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Payable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2018, we exercised an option to purchase a 7-acre parcel adjacent to our East Area II real estate development project. In connection with this purchase, we issued a note payable for $1.4 million secured by first deed of trust, payable to the sellers. The note is due in February 2023, with interest-only, monthly payments at interest rates ranging from 5.0% to 7.0% and was 5.0% at January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2018, we completed the sale of an aggregate of 3,136,362 shares of our common stock, at a price of $22.00 per share, to a limited number of institutional and other investors in a registered offering under the shelf registration statement. The offering represented 18% of our outstanding common stock on an after-issued basis as of June 25, 2018. Upon completion of the offering and issuance of common stock, we had 17,669,314 shares of common stock outstanding. The net proceeds from the sale of shares, after deducting underwriting discounts and our estimated expenses related to the offering, were approximately $64.1 million. In June and July 2018, we used the offering proceeds to pay down debt, purchase the San Pablo ranch and purchase Oxnard Lemon's packinghouse, related land and certain other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enter into interest rate swap agreements to manage the risks and costs associated with our financing activities. Additional information regarding interest rate swaps that we have entered into historically can be found in the notes to the unaudited consolidated financial statements included elsewhere in this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debt bears interest at fixed and variable rates, ranging from 3.58% to 6.48% at January 31, 2019.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8" w:right="239"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January 2018, the Joint Venture entered into a $45.0 million unsecured Line of Credit Loan Agreement and Promissory Note (the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 the Loan without penalty. In February 2018, the obligations under the Loan were guaranteed by certain principals from Lewis and by the Company. The Joint Venture recorded an $45.0 million outstanding loan balance at January 31, 2019 related to this Loan.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the cash flows from our agribusiness and rental operations business segments as well as available borrowing capacity from our existing credit facilities will be sufficient to satisfy our future capital expenditure, debt service, working capital and other contractual obligations for the remainder of fiscal year 2019. In addition, we have the ability to control the timing of a portion of our investing cash flows to the extent necessary based on our liquidity demands.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and Variable Rate Debt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Details of amounts included in long-term debt can be found above and in the Notes to Consolidated Financial Statements included in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1997, in connection with the acquisition of Ronald Michaelis Ranches, Inc., we issued 30,000 shares of Series B Convertible Preferred Stock at $100 par value (the “Series B Stock”), of which 14,790 shares are currently outstanding. The holders of the Series B Stock are entitled to receive cumulative cash dividends at an annual rate of 8.75% of par value. Such dividends are payable quarterly on the first day of January, April, July and October in each year commencing July 1, 1997 and total $0.1 million annually.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March and April 2014, we issued, in aggregate, 9,300 shares of Series B-2 Convertible Preferred Stock at $100 par value (the “Series B-2 Preferred Stock”). The holders of the Series B-2 Preferred Stock are entitled to receive cumulative cash dividends at an annual rate of 4% of the liquidation value of $1,000 per share. Such dividends are payable quarterly on the first day of January, April, July and October in each year commencing July 1, 2014 and total $0.4 million annually.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 noncontributory, defined benefit, single employer pension plan (the “Plan”), which provides retirement benefits for all eligible employees of the Company. Effective June 2004, the Company froze the Plan and no additional benefits accrued to participants subsequent to that date. We may make discretionary contributions to the Plan and we may be required to make contributions to adhere to applicable regulatory funding provisions, based in part on the Plan’s asset valuations and underlying actuarial assumptions. We made funding contributions of $0.6 million, $0.7 million and $0.5 million in fiscal years 2018, 2017 and 2016, respectively and we plan to contribute approximately $0.6 million to the Plan in fiscal year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numerous operating lease commitments with remaining terms ranging from less than one year to ten years. In fiscal year 2008, we installed a one mega-watt photovoltaic solar array on one of our agricultural properties located in Ventura County that produces a significant portion of the power to run our lemon packinghouse. The construction of this array was financed by Farm Credit Leasing and we have a long-term lease with Farm Credit Leasing for this array. Annual payments for this lease were $0.5 million, the operating lease agreement terminated and the solar generator was purchased in fiscal year 2018 for $1.1 million. In fiscal year 2009, we entered into a similar transaction with Farm Credit Leasing for a second photovoltaic array at one of our agricultural properties located in the San Joaquin Valley to supply a significant portion of the power to operate four deep water well pumps located on our property. Annual lease payments for this facility ranged from $0.3 million to $0.8 million: the operating lease agreement terminated and the solar array was purchased in the first quarter of fiscal year 2019 for $1.3 million.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lease approximately 80 acres of lemons in Lindsay, California at a base rent of $500 per acre plus 50% of the operating profit of the leased acreage as defined in the lease. The lease expires in December 2021 and includes four five-year renewal options. Estimated aggregate lease expense is approximately $0.1 million per year.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 2013, we entered into a lease agreement with Cadiz, Inc. (“Cadiz”) to develop new lemon orchards on Cadiz’s agricultural property in eastern San Bernardino County, California (the “Cadiz Ranch”). Under the terms of the lease agreement, we have the right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8" w:right="239" w:bottom="1440" w:gutter="0" w:footer="0" w:header="0"/>
        </w:sectPr>
      </w:pPr>
    </w:p>
    <w:bookmarkStart w:id="49" w:name="page50"/>
    <w:bookmarkEnd w:id="49"/>
    <w:p>
      <w:pPr>
        <w:jc w:val="both"/>
        <w:spacing w:after="0" w:line="276" w:lineRule="auto"/>
        <w:rPr>
          <w:sz w:val="20"/>
          <w:szCs w:val="20"/>
          <w:color w:val="auto"/>
        </w:rPr>
      </w:pPr>
      <w:r>
        <w:rPr>
          <w:rFonts w:ascii="Arial" w:cs="Arial" w:eastAsia="Arial" w:hAnsi="Arial"/>
          <w:sz w:val="17"/>
          <w:szCs w:val="17"/>
          <w:color w:val="auto"/>
        </w:rPr>
        <w:t>to lease and plant up to 1,280 acres of lemons over the next five years at the Cadiz Ranch operations in the Cadiz Valley and have leased 320 acres initially, subject to a mutually agreed upon planting schedule. The lease agreement provides options to plant up to 960 additional acres (320 acres in Option 1 and 640 acres in Option 2) by 2019. The annual rental payment includes a base rent of $200 per planted acre and a lease payment equal to 20% of net cash flow from the harvested crops grown on Cadiz property. Pursuant to the terms of the lease agreement, the annual rental payment will not exceed a total of $1,200 per acre. We incurred approximately $0.1 million of lease expense in fiscal years 2018, 2017 and 2016, respectively.</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3, 2015, we entered into a Modification of Lease Agreement (the “Amendment”) with Cadiz. The Amendment, among other things, increased by 200 acres the amount of property leased by our Company under the lease agreement dated July 1, 2013. In connection with the Amendment, we paid a total of $1.2 million to acquire existing lemon trees and irrigation systems from Cadiz and a Cadiz tenant. In February 2016, Cadiz assigned this lease to Fenner Valley Farms, LLC, a subsidiary of Water Asset Management, LLC (“WAM”). An entity affiliated with WAM is the holder of 9,300 shares of our Series B-2 Preferred Stock.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lease machinery and equipment for our packing operations and other land for our agricultural operations under leases with annual lease commitments that are individually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Development Activities, Capital Expenditures and Related Capital Resources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10, 2015 (the “Transaction Date”), we entered into the Joint Venture with Lewis for the residential development of our East Area I real estate development project. To consummate the transaction, we formed Limoneira Lewis Community Builders, LLC (the "LLC" or “Joint Venture”) as the development entity, contributed our East Area I property to the Joint Venture and sold a 50% interest in the Joint Venture to Lewis for $20.0 million, comprised of a $2.0 million deposit received in September 2015 and $18.0 million received on the Transaction Date. We received net cash of approximately $18.8 million after transaction costs of approximately $1.2 million, which were expensed in the first quarter of fiscal year 2016. In addition, on the Transaction Date, we incurred a Success Fee with Parkstone Companies, Inc., in the amount of $2.1 million, which was capitalized as a component of our investment in the Joint Venture.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Joint Venture agreement provides that Lewis will serve as the manager of the Joint Venture with the right to manage, control and conduct its day-to-day business and development activities. Certain major decisions, which are enumerated in the Joint Venture agreement, require approval by an executive committee comprised of two representatives appointed by Lewis and two representatives appointed by Limoneira.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Joint Venture agreement, the Joint Venture will own, develop, subdivide, entitle, maintain, improve, hold for investment, market and dispose of the Joint Venture’s property in accordance with the business plan and budget approved by the executive committee.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on the Transaction Date, the Joint Venture and Limoneira entered into a lease agreement (the "Lease Agreement"), pursuant to which the Joint Venture would lease certain of the contributed East Area I property back to Limoneira for continuation of agricultural operations, and certain other permitted uses, on the property until the Joint Venture required the property for development. The Lease Agreement was set to terminate in stages corresponding to the Joint Venture's development of the property pursuant to a phased master development plan. Limoneira terminated this Lease Agreement pursuant to the terms therein during the first quarter of fiscal year 2019.</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Limoneira and the Joint Venture also entered into a Retained Property Development Agreement on the Transaction Date (the "Retained Property Agreement"). Under the terms of the Retained Property Agreement, the Joint Venture will transfer certain contributed East Area I property, which is entitled for commercial development, back to Limoneira (the "Retained Property") and arrange for the design and construction of certain improvements to the Retained Property, subject to certain reimbursements by Limoneira. In August 2018, the Retained Property was transferred back to Limoneira.</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to receive approximately $100.0 million from the Joint Venture over the estimated 7 to 10-year life of the project including $20.0 million received on the consummation of the Joint Venture. The Joint Venture partners will share in capital contributions to fund project costs until project loan proceeds and or revenues are sufficient to fund the project. These funding requirements are currently estimated to total $15.0 to $20.0 million for each Joint Venture partner in the first three to four years of the project. We funded $4.0 million in the first quarter of fiscal year 2019, $3.5 million in fiscal year 2018, $7.5 million in fiscal year 2017 and $2.3 million in fiscal year 2016.</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the Joint Venture entered into the $45.0 million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 the Loan without penalty. In February 2018, the obligations under the Loan were guaranteed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8" w:right="239" w:bottom="1440" w:gutter="0" w:footer="0" w:header="0"/>
        </w:sectPr>
      </w:pPr>
    </w:p>
    <w:bookmarkStart w:id="50" w:name="page51"/>
    <w:bookmarkEnd w:id="50"/>
    <w:p>
      <w:pPr>
        <w:jc w:val="both"/>
        <w:ind w:right="20"/>
        <w:spacing w:after="0" w:line="277" w:lineRule="auto"/>
        <w:rPr>
          <w:sz w:val="20"/>
          <w:szCs w:val="20"/>
          <w:color w:val="auto"/>
        </w:rPr>
      </w:pPr>
      <w:r>
        <w:rPr>
          <w:rFonts w:ascii="Arial" w:cs="Arial" w:eastAsia="Arial" w:hAnsi="Arial"/>
          <w:sz w:val="18"/>
          <w:szCs w:val="18"/>
          <w:color w:val="auto"/>
        </w:rPr>
        <w:t>by certain principals from Lewis and by the Company. The Joint Venture recorded a $45.0 million outstanding loan balance at January 31, 2019 related to this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above and in Note 8 – Real Estate Development and Note 9 – Equity Investments in the Notes to Consolidated Financial Statements included in our fiscal year 2018 Annual Report on Form 10-K, we have investments in joint ventures and partnerships that are accounted for using the equity method of accounting.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preparation of our consolidated financial statements in accordance with GAAP requires us to develop critical accounting policies and make certain estimates and judgments that may affect the reported amounts of assets, liabilities, revenues and expenses. We base our estimates and judgments on historical experience, available relevant data and other information that we believe to be reasonable under the circumstances. Actual results may materially differ from these estimates under different assumptions or conditions as new or additional information become available in future periods. We believe the following critical accounting policies reflect our more significant estimates and judgments used in the preparation of our consolidated financial statements.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 PDA and San Pablo’s functional currency is the Chilean Peso. Our balance sheets are translated to U.S. dollars at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rates in effect at the balance sheet dates and their income statements are translated at average exchange rates during the reporting period. The resulting foreign currency translation adjustments are recorded as a separate component of accumulated other comprehensive income.</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On November 1, 2018, we adopted</w:t>
      </w:r>
      <w:r>
        <w:rPr>
          <w:rFonts w:ascii="Arial" w:cs="Arial" w:eastAsia="Arial" w:hAnsi="Arial"/>
          <w:sz w:val="17"/>
          <w:szCs w:val="17"/>
          <w:i w:val="1"/>
          <w:iCs w:val="1"/>
          <w:color w:val="auto"/>
        </w:rPr>
        <w:t xml:space="preserve"> FASB ASU 2014-09, Revenue from Contracts with Customers (Topic 606), </w:t>
      </w:r>
      <w:r>
        <w:rPr>
          <w:rFonts w:ascii="Arial" w:cs="Arial" w:eastAsia="Arial" w:hAnsi="Arial"/>
          <w:sz w:val="17"/>
          <w:szCs w:val="17"/>
          <w:color w:val="auto"/>
        </w:rPr>
        <w:t>that amends the</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for the recognition of revenue from contracts with customers to transfer goods and services by using the modified-retrospective method applied to those contracts that were not completed as of November 1, 2018. The results for the reporting period beginning after November 1, 2018 are presented in accordance with the new standard. Comparative information has not been restated and the results for the reporting periods before November 1, 2018 continue to be reported under the accounting standards and policies in effect for those periods. See Note 2 - Summary of Significant Accounting Policies, of the notes to the consolidated financial statements in our Annual Report on Form 10-K for the year ended October 31, 2018.</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determine the appropriate method by which we recognize revenue by analyzing the nature of the products or services being provided as well as the terms and conditions of contracts or arrangements entered into with our customers. We account for a contract when it has approval and commitment from both parties, the rights of the parties are identified, payment terms are identified, the contract has commercial substance and collectability of consideration is probable. A contracts transaction price is allocated to each distinct good or service (i.e., performance obligation) identified in the contract and each performance obligation is valued based on its estimated relative standalone selling price.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the majority of our revenue at a point in time when it satisfies a performance obligation and transfers control of the product to the respective customer. The amount of revenue that is recognized is based on the transaction price, which represents the invoiced amount and includes estimates of variable consideration such as allowances for estimated customer discounts or concessions, where applicable. The amount of variable consideration included in the transaction price may be constrained and is included only to the extent that it is probable that a significant reversal in the amount of the cumulative revenue recognized under the contract will not occur in a future period.</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Upon adoption, we changed the accounting of certain brokered fruit sales in which we obtain physical possession and control of the fruit prior to delivery to the end customer. Under previous guidance, we were considered an agent and recorded revenues for these types of brokered fruit sales and the costs of such fruit on a net basis in its consolidated statement of operations. Under the new revenue recognition standard, we are considered a principal in the transaction and revenues are recorded on a gross basis in our consolidated statement of operations with the related cost of such fruit included in agribusiness costs and expenses. This change resulted in agribusiness revenue and agribusiness costs and expenses of $294,000 and $252,000, respectively, during the three months ended January 31, 2019. Had we used the previous revenue recognition guidance, we would have recorded net agribusiness revenue of $42,000. No cumulative adjustment to retained earnings was necessary as there is no net effect of applying the standard. Our accounting policies under the new standard were applied prospectively and are noted above.</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Agribusiness revenue </w:t>
      </w:r>
      <w:r>
        <w:rPr>
          <w:rFonts w:ascii="Arial" w:cs="Arial" w:eastAsia="Arial" w:hAnsi="Arial"/>
          <w:sz w:val="18"/>
          <w:szCs w:val="18"/>
          <w:color w:val="auto"/>
        </w:rPr>
        <w:t>– Revenue from lemon sales is generally recognized at a point in time FOB shipping point, upon the transfer of legal title and when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takes possession of the fruit from the Company’s packinghouse. We have elected to treat any shipping and handling costs incurred after control of the goods has been transferred to the customer as agribusiness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8" w:right="239" w:bottom="1440" w:gutter="0" w:footer="0" w:header="0"/>
        </w:sectPr>
      </w:pPr>
    </w:p>
    <w:bookmarkStart w:id="51" w:name="page52"/>
    <w:bookmarkEnd w:id="51"/>
    <w:p>
      <w:pPr>
        <w:jc w:val="both"/>
        <w:spacing w:after="0" w:line="276" w:lineRule="auto"/>
        <w:rPr>
          <w:sz w:val="20"/>
          <w:szCs w:val="20"/>
          <w:color w:val="auto"/>
        </w:rPr>
      </w:pPr>
      <w:r>
        <w:rPr>
          <w:rFonts w:ascii="Arial" w:cs="Arial" w:eastAsia="Arial" w:hAnsi="Arial"/>
          <w:sz w:val="17"/>
          <w:szCs w:val="17"/>
          <w:color w:val="auto"/>
        </w:rPr>
        <w:t>Our avocados, oranges, specialty citrus and other specialty crops are packed and sold by Calavo and other third-party packinghouses. We deliver all of our avocado production from our orchards to Calavo. These avocados are then packed by Calavo at its packinghouse and sold and distributed under Calavo brands to its customers primarily in the United States and Canada. Our Company’s arrangements with other third-party packinghouses related to its oranges, specialty citrus and other specialty crops are similar to our arrangement with Calavo. Our arrangements with our third-party packinghouses are such that we are the producer and supplier of the product and the third-party packinghouses are our customers.</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Revenue from the sales of certain of our agricultural products is recorded based on estimated proceeds provided by certain of our sales and marketing partners (Calavo and other third-party packinghouses) due to the time between when the product is delivered by us and the closing of the pools for such fruits at the end of each month or harvest period. Calavo and other third-party packinghouses are agricultural cooperatives or function in a similar manner as an agricultural cooperative. We estimate the variable consideration using the most likely amount method, with the most likely amount being the quantities actually shipped extended by the prices reported by Calavo and other third-party packinghouses. Revenue is recognized at time of delivery to the packinghouses relating to fruits that are in pools that have not yet closed at month end if: (a) the related fruits have been delivered to and accepted by Calavo and other third-party packinghouses (i.e., Calavo and other third-party packinghouses obtain control) and (b) sales price information has been provided by Calavo and other third-party packinghouses (based on the marketplace activity for the related fruit) to estimate with reasonable certainty the final selling price for the fruit upon the closing of the pools. In such instances we have the present right to payment and Calavo and other third-party packinghouses have the present right to direct the use of, and obtain substantially all of the remaining benefits from, the delivered fruit. We do not expect that there is a high likelihood that a significant reversal in the amount of cumulative revenue recognized in the early periods of the pool will occur once the final pool prices have been reported by the packinghouses. Historically, the revenue that is recorded based on the sales price information provided to the Company by Calavo and other third-party packinghouses at the time of delivery, have not materially differed from the actual amounts that are paid after the monthly or harvest period pools are closed.</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revenues we recognize related to the fruits sold to the third-party packinghouses are based on the volume and quality of the fruits delivered, the market price for such fruit, less the packinghouses’ charges to pack and market the fruit. Such packinghouse charges include the grading, sizing, packing, cooling, ripening and marketing of the related fruit. We bear inventory risk until product is delivered to the third-party packinghouses at which time control of the product is transferred to the third-party packinghouses and revenue is recognized. Such third-party packinghouse charges are recorded as a reduction of revenue as they are not for distinct services. The identifiable benefit we receive from the third-party packinghouses for packaging and marketing services cannot be sufficiently separated from the third-party packinghouses’ purchase of our products. In addition, we are not able to reasonably estimate the fair value of the benefit received from the third-party packinghouses for such services and as such, these costs are characterized as a reduction of revenue in our consolidated statements of operations.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entered into brokerage arrangements with third-party international packinghouses. In certain of these arrangements, we obtain physical possession and control of the fruit prior to delivery to the end customer, has the exclusive ability to direct the use of, and obtains substantially all of the remaining benefits from the fruit, and is therefore acting as a principal. As such, we record the related revenue and costs of the fruit gross in the consolidated statement of operations. Revenue under these brokered fruit sales was $294,000 for the three months ended January 31, 2019. In other brokerage arrangements, the Company does not take physical possession of the fruit, but acts as an agent and arranges for the transfer directly from the third-party international packinghouses to the end customers. We earn commissions on these brokered fruit sales, which are recorded net and were $66,000 and $23,000 for the three months ended January 31, 2019 and 2018,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Revenue from crop insurance proceeds is recorded when the amount can be reasonably determined and upon establishment of the present right to payment.</w:t>
      </w:r>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Rental Revenue </w:t>
      </w:r>
      <w:r>
        <w:rPr>
          <w:rFonts w:ascii="Arial" w:cs="Arial" w:eastAsia="Arial" w:hAnsi="Arial"/>
          <w:sz w:val="16"/>
          <w:szCs w:val="16"/>
          <w:color w:val="auto"/>
        </w:rPr>
        <w:t>– Minimum rental revenues are generally recognized on a straight-line basis over the respective initial lease term. Contingent rental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are contractually defined as to the percentage of rent received by us and are based on fees collected by the lessee. Such revenues are recognized when actual results, based on collected fees reported by the tenant, are received. Our rental arrangements generally require payment on a monthly or quarterly basis.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Real Estate Development Revenue </w:t>
      </w:r>
      <w:r>
        <w:rPr>
          <w:rFonts w:ascii="Arial" w:cs="Arial" w:eastAsia="Arial" w:hAnsi="Arial"/>
          <w:sz w:val="18"/>
          <w:szCs w:val="18"/>
          <w:color w:val="auto"/>
        </w:rPr>
        <w:t>– We recognize revenue on real estate development projects with customers at a point in time (i.e., the closing) when we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satisfy the single performance obligation and transfer control of such real estate to a buyer. The transaction price, which is the amount of consideration we receive upon delivery of the completed real estate to the buyer, is allocated to this single obligation and is received at closing. Real estate development projects with non-customers are accounted for in accordance with ASC 610-20, </w:t>
      </w:r>
      <w:r>
        <w:rPr>
          <w:rFonts w:ascii="Arial" w:cs="Arial" w:eastAsia="Arial" w:hAnsi="Arial"/>
          <w:sz w:val="18"/>
          <w:szCs w:val="18"/>
          <w:i w:val="1"/>
          <w:iCs w:val="1"/>
          <w:color w:val="auto"/>
        </w:rPr>
        <w:t>Other Income - Gains and Losses from the Derecognition of Nonfinancial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Arial" w:cs="Arial" w:eastAsia="Arial" w:hAnsi="Arial"/>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8" w:right="239" w:bottom="1440" w:gutter="0" w:footer="0" w:header="0"/>
        </w:sectPr>
      </w:pPr>
    </w:p>
    <w:bookmarkStart w:id="52" w:name="page53"/>
    <w:bookmarkEnd w:id="52"/>
    <w:p>
      <w:pPr>
        <w:jc w:val="both"/>
        <w:spacing w:after="0" w:line="291" w:lineRule="auto"/>
        <w:rPr>
          <w:sz w:val="20"/>
          <w:szCs w:val="20"/>
          <w:color w:val="auto"/>
        </w:rPr>
      </w:pPr>
      <w:r>
        <w:rPr>
          <w:rFonts w:ascii="Arial" w:cs="Arial" w:eastAsia="Arial" w:hAnsi="Arial"/>
          <w:sz w:val="16"/>
          <w:szCs w:val="16"/>
          <w:i w:val="1"/>
          <w:iCs w:val="1"/>
          <w:color w:val="auto"/>
        </w:rPr>
        <w:t xml:space="preserve">Real Estate Development Costs </w:t>
      </w:r>
      <w:r>
        <w:rPr>
          <w:rFonts w:ascii="Arial" w:cs="Arial" w:eastAsia="Arial" w:hAnsi="Arial"/>
          <w:sz w:val="16"/>
          <w:szCs w:val="16"/>
          <w:color w:val="auto"/>
        </w:rPr>
        <w:t>– We capitalize the planning, entitlement, construction and development costs associated with our various real estate</w:t>
      </w:r>
      <w:r>
        <w:rPr>
          <w:rFonts w:ascii="Arial" w:cs="Arial" w:eastAsia="Arial" w:hAnsi="Arial"/>
          <w:sz w:val="16"/>
          <w:szCs w:val="16"/>
          <w:i w:val="1"/>
          <w:iCs w:val="1"/>
          <w:color w:val="auto"/>
        </w:rPr>
        <w:t xml:space="preserve"> </w:t>
      </w:r>
      <w:r>
        <w:rPr>
          <w:rFonts w:ascii="Arial" w:cs="Arial" w:eastAsia="Arial" w:hAnsi="Arial"/>
          <w:sz w:val="16"/>
          <w:szCs w:val="16"/>
          <w:color w:val="auto"/>
        </w:rPr>
        <w:t>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 Costs incurred to sell the real estate are evaluated for capitalization in accordance with ASC 340-40, and incremental costs of obtaining a contract and costs to fulfill a contract are capitalized only if the costs relate directly to a specifically identified contract, enhance resources to satisfy performance obligations in the future and are expected to be recovered. For fiscal year 2018, we capitalized approximately $32.7 million of costs related to our real estate projects and expensed approximately $1.7 million of costs.</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Financing and payment </w:t>
      </w:r>
      <w:r>
        <w:rPr>
          <w:rFonts w:ascii="Arial" w:cs="Arial" w:eastAsia="Arial" w:hAnsi="Arial"/>
          <w:sz w:val="16"/>
          <w:szCs w:val="16"/>
          <w:color w:val="auto"/>
        </w:rPr>
        <w:t>– Our payment terms vary by the type and location of our customer and the products or services offered. Payment terms differ by</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and customer but payment is generally required in a term ranging from 30 to 60 days from date of shipment or satisfaction of the performance obligation. We do not provide financing with extended payment terms beyond generally standard commercial payment terms for the applicable industry.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Practical expedients and exemptions </w:t>
      </w:r>
      <w:r>
        <w:rPr>
          <w:rFonts w:ascii="Arial" w:cs="Arial" w:eastAsia="Arial" w:hAnsi="Arial"/>
          <w:sz w:val="18"/>
          <w:szCs w:val="18"/>
          <w:color w:val="auto"/>
        </w:rPr>
        <w:t>– Taxes collected from customers and remitted to government authorities and that are related to the sales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products are excluded from revenues.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do not disclose the value of unsatisfied performance obligations for (i) contracts with original expected lengths of one year or less or (ii) contracts for which we recognize revenue at the amount to which we have the right to invoice for the services performed.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Deferred income tax assets and liabilities are computed annually for differences between the financial statement and income tax bases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Business Combinations and Asset Acquisitions </w:t>
      </w:r>
      <w:r>
        <w:rPr>
          <w:rFonts w:ascii="Arial" w:cs="Arial" w:eastAsia="Arial" w:hAnsi="Arial"/>
          <w:sz w:val="16"/>
          <w:szCs w:val="16"/>
          <w:color w:val="auto"/>
        </w:rPr>
        <w:t>– Business combinations are accounted for under the acquisition method in accordance with ASC 805,</w:t>
      </w:r>
      <w:r>
        <w:rPr>
          <w:rFonts w:ascii="Arial" w:cs="Arial" w:eastAsia="Arial" w:hAnsi="Arial"/>
          <w:sz w:val="16"/>
          <w:szCs w:val="16"/>
          <w:i w:val="1"/>
          <w:iCs w:val="1"/>
          <w:color w:val="auto"/>
        </w:rPr>
        <w:t xml:space="preserve"> Business Combinations</w:t>
      </w:r>
      <w:r>
        <w:rPr>
          <w:rFonts w:ascii="Arial" w:cs="Arial" w:eastAsia="Arial" w:hAnsi="Arial"/>
          <w:sz w:val="16"/>
          <w:szCs w:val="16"/>
          <w:color w:val="auto"/>
        </w:rPr>
        <w:t>. The acquisition method requires identifiable assets acquired and liabilities assumed and any noncontrolling interest in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be recognized and measured at fair value on the acquisition date, which is the date that the acquirer obtains control of the acquired business. The amount by which the fair value of consideration transferred as the purchase price exceeds the net fair value of assets acquired and liabilities assumed is recorded as goodwill. Acquisitions that do not meet the definition of a business under the ASC are accounted for as asset acquisitions. Asset acquisitions are accounted for by allocating the cost of the acquisition to the individual assets acquired and liabilities assumed on a relative fair value basis. Goodwill is not recognized in an asset acquisition with any consideration in excess of net assets acquired allocated to acquired assets on a relative fair value basis. Transaction costs are expensed in a business combination and are considered a component of the cost of the acquisition in an asset acquisition.</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 We use derivative financial instruments for purposes other than trading to manage our exposure to interest rates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to maintain an appropriate mix of fixed and floating-rate debt. Contract terms of our hedge instruments closely mirror those of the hedged item, providing a high degree of risk reduction and correlation. Contracts that are effective at meeting the risk reduction and correlation criteria are recorded using hedge accounting. If a derivative instrument is a hedge, depending on the nature of the hedge, changes in the fair value of the instrument will be either offset against the change in the fair value of the hedged assets, liabilities or firm commitments through earnings or be recognized in other comprehensive income until the hedged item is recognized in earnings. The ineffective portion of an instrument’s change in fair value will be immediately recognized in earnings. Instruments that do not meet the criteria for hedge accounting, or contracts for which we have not elected hedge accounting, are valued at fair value with unrealized gains or losses reported in earnings during the period of change.</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We evaluate our long-lived assets including our real estate development projects for impairment when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the carrying value of these assets may not be recoverable. As a result of various factors, in recent years, we recorded impairment charges of $1.6 million, $0.1 million and zero in fiscal years 2018, 2017 and 2016, respectively.</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Defined Benefit Retirement Plan </w:t>
      </w:r>
      <w:r>
        <w:rPr>
          <w:rFonts w:ascii="Arial" w:cs="Arial" w:eastAsia="Arial" w:hAnsi="Arial"/>
          <w:sz w:val="18"/>
          <w:szCs w:val="18"/>
          <w:color w:val="auto"/>
        </w:rPr>
        <w:t>As discussed in the notes to our consolidated financial statements, we sponsor a defined benefit retirement plan that was</w:t>
      </w:r>
      <w:r>
        <w:rPr>
          <w:rFonts w:ascii="Arial" w:cs="Arial" w:eastAsia="Arial" w:hAnsi="Arial"/>
          <w:sz w:val="18"/>
          <w:szCs w:val="18"/>
          <w:i w:val="1"/>
          <w:iCs w:val="1"/>
          <w:color w:val="auto"/>
        </w:rPr>
        <w:t xml:space="preserve"> </w:t>
      </w:r>
      <w:r>
        <w:rPr>
          <w:rFonts w:ascii="Arial" w:cs="Arial" w:eastAsia="Arial" w:hAnsi="Arial"/>
          <w:sz w:val="18"/>
          <w:szCs w:val="18"/>
          <w:color w:val="auto"/>
        </w:rPr>
        <w:t>frozen in June 2004, and no future benefits accrued to participants subsequent to that time. Ongoing accounting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8" w:right="239" w:bottom="1440" w:gutter="0" w:footer="0" w:header="0"/>
        </w:sectPr>
      </w:pPr>
    </w:p>
    <w:bookmarkStart w:id="53" w:name="page54"/>
    <w:bookmarkEnd w:id="53"/>
    <w:p>
      <w:pPr>
        <w:jc w:val="both"/>
        <w:spacing w:after="0" w:line="290" w:lineRule="auto"/>
        <w:rPr>
          <w:sz w:val="20"/>
          <w:szCs w:val="20"/>
          <w:color w:val="auto"/>
        </w:rPr>
      </w:pPr>
      <w:r>
        <w:rPr>
          <w:rFonts w:ascii="Arial" w:cs="Arial" w:eastAsia="Arial" w:hAnsi="Arial"/>
          <w:sz w:val="16"/>
          <w:szCs w:val="16"/>
          <w:color w:val="auto"/>
        </w:rPr>
        <w:t>for this plan under FASB ASC 715 provides guidance as to, among other things, future estimated pension expense, pension liability and minimum funding requirements. This information is provided to us by third-party actuarial consultants. In developing this data, certain estimates and assumptions are used, including among other things, discount rate, long-term rate of return and mortality tables. During 2018, the Society of Actuaries (“SOA”) released a new mortality improvement scale table, referred to as MP-2018, which is believed to better reflect mortality improvements and is to be used in calculating defined benefit pension obligations. In addition, during fiscal year 2018, the assumed discount rate to measure the pension obligation increased to 4.4%. The Company used the latest mortality tables released by the SOA through October 31, 2018 to measure its pension obligation as of October 31, 2018 and combined with the assumed discount rate and other demographic assumptions, its pension liability decreased by approximately $1.5 million as of October 31, 2018. Further changes in any of these estimates could materially affect the amounts recorded that are related to our defined benefit retirement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Note 2 – "Summary of Significant Accounting Policies" of the notes to consolidated financial statements included in this Quarterly Report on Form 10-Q for information concerning recent accounting pronouncements.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8"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material changes in the disclosures discussed in the section entitled “Quantitative and Qualitative Disclosures about Market Risk” in Part II, Item 7A of our Annual Report on Form 10-K for the fiscal year ended October 31, 2018 as filed with the SEC on January 14,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Disclosure Controls and Procedures. </w:t>
      </w:r>
      <w:r>
        <w:rPr>
          <w:rFonts w:ascii="Arial" w:cs="Arial" w:eastAsia="Arial" w:hAnsi="Arial"/>
          <w:sz w:val="18"/>
          <w:szCs w:val="18"/>
          <w:color w:val="auto"/>
        </w:rPr>
        <w:t>As of January 31, 2019, we carried out an evaluation, under the supervision and with the participation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including our Chief Executive Officer and Chief Financial Officer, of the effectiveness of the design and operation of our disclosure controls and procedures, as such term is defined in Rule 13a-15(e) promulgated under the Securities Exchange Act of 1934, as amended (the "Exchange Act"). Based upon that evaluation, our Chief Executive Officer and Chief Financial Officer concluded that our disclosure controls and procedures were effective as of the end of the period covered by this Quarterly Report on Form 10-Q.</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during the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covered by this Quarterly Report on Form 10-Q or, to our knowledge, in other factors that have materially affected, or are reasonably likely to materially affect, our internal control over financial reporting.</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Limitations on the Effectiveness of Controls. </w:t>
      </w:r>
      <w:r>
        <w:rPr>
          <w:rFonts w:ascii="Arial" w:cs="Arial" w:eastAsia="Arial" w:hAnsi="Arial"/>
          <w:sz w:val="16"/>
          <w:szCs w:val="16"/>
          <w:color w:val="auto"/>
        </w:rPr>
        <w:t>Control systems, no matter how well conceived and operated, are designed to provide a reasonable, but not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from time to time involved in legal proceedings arising in the normal course of business. Other than proceedings incidental to our business, we are not a party to, nor is any of our property the subject of, any material pending legal proceedings and no such proceedings are, to our knowledge, contemplated by governmental authorities.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disclosures discussed in the section entitled “Risk Factors” in Part I, Item 1A of our Annual Report on Form 10-K for the fiscal year ended October 31, 2018, as filed with the SEC on January 14,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year 2019, we purchased shares of our common stock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0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Total Number of Shares Approximate Dollar Value)</w:t>
            </w:r>
          </w:p>
        </w:tc>
      </w:tr>
      <w:tr>
        <w:trPr>
          <w:trHeight w:val="216"/>
        </w:trPr>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of Shares that May Yet Be</w:t>
            </w:r>
          </w:p>
        </w:tc>
      </w:tr>
      <w:tr>
        <w:trPr>
          <w:trHeight w:val="216"/>
        </w:trPr>
        <w:tc>
          <w:tcPr>
            <w:tcW w:w="3660" w:type="dxa"/>
            <w:vAlign w:val="bottom"/>
          </w:tcPr>
          <w:p>
            <w:pPr>
              <w:spacing w:after="0"/>
              <w:rPr>
                <w:sz w:val="18"/>
                <w:szCs w:val="18"/>
                <w:color w:val="auto"/>
              </w:rPr>
            </w:pPr>
          </w:p>
        </w:tc>
        <w:tc>
          <w:tcPr>
            <w:tcW w:w="184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 Number of</w:t>
            </w:r>
          </w:p>
        </w:tc>
        <w:tc>
          <w:tcPr>
            <w:tcW w:w="182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Average Price Paid</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Publicly Announced</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Under the Plans</w:t>
            </w:r>
          </w:p>
        </w:tc>
      </w:tr>
      <w:tr>
        <w:trPr>
          <w:trHeight w:val="234"/>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18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Shares Purchased(1)</w:t>
            </w:r>
          </w:p>
        </w:tc>
        <w:tc>
          <w:tcPr>
            <w:tcW w:w="1820" w:type="dxa"/>
            <w:vAlign w:val="bottom"/>
          </w:tcPr>
          <w:p>
            <w:pPr>
              <w:jc w:val="right"/>
              <w:ind w:right="430"/>
              <w:spacing w:after="0"/>
              <w:rPr>
                <w:sz w:val="20"/>
                <w:szCs w:val="20"/>
                <w:color w:val="auto"/>
              </w:rPr>
            </w:pPr>
            <w:r>
              <w:rPr>
                <w:rFonts w:ascii="Arial" w:cs="Arial" w:eastAsia="Arial" w:hAnsi="Arial"/>
                <w:sz w:val="18"/>
                <w:szCs w:val="18"/>
                <w:b w:val="1"/>
                <w:bCs w:val="1"/>
                <w:color w:val="auto"/>
              </w:rPr>
              <w:t>per Share</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 Programs(2)</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2"/>
              </w:rPr>
              <w:t>or Programs(2)</w:t>
            </w:r>
          </w:p>
        </w:tc>
      </w:tr>
      <w:tr>
        <w:trPr>
          <w:trHeight w:val="27"/>
        </w:trPr>
        <w:tc>
          <w:tcPr>
            <w:tcW w:w="3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1, 2018 - November 30, 2018</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3,822</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w:t>
            </w:r>
          </w:p>
        </w:tc>
        <w:tc>
          <w:tcPr>
            <w:tcW w:w="190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December 1, 2018 - December 31, 2018</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16,297</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18.74</w:t>
            </w:r>
          </w:p>
        </w:tc>
        <w:tc>
          <w:tcPr>
            <w:tcW w:w="1900" w:type="dxa"/>
            <w:vAlign w:val="bottom"/>
          </w:tcPr>
          <w:p>
            <w:pPr>
              <w:ind w:left="1660"/>
              <w:spacing w:after="0"/>
              <w:rPr>
                <w:sz w:val="20"/>
                <w:szCs w:val="20"/>
                <w:color w:val="auto"/>
              </w:rPr>
            </w:pPr>
            <w:r>
              <w:rPr>
                <w:rFonts w:ascii="Arial" w:cs="Arial" w:eastAsia="Arial" w:hAnsi="Arial"/>
                <w:sz w:val="18"/>
                <w:szCs w:val="18"/>
                <w:color w:val="auto"/>
              </w:rPr>
              <w:t>—</w:t>
            </w:r>
          </w:p>
        </w:tc>
        <w:tc>
          <w:tcPr>
            <w:tcW w:w="2200" w:type="dxa"/>
            <w:vAlign w:val="bottom"/>
          </w:tcPr>
          <w:p>
            <w:pPr>
              <w:ind w:left="192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2019 - January 31, 2019</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8"/>
                <w:szCs w:val="18"/>
                <w:color w:val="auto"/>
              </w:rPr>
              <w:t>—</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20,119</w:t>
            </w:r>
          </w:p>
        </w:tc>
        <w:tc>
          <w:tcPr>
            <w:tcW w:w="1820" w:type="dxa"/>
            <w:vAlign w:val="bottom"/>
          </w:tcPr>
          <w:p>
            <w:pPr>
              <w:spacing w:after="0"/>
              <w:rPr>
                <w:sz w:val="20"/>
                <w:szCs w:val="20"/>
                <w:color w:val="auto"/>
              </w:rPr>
            </w:pPr>
          </w:p>
        </w:tc>
        <w:tc>
          <w:tcPr>
            <w:tcW w:w="1900" w:type="dxa"/>
            <w:vAlign w:val="bottom"/>
            <w:tcBorders>
              <w:top w:val="single" w:sz="8" w:color="auto"/>
            </w:tcBorders>
          </w:tcPr>
          <w:p>
            <w:pPr>
              <w:ind w:left="1660"/>
              <w:spacing w:after="0"/>
              <w:rPr>
                <w:sz w:val="20"/>
                <w:szCs w:val="20"/>
                <w:color w:val="auto"/>
              </w:rPr>
            </w:pPr>
            <w:r>
              <w:rPr>
                <w:rFonts w:ascii="Arial" w:cs="Arial" w:eastAsia="Arial" w:hAnsi="Arial"/>
                <w:sz w:val="18"/>
                <w:szCs w:val="18"/>
                <w:b w:val="1"/>
                <w:bCs w:val="1"/>
                <w:color w:val="auto"/>
              </w:rPr>
              <w:t>—</w:t>
            </w:r>
          </w:p>
        </w:tc>
        <w:tc>
          <w:tcPr>
            <w:tcW w:w="2200" w:type="dxa"/>
            <w:vAlign w:val="bottom"/>
            <w:tcBorders>
              <w:top w:val="single" w:sz="8" w:color="auto"/>
            </w:tcBorders>
          </w:tcPr>
          <w:p>
            <w:pPr>
              <w:ind w:left="1920"/>
              <w:spacing w:after="0"/>
              <w:rPr>
                <w:sz w:val="20"/>
                <w:szCs w:val="20"/>
                <w:color w:val="auto"/>
              </w:rPr>
            </w:pPr>
            <w:r>
              <w:rPr>
                <w:rFonts w:ascii="Arial" w:cs="Arial" w:eastAsia="Arial" w:hAnsi="Arial"/>
                <w:sz w:val="18"/>
                <w:szCs w:val="18"/>
                <w:b w:val="1"/>
                <w:bCs w:val="1"/>
                <w:color w:val="auto"/>
              </w:rPr>
              <w:t>—</w:t>
            </w:r>
          </w:p>
        </w:tc>
      </w:tr>
      <w:tr>
        <w:trPr>
          <w:trHeight w:val="243"/>
        </w:trPr>
        <w:tc>
          <w:tcPr>
            <w:tcW w:w="3660" w:type="dxa"/>
            <w:vAlign w:val="bottom"/>
          </w:tcPr>
          <w:p>
            <w:pPr>
              <w:spacing w:after="0"/>
              <w:rPr>
                <w:sz w:val="20"/>
                <w:szCs w:val="20"/>
                <w:color w:val="auto"/>
              </w:rPr>
            </w:pPr>
            <w:r>
              <w:rPr>
                <w:rFonts w:ascii="Arial" w:cs="Arial" w:eastAsia="Arial" w:hAnsi="Arial"/>
                <w:sz w:val="18"/>
                <w:szCs w:val="18"/>
                <w:color w:val="auto"/>
              </w:rPr>
              <w:t>__________________________________</w:t>
            </w:r>
          </w:p>
        </w:tc>
        <w:tc>
          <w:tcPr>
            <w:tcW w:w="18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0" w:type="dxa"/>
            <w:vAlign w:val="bottom"/>
          </w:tcPr>
          <w:p>
            <w:pPr>
              <w:spacing w:after="0"/>
              <w:rPr>
                <w:sz w:val="21"/>
                <w:szCs w:val="21"/>
                <w:color w:val="auto"/>
              </w:rPr>
            </w:pPr>
          </w:p>
        </w:tc>
      </w:tr>
    </w:tbl>
    <w:p>
      <w:pPr>
        <w:ind w:firstLine="8"/>
        <w:spacing w:after="0" w:line="261" w:lineRule="auto"/>
        <w:tabs>
          <w:tab w:leader="none" w:pos="2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Shares were acquired from our employees in accordance with our stock-based compensation plan as a result of share withholdings to pay income tax related to the vesting and distribution of a restricted stock award.</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currently have no Company repurchase program in place.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9860" w:type="dxa"/>
            <w:vAlign w:val="bottom"/>
            <w:gridSpan w:val="13"/>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7"/>
              </w:rPr>
            </w:pPr>
            <w:hyperlink r:id="rId20">
              <w:r>
                <w:rPr>
                  <w:rFonts w:ascii="Arial" w:cs="Arial" w:eastAsia="Arial" w:hAnsi="Arial"/>
                  <w:sz w:val="18"/>
                  <w:szCs w:val="18"/>
                  <w:color w:val="0000FF"/>
                  <w:w w:val="97"/>
                </w:rPr>
                <w:t>Restated Certificate of Incorporation of Limoneira Company, dated July 5, 1990 (Incorporated by reference to exhibit 3.1 to the</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3.1</w:t>
            </w:r>
          </w:p>
        </w:tc>
        <w:tc>
          <w:tcPr>
            <w:tcW w:w="93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Company’s Registration Statement on Form 10, and amendments thereto, declared effective April 13, 2010 (File No. 000-53885))</w:t>
              </w:r>
            </w:hyperlink>
          </w:p>
        </w:tc>
        <w:tc>
          <w:tcPr>
            <w:tcW w:w="46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12"/>
          </w:tcPr>
          <w:p>
            <w:pPr>
              <w:spacing w:after="0"/>
              <w:rPr>
                <w:rFonts w:ascii="Arial" w:cs="Arial" w:eastAsia="Arial" w:hAnsi="Arial"/>
                <w:sz w:val="18"/>
                <w:szCs w:val="18"/>
                <w:color w:val="0000FF"/>
                <w:w w:val="97"/>
              </w:rPr>
            </w:pPr>
            <w:hyperlink r:id="rId21">
              <w:r>
                <w:rPr>
                  <w:rFonts w:ascii="Arial" w:cs="Arial" w:eastAsia="Arial" w:hAnsi="Arial"/>
                  <w:sz w:val="18"/>
                  <w:szCs w:val="18"/>
                  <w:color w:val="0000FF"/>
                  <w:w w:val="97"/>
                </w:rPr>
                <w:t>Certificate of Merger of Limoneira Company and The Samuel Edwards Associates into Limoneira Company, dated October 31,</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6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1990 (Incorporated by reference to exhibit 3.2 to the Company’s Registration Statement on Form 10, and amendments thereto, declared</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3.2</w:t>
            </w:r>
          </w:p>
        </w:tc>
        <w:tc>
          <w:tcPr>
            <w:tcW w:w="9860" w:type="dxa"/>
            <w:vAlign w:val="bottom"/>
            <w:gridSpan w:val="13"/>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effective April 13, 2010 (File No. 000-53885))</w:t>
              </w:r>
            </w:hyperlink>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7"/>
              </w:rPr>
            </w:pPr>
            <w:hyperlink r:id="rId22">
              <w:r>
                <w:rPr>
                  <w:rFonts w:ascii="Arial" w:cs="Arial" w:eastAsia="Arial" w:hAnsi="Arial"/>
                  <w:sz w:val="18"/>
                  <w:szCs w:val="18"/>
                  <w:color w:val="0000FF"/>
                  <w:w w:val="97"/>
                </w:rPr>
                <w:t>Certificate of Merger of McKevett Corporation into Limoneira Company dated December 31, 1994 (Incorporated by reference to</w:t>
              </w:r>
            </w:hyperlink>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exhibit 3.3 to the Company’s Registration Statement on Form 10, and amendments thereto, declared effective April 13, 2010 (File No.</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3.3</w:t>
            </w: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22">
              <w:r>
                <w:rPr>
                  <w:rFonts w:ascii="Arial" w:cs="Arial" w:eastAsia="Arial" w:hAnsi="Arial"/>
                  <w:sz w:val="18"/>
                  <w:szCs w:val="18"/>
                  <w:color w:val="0000FF"/>
                  <w:w w:val="89"/>
                </w:rPr>
                <w:t>000-53885))</w:t>
              </w:r>
            </w:hyperlink>
          </w:p>
        </w:tc>
        <w:tc>
          <w:tcPr>
            <w:tcW w:w="11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12"/>
          </w:tcPr>
          <w:p>
            <w:pPr>
              <w:spacing w:after="0"/>
              <w:rPr>
                <w:rFonts w:ascii="Arial" w:cs="Arial" w:eastAsia="Arial" w:hAnsi="Arial"/>
                <w:sz w:val="18"/>
                <w:szCs w:val="18"/>
                <w:color w:val="0000FF"/>
                <w:w w:val="96"/>
              </w:rPr>
            </w:pPr>
            <w:hyperlink r:id="rId23">
              <w:r>
                <w:rPr>
                  <w:rFonts w:ascii="Arial" w:cs="Arial" w:eastAsia="Arial" w:hAnsi="Arial"/>
                  <w:sz w:val="18"/>
                  <w:szCs w:val="18"/>
                  <w:color w:val="0000FF"/>
                  <w:w w:val="96"/>
                </w:rPr>
                <w:t>Agreement of Merger Between Ronald Michaelis Ranches, Inc. and Limoneira Company, dated June 24, 1997 (Incorporated by</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4"/>
              </w:rPr>
            </w:pPr>
            <w:hyperlink r:id="rId23">
              <w:r>
                <w:rPr>
                  <w:rFonts w:ascii="Arial" w:cs="Arial" w:eastAsia="Arial" w:hAnsi="Arial"/>
                  <w:sz w:val="18"/>
                  <w:szCs w:val="18"/>
                  <w:color w:val="0000FF"/>
                  <w:w w:val="94"/>
                </w:rPr>
                <w:t>reference to exhibit 3.6 to the Company’s Registration Statement on Form 10, and amendments thereto, declared effective April 13,</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3.4</w:t>
            </w:r>
          </w:p>
        </w:tc>
        <w:tc>
          <w:tcPr>
            <w:tcW w:w="98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2010 (File No. 000-53885))</w:t>
              </w:r>
            </w:hyperlink>
          </w:p>
        </w:tc>
        <w:tc>
          <w:tcPr>
            <w:tcW w:w="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tcBorders>
              <w:bottom w:val="single" w:sz="8" w:color="0000FF"/>
            </w:tcBorders>
            <w:gridSpan w:val="13"/>
          </w:tcPr>
          <w:p>
            <w:pPr>
              <w:spacing w:after="0"/>
              <w:rPr>
                <w:rFonts w:ascii="Arial" w:cs="Arial" w:eastAsia="Arial" w:hAnsi="Arial"/>
                <w:sz w:val="18"/>
                <w:szCs w:val="18"/>
                <w:color w:val="0000FF"/>
                <w:w w:val="95"/>
              </w:rPr>
            </w:pPr>
            <w:hyperlink r:id="rId24">
              <w:r>
                <w:rPr>
                  <w:rFonts w:ascii="Arial" w:cs="Arial" w:eastAsia="Arial" w:hAnsi="Arial"/>
                  <w:sz w:val="18"/>
                  <w:szCs w:val="18"/>
                  <w:color w:val="0000FF"/>
                  <w:w w:val="95"/>
                </w:rPr>
                <w:t>Certificate of Amendment of Certificate of Incorporation of Limoneira Company, dated April 22, 2003 (Incorporated by reference to</w:t>
              </w:r>
            </w:hyperlink>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exhibit 3.7 to the Company’s Registration Statement on Form 10, and amendments thereto, declared effective April 13, 2010 (File No.</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3.5</w:t>
            </w: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24">
              <w:r>
                <w:rPr>
                  <w:rFonts w:ascii="Arial" w:cs="Arial" w:eastAsia="Arial" w:hAnsi="Arial"/>
                  <w:sz w:val="18"/>
                  <w:szCs w:val="18"/>
                  <w:color w:val="0000FF"/>
                  <w:w w:val="89"/>
                </w:rPr>
                <w:t>000-53885))</w:t>
              </w:r>
            </w:hyperlink>
          </w:p>
        </w:tc>
        <w:tc>
          <w:tcPr>
            <w:tcW w:w="11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3"/>
              </w:rPr>
            </w:pPr>
            <w:hyperlink r:id="rId25">
              <w:r>
                <w:rPr>
                  <w:rFonts w:ascii="Arial" w:cs="Arial" w:eastAsia="Arial" w:hAnsi="Arial"/>
                  <w:sz w:val="18"/>
                  <w:szCs w:val="18"/>
                  <w:color w:val="0000FF"/>
                  <w:w w:val="93"/>
                </w:rPr>
                <w:t>Certificate of Amendment of Certificate of Incorporation of Limoneira Company, dated March 24, 2010 (Incorporated by reference to</w:t>
              </w:r>
            </w:hyperlink>
          </w:p>
        </w:tc>
      </w:tr>
      <w:tr>
        <w:trPr>
          <w:trHeight w:val="20"/>
        </w:trPr>
        <w:tc>
          <w:tcPr>
            <w:tcW w:w="1140" w:type="dxa"/>
            <w:vAlign w:val="bottom"/>
          </w:tcPr>
          <w:p>
            <w:pPr>
              <w:spacing w:after="0" w:line="20" w:lineRule="exact"/>
              <w:rPr>
                <w:sz w:val="1"/>
                <w:szCs w:val="1"/>
                <w:color w:val="auto"/>
              </w:rPr>
            </w:pPr>
          </w:p>
        </w:tc>
        <w:tc>
          <w:tcPr>
            <w:tcW w:w="4140" w:type="dxa"/>
            <w:vAlign w:val="bottom"/>
            <w:gridSpan w:val="4"/>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exhibit 3.9 to the Company’s Registration Statement on Form 10, and amendments thereto, declared effective April 13, 2010 (File No.</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3.6</w:t>
            </w: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25">
              <w:r>
                <w:rPr>
                  <w:rFonts w:ascii="Arial" w:cs="Arial" w:eastAsia="Arial" w:hAnsi="Arial"/>
                  <w:sz w:val="18"/>
                  <w:szCs w:val="18"/>
                  <w:color w:val="0000FF"/>
                  <w:w w:val="89"/>
                </w:rPr>
                <w:t>000-53885))</w:t>
              </w:r>
            </w:hyperlink>
          </w:p>
        </w:tc>
        <w:tc>
          <w:tcPr>
            <w:tcW w:w="11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3"/>
              </w:rPr>
            </w:pPr>
            <w:hyperlink r:id="rId26">
              <w:r>
                <w:rPr>
                  <w:rFonts w:ascii="Arial" w:cs="Arial" w:eastAsia="Arial" w:hAnsi="Arial"/>
                  <w:sz w:val="18"/>
                  <w:szCs w:val="18"/>
                  <w:color w:val="0000FF"/>
                  <w:w w:val="93"/>
                </w:rPr>
                <w:t>Certificate of Amendment of Certificate of Incorporation of Limoneira Company, dated March 29, 2017 (Incorporated by reference to</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3.7</w:t>
            </w:r>
          </w:p>
        </w:tc>
        <w:tc>
          <w:tcPr>
            <w:tcW w:w="74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exhibit 3.1 to the Company’s Current Report on Form 8-K, filed March 31, 2017 (File No. 001-34755))</w:t>
              </w:r>
            </w:hyperlink>
          </w:p>
        </w:tc>
        <w:tc>
          <w:tcPr>
            <w:tcW w:w="2360" w:type="dxa"/>
            <w:vAlign w:val="bottom"/>
            <w:tcBorders>
              <w:top w:val="single" w:sz="8" w:color="0000FF"/>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12"/>
          </w:tcPr>
          <w:p>
            <w:pPr>
              <w:spacing w:after="0"/>
              <w:rPr>
                <w:rFonts w:ascii="Arial" w:cs="Arial" w:eastAsia="Arial" w:hAnsi="Arial"/>
                <w:sz w:val="18"/>
                <w:szCs w:val="18"/>
                <w:color w:val="0000FF"/>
                <w:w w:val="92"/>
              </w:rPr>
            </w:pPr>
            <w:hyperlink r:id="rId27">
              <w:r>
                <w:rPr>
                  <w:rFonts w:ascii="Arial" w:cs="Arial" w:eastAsia="Arial" w:hAnsi="Arial"/>
                  <w:sz w:val="18"/>
                  <w:szCs w:val="18"/>
                  <w:color w:val="0000FF"/>
                  <w:w w:val="92"/>
                </w:rPr>
                <w:t>Amended and Restated Bylaws of Limoneira Company (Incorporated by reference to exhibit 3.10 to the Company’s Annual Report on</w:t>
              </w:r>
            </w:hyperlink>
          </w:p>
        </w:tc>
        <w:tc>
          <w:tcPr>
            <w:tcW w:w="20" w:type="dxa"/>
            <w:vAlign w:val="bottom"/>
          </w:tcPr>
          <w:p>
            <w:pPr>
              <w:spacing w:after="0"/>
              <w:rPr>
                <w:sz w:val="24"/>
                <w:szCs w:val="24"/>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3.8</w:t>
            </w:r>
          </w:p>
        </w:tc>
        <w:tc>
          <w:tcPr>
            <w:tcW w:w="9860" w:type="dxa"/>
            <w:vAlign w:val="bottom"/>
            <w:gridSpan w:val="13"/>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Form 10-K, filed January 14, 2013 (File No. 001-34755))</w:t>
              </w:r>
            </w:hyperlink>
          </w:p>
        </w:tc>
      </w:tr>
      <w:tr>
        <w:trPr>
          <w:trHeight w:val="20"/>
        </w:trPr>
        <w:tc>
          <w:tcPr>
            <w:tcW w:w="1140" w:type="dxa"/>
            <w:vAlign w:val="bottom"/>
          </w:tcPr>
          <w:p>
            <w:pPr>
              <w:spacing w:after="0" w:line="20" w:lineRule="exact"/>
              <w:rPr>
                <w:sz w:val="1"/>
                <w:szCs w:val="1"/>
                <w:color w:val="auto"/>
              </w:rPr>
            </w:pPr>
          </w:p>
        </w:tc>
        <w:tc>
          <w:tcPr>
            <w:tcW w:w="4140" w:type="dxa"/>
            <w:vAlign w:val="bottom"/>
            <w:gridSpan w:val="4"/>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5"/>
              </w:rPr>
            </w:pPr>
            <w:hyperlink r:id="rId28">
              <w:r>
                <w:rPr>
                  <w:rFonts w:ascii="Arial" w:cs="Arial" w:eastAsia="Arial" w:hAnsi="Arial"/>
                  <w:sz w:val="18"/>
                  <w:szCs w:val="18"/>
                  <w:color w:val="0000FF"/>
                  <w:w w:val="95"/>
                </w:rPr>
                <w:t>Amendment to Amended and Restated Bylaws of Limoneira Company (Incorporated by reference to exhibit 3.1 to the Company’s</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3.8.1</w:t>
            </w:r>
          </w:p>
        </w:tc>
        <w:tc>
          <w:tcPr>
            <w:tcW w:w="98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Current Report on Form 8-K, filed September 25, 2013 (File No. 001-34755))</w:t>
              </w:r>
            </w:hyperlink>
          </w:p>
        </w:tc>
        <w:tc>
          <w:tcPr>
            <w:tcW w:w="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16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5"/>
              </w:rPr>
            </w:pPr>
            <w:hyperlink r:id="rId29">
              <w:r>
                <w:rPr>
                  <w:rFonts w:ascii="Arial" w:cs="Arial" w:eastAsia="Arial" w:hAnsi="Arial"/>
                  <w:sz w:val="18"/>
                  <w:szCs w:val="18"/>
                  <w:color w:val="0000FF"/>
                  <w:w w:val="95"/>
                </w:rPr>
                <w:t>Amendment to Amended and Restated Bylaws of Limoneira Company (Incorporated by reference to exhibit 3.1 to the Company’s</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3.8.2</w:t>
            </w:r>
          </w:p>
        </w:tc>
        <w:tc>
          <w:tcPr>
            <w:tcW w:w="56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Current Report on Form 8-K, filed December 18, 2014 (File No. 001-34755))</w:t>
              </w:r>
            </w:hyperlink>
          </w:p>
        </w:tc>
        <w:tc>
          <w:tcPr>
            <w:tcW w:w="4200" w:type="dxa"/>
            <w:vAlign w:val="bottom"/>
            <w:tcBorders>
              <w:top w:val="single" w:sz="8" w:color="0000FF"/>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5"/>
              </w:rPr>
            </w:pPr>
            <w:hyperlink r:id="rId30">
              <w:r>
                <w:rPr>
                  <w:rFonts w:ascii="Arial" w:cs="Arial" w:eastAsia="Arial" w:hAnsi="Arial"/>
                  <w:sz w:val="18"/>
                  <w:szCs w:val="18"/>
                  <w:color w:val="0000FF"/>
                  <w:w w:val="95"/>
                </w:rPr>
                <w:t>Amendment to Amended and Restated Bylaws of Limoneira Company (Incorporated by reference to exhibit 3.1 to the Company’s</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3.8.3</w:t>
            </w:r>
          </w:p>
        </w:tc>
        <w:tc>
          <w:tcPr>
            <w:tcW w:w="54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Current Report on Form 8-K, filed January 25, 2017 (File No. 001-34755))</w:t>
              </w:r>
            </w:hyperlink>
          </w:p>
        </w:tc>
        <w:tc>
          <w:tcPr>
            <w:tcW w:w="4400" w:type="dxa"/>
            <w:vAlign w:val="bottom"/>
            <w:tcBorders>
              <w:top w:val="single" w:sz="8" w:color="0000FF"/>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5"/>
              </w:rPr>
            </w:pPr>
            <w:hyperlink r:id="rId31">
              <w:r>
                <w:rPr>
                  <w:rFonts w:ascii="Arial" w:cs="Arial" w:eastAsia="Arial" w:hAnsi="Arial"/>
                  <w:sz w:val="18"/>
                  <w:szCs w:val="18"/>
                  <w:color w:val="0000FF"/>
                  <w:w w:val="95"/>
                </w:rPr>
                <w:t>Amendment to Amended and Restated Bylaws of Limoneira Company (Incorporated by reference to exhibit 3.1 to the Company’s</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3.8.4</w:t>
            </w:r>
          </w:p>
        </w:tc>
        <w:tc>
          <w:tcPr>
            <w:tcW w:w="51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Current Report on Form 8-K, filed July 26, 2017 (File No. 001-34755))</w:t>
              </w:r>
            </w:hyperlink>
          </w:p>
        </w:tc>
        <w:tc>
          <w:tcPr>
            <w:tcW w:w="4660" w:type="dxa"/>
            <w:vAlign w:val="bottom"/>
            <w:tcBorders>
              <w:top w:val="single" w:sz="8" w:color="0000FF"/>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12"/>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 xml:space="preserve">Specimen Certificate representing shares of Common Stock, par value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0.01 per share (Incorporated by reference to exhibit 4.1 to the</w:t>
              </w:r>
            </w:hyperlink>
          </w:p>
        </w:tc>
        <w:tc>
          <w:tcPr>
            <w:tcW w:w="20" w:type="dxa"/>
            <w:vAlign w:val="bottom"/>
          </w:tcPr>
          <w:p>
            <w:pPr>
              <w:spacing w:after="0"/>
              <w:rPr>
                <w:sz w:val="24"/>
                <w:szCs w:val="24"/>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4.1</w:t>
            </w:r>
          </w:p>
        </w:tc>
        <w:tc>
          <w:tcPr>
            <w:tcW w:w="93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Company’s Registration Statement on Form 10, and amendments thereto, declared effective April 13, 2010 (File No. 000-53885))</w:t>
              </w:r>
            </w:hyperlink>
          </w:p>
        </w:tc>
        <w:tc>
          <w:tcPr>
            <w:tcW w:w="500" w:type="dxa"/>
            <w:vAlign w:val="bottom"/>
            <w:gridSpan w:val="3"/>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2"/>
              </w:rPr>
            </w:pPr>
            <w:hyperlink r:id="rId33">
              <w:r>
                <w:rPr>
                  <w:rFonts w:ascii="Arial" w:cs="Arial" w:eastAsia="Arial" w:hAnsi="Arial"/>
                  <w:sz w:val="18"/>
                  <w:szCs w:val="18"/>
                  <w:color w:val="0000FF"/>
                  <w:w w:val="92"/>
                </w:rPr>
                <w:t>Rights Agreement dated December 20, 2006 between Limoneira Company and The Bank of New York, as Rights Agent (Incorporated</w:t>
              </w:r>
            </w:hyperlink>
          </w:p>
        </w:tc>
      </w:tr>
      <w:tr>
        <w:trPr>
          <w:trHeight w:val="20"/>
        </w:trPr>
        <w:tc>
          <w:tcPr>
            <w:tcW w:w="1140" w:type="dxa"/>
            <w:vAlign w:val="bottom"/>
          </w:tcPr>
          <w:p>
            <w:pPr>
              <w:spacing w:after="0" w:line="20" w:lineRule="exact"/>
              <w:rPr>
                <w:sz w:val="1"/>
                <w:szCs w:val="1"/>
                <w:color w:val="auto"/>
              </w:rPr>
            </w:pPr>
          </w:p>
        </w:tc>
        <w:tc>
          <w:tcPr>
            <w:tcW w:w="5560" w:type="dxa"/>
            <w:vAlign w:val="bottom"/>
            <w:gridSpan w:val="7"/>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by reference to exhibit 4.2 to the Company’s Registration Statement on Form 10, and amendments thereto, declared effective April 13,</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4.2</w:t>
            </w:r>
          </w:p>
        </w:tc>
        <w:tc>
          <w:tcPr>
            <w:tcW w:w="98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2010 (File No. 000-53885))</w:t>
              </w:r>
            </w:hyperlink>
          </w:p>
        </w:tc>
        <w:tc>
          <w:tcPr>
            <w:tcW w:w="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8"/>
              </w:rPr>
            </w:pPr>
            <w:hyperlink r:id="rId34">
              <w:r>
                <w:rPr>
                  <w:rFonts w:ascii="Arial" w:cs="Arial" w:eastAsia="Arial" w:hAnsi="Arial"/>
                  <w:sz w:val="18"/>
                  <w:szCs w:val="18"/>
                  <w:color w:val="0000FF"/>
                  <w:w w:val="98"/>
                </w:rPr>
                <w:t xml:space="preserve">Certificate of Designation, Preferences and Rights of </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 xml:space="preserve">8.75 Voting Preferred Stock, </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100.00 Par Value, Series B of Limoneira</w:t>
              </w:r>
            </w:hyperlink>
          </w:p>
        </w:tc>
      </w:tr>
      <w:tr>
        <w:trPr>
          <w:trHeight w:val="20"/>
        </w:trPr>
        <w:tc>
          <w:tcPr>
            <w:tcW w:w="1140" w:type="dxa"/>
            <w:vAlign w:val="bottom"/>
          </w:tcPr>
          <w:p>
            <w:pPr>
              <w:spacing w:after="0" w:line="20" w:lineRule="exact"/>
              <w:rPr>
                <w:sz w:val="1"/>
                <w:szCs w:val="1"/>
                <w:color w:val="auto"/>
              </w:rPr>
            </w:pPr>
          </w:p>
        </w:tc>
        <w:tc>
          <w:tcPr>
            <w:tcW w:w="5560" w:type="dxa"/>
            <w:vAlign w:val="bottom"/>
            <w:gridSpan w:val="7"/>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Company, dated May 21, 1997 (Incorporated by reference to exhibit 3.4 to the Company’s Registration Statement on Form 10, and</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4.3</w:t>
            </w:r>
          </w:p>
        </w:tc>
        <w:tc>
          <w:tcPr>
            <w:tcW w:w="98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amendments thereto, declared effective April 13, 2010 (File No. 000-53885))</w:t>
              </w:r>
            </w:hyperlink>
          </w:p>
        </w:tc>
        <w:tc>
          <w:tcPr>
            <w:tcW w:w="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240" w:top="368" w:right="65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000"/>
          </w:cols>
          <w:pgMar w:left="240" w:top="368" w:right="65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9860" w:type="dxa"/>
            <w:vAlign w:val="bottom"/>
            <w:gridSpan w:val="9"/>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 xml:space="preserve">Amended Certificate of Designation, Preferences and Rights of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 xml:space="preserve">8.75 Voting Preferred Stock,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100.00 Par Value, Series B of Limoneira</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8"/>
          </w:tcPr>
          <w:p>
            <w:pPr>
              <w:spacing w:after="0" w:line="196" w:lineRule="exact"/>
              <w:rPr>
                <w:rFonts w:ascii="Arial" w:cs="Arial" w:eastAsia="Arial" w:hAnsi="Arial"/>
                <w:sz w:val="18"/>
                <w:szCs w:val="18"/>
                <w:color w:val="0000FF"/>
                <w:w w:val="94"/>
              </w:rPr>
            </w:pPr>
            <w:hyperlink r:id="rId35">
              <w:r>
                <w:rPr>
                  <w:rFonts w:ascii="Arial" w:cs="Arial" w:eastAsia="Arial" w:hAnsi="Arial"/>
                  <w:sz w:val="18"/>
                  <w:szCs w:val="18"/>
                  <w:color w:val="0000FF"/>
                  <w:w w:val="94"/>
                </w:rPr>
                <w:t>Company, dated May 21, 1997 (Incorporated by reference to exhibit 3.5 to the Company’s Registration Statement on Form 10, and</w:t>
              </w:r>
            </w:hyperlink>
          </w:p>
        </w:tc>
        <w:tc>
          <w:tcPr>
            <w:tcW w:w="20" w:type="dxa"/>
            <w:vAlign w:val="bottom"/>
          </w:tcPr>
          <w:p>
            <w:pPr>
              <w:spacing w:after="0"/>
              <w:rPr>
                <w:sz w:val="17"/>
                <w:szCs w:val="17"/>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4.4</w:t>
            </w:r>
          </w:p>
        </w:tc>
        <w:tc>
          <w:tcPr>
            <w:tcW w:w="9860" w:type="dxa"/>
            <w:vAlign w:val="bottom"/>
            <w:gridSpan w:val="9"/>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amendments thereto, declared effective April 13, 2010 (File No. 000-53885))</w:t>
              </w:r>
            </w:hyperlink>
          </w:p>
        </w:tc>
      </w:tr>
      <w:tr>
        <w:trPr>
          <w:trHeight w:val="20"/>
        </w:trPr>
        <w:tc>
          <w:tcPr>
            <w:tcW w:w="1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8"/>
          </w:tcPr>
          <w:p>
            <w:pPr>
              <w:spacing w:after="0"/>
              <w:rPr>
                <w:rFonts w:ascii="Arial" w:cs="Arial" w:eastAsia="Arial" w:hAnsi="Arial"/>
                <w:sz w:val="18"/>
                <w:szCs w:val="18"/>
                <w:color w:val="0000FF"/>
                <w:w w:val="96"/>
              </w:rPr>
            </w:pPr>
            <w:hyperlink r:id="rId36">
              <w:r>
                <w:rPr>
                  <w:rFonts w:ascii="Arial" w:cs="Arial" w:eastAsia="Arial" w:hAnsi="Arial"/>
                  <w:sz w:val="18"/>
                  <w:szCs w:val="18"/>
                  <w:color w:val="0000FF"/>
                  <w:w w:val="96"/>
                </w:rPr>
                <w:t>Certificate of Designation, Preferences and Rights of Series A Junior Participating Preferred Stock, $.01 Par Value, of Limoneira</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8"/>
          </w:tcPr>
          <w:p>
            <w:pPr>
              <w:spacing w:after="0" w:line="196" w:lineRule="exact"/>
              <w:rPr>
                <w:rFonts w:ascii="Arial" w:cs="Arial" w:eastAsia="Arial" w:hAnsi="Arial"/>
                <w:sz w:val="18"/>
                <w:szCs w:val="18"/>
                <w:color w:val="0000FF"/>
                <w:w w:val="93"/>
              </w:rPr>
            </w:pPr>
            <w:hyperlink r:id="rId36">
              <w:r>
                <w:rPr>
                  <w:rFonts w:ascii="Arial" w:cs="Arial" w:eastAsia="Arial" w:hAnsi="Arial"/>
                  <w:sz w:val="18"/>
                  <w:szCs w:val="18"/>
                  <w:color w:val="0000FF"/>
                  <w:w w:val="93"/>
                </w:rPr>
                <w:t>Company, dated November 21, 2006 (Incorporated by reference to exhibit 3.8 to the Company’s Registration Statement on Form 10,</w:t>
              </w:r>
            </w:hyperlink>
          </w:p>
        </w:tc>
        <w:tc>
          <w:tcPr>
            <w:tcW w:w="20" w:type="dxa"/>
            <w:vAlign w:val="bottom"/>
          </w:tcPr>
          <w:p>
            <w:pPr>
              <w:spacing w:after="0"/>
              <w:rPr>
                <w:sz w:val="17"/>
                <w:szCs w:val="17"/>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4.5</w:t>
            </w:r>
          </w:p>
        </w:tc>
        <w:tc>
          <w:tcPr>
            <w:tcW w:w="588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and amendments thereto, declared effective April 13, 2010 (File No. 000-53885))</w:t>
              </w:r>
            </w:hyperlink>
          </w:p>
        </w:tc>
        <w:tc>
          <w:tcPr>
            <w:tcW w:w="3980" w:type="dxa"/>
            <w:vAlign w:val="bottom"/>
            <w:gridSpan w:val="5"/>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8"/>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 xml:space="preserve">Certificate of Designation, Preferences and Rights of 4% Voting Preferred Stock, </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100.00 Par Value, Series B-2 of Limoneira Company,</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8"/>
          </w:tcPr>
          <w:p>
            <w:pPr>
              <w:spacing w:after="0" w:line="196" w:lineRule="exact"/>
              <w:rPr>
                <w:rFonts w:ascii="Arial" w:cs="Arial" w:eastAsia="Arial" w:hAnsi="Arial"/>
                <w:sz w:val="18"/>
                <w:szCs w:val="18"/>
                <w:color w:val="0000FF"/>
                <w:w w:val="93"/>
              </w:rPr>
            </w:pPr>
            <w:hyperlink r:id="rId37">
              <w:r>
                <w:rPr>
                  <w:rFonts w:ascii="Arial" w:cs="Arial" w:eastAsia="Arial" w:hAnsi="Arial"/>
                  <w:sz w:val="18"/>
                  <w:szCs w:val="18"/>
                  <w:color w:val="0000FF"/>
                  <w:w w:val="93"/>
                </w:rPr>
                <w:t>dated March 20, 2014 (Incorporated by reference to exhibit 3.1 to the Company’s Current Report on Form 8-K, filed March 24, 2014</w:t>
              </w:r>
            </w:hyperlink>
          </w:p>
        </w:tc>
        <w:tc>
          <w:tcPr>
            <w:tcW w:w="20" w:type="dxa"/>
            <w:vAlign w:val="bottom"/>
          </w:tcPr>
          <w:p>
            <w:pPr>
              <w:spacing w:after="0"/>
              <w:rPr>
                <w:sz w:val="17"/>
                <w:szCs w:val="17"/>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4.6</w:t>
            </w:r>
          </w:p>
        </w:tc>
        <w:tc>
          <w:tcPr>
            <w:tcW w:w="160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(File No. 001-34755))</w:t>
              </w:r>
            </w:hyperlink>
          </w:p>
        </w:tc>
        <w:tc>
          <w:tcPr>
            <w:tcW w:w="8260" w:type="dxa"/>
            <w:vAlign w:val="bottom"/>
            <w:gridSpan w:val="7"/>
          </w:tcPr>
          <w:p>
            <w:pPr>
              <w:spacing w:after="0"/>
              <w:rPr>
                <w:sz w:val="17"/>
                <w:szCs w:val="17"/>
                <w:color w:val="auto"/>
              </w:rPr>
            </w:pPr>
          </w:p>
        </w:tc>
      </w:tr>
      <w:tr>
        <w:trPr>
          <w:trHeight w:val="520"/>
        </w:trPr>
        <w:tc>
          <w:tcPr>
            <w:tcW w:w="1140" w:type="dxa"/>
            <w:vAlign w:val="bottom"/>
          </w:tcPr>
          <w:p>
            <w:pPr>
              <w:ind w:left="40"/>
              <w:spacing w:after="0"/>
              <w:rPr>
                <w:sz w:val="20"/>
                <w:szCs w:val="20"/>
                <w:color w:val="auto"/>
              </w:rPr>
            </w:pPr>
            <w:r>
              <w:rPr>
                <w:rFonts w:ascii="Arial" w:cs="Arial" w:eastAsia="Arial" w:hAnsi="Arial"/>
                <w:sz w:val="18"/>
                <w:szCs w:val="18"/>
                <w:color w:val="auto"/>
              </w:rPr>
              <w:t>31.1*</w:t>
            </w:r>
          </w:p>
        </w:tc>
        <w:tc>
          <w:tcPr>
            <w:tcW w:w="75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60">
              <w:r>
                <w:rPr>
                  <w:rFonts w:ascii="Arial" w:cs="Arial" w:eastAsia="Arial" w:hAnsi="Arial"/>
                  <w:sz w:val="18"/>
                  <w:szCs w:val="18"/>
                  <w:color w:val="0000FF"/>
                  <w:w w:val="91"/>
                </w:rPr>
                <w:t>Certification of the Principal Executive Officer pursuant to Exchange Act Rule 13a-14(a) and 15d-14(a)</w:t>
              </w:r>
            </w:hyperlink>
          </w:p>
        </w:tc>
        <w:tc>
          <w:tcPr>
            <w:tcW w:w="2360" w:type="dxa"/>
            <w:vAlign w:val="bottom"/>
            <w:gridSpan w:val="3"/>
          </w:tcPr>
          <w:p>
            <w:pPr>
              <w:spacing w:after="0"/>
              <w:rPr>
                <w:sz w:val="24"/>
                <w:szCs w:val="24"/>
                <w:color w:val="auto"/>
              </w:rPr>
            </w:pPr>
          </w:p>
        </w:tc>
      </w:tr>
      <w:tr>
        <w:trPr>
          <w:trHeight w:val="520"/>
        </w:trPr>
        <w:tc>
          <w:tcPr>
            <w:tcW w:w="1140" w:type="dxa"/>
            <w:vAlign w:val="bottom"/>
          </w:tcPr>
          <w:p>
            <w:pPr>
              <w:ind w:left="40"/>
              <w:spacing w:after="0"/>
              <w:rPr>
                <w:sz w:val="20"/>
                <w:szCs w:val="20"/>
                <w:color w:val="auto"/>
              </w:rPr>
            </w:pPr>
            <w:r>
              <w:rPr>
                <w:rFonts w:ascii="Arial" w:cs="Arial" w:eastAsia="Arial" w:hAnsi="Arial"/>
                <w:sz w:val="18"/>
                <w:szCs w:val="18"/>
                <w:color w:val="auto"/>
              </w:rPr>
              <w:t>31.2*</w:t>
            </w:r>
          </w:p>
        </w:tc>
        <w:tc>
          <w:tcPr>
            <w:tcW w:w="9860" w:type="dxa"/>
            <w:vAlign w:val="bottom"/>
            <w:gridSpan w:val="9"/>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Certification of the Principal Financial Officer pursuant to Exchange Act Rule 13a-14(a) and 15d-14(a)</w:t>
              </w:r>
            </w:hyperlink>
          </w:p>
        </w:tc>
      </w:tr>
      <w:tr>
        <w:trPr>
          <w:trHeight w:val="20"/>
        </w:trPr>
        <w:tc>
          <w:tcPr>
            <w:tcW w:w="1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100" w:type="dxa"/>
            <w:vAlign w:val="bottom"/>
            <w:gridSpan w:val="4"/>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63">
              <w:r>
                <w:rPr>
                  <w:rFonts w:ascii="Arial" w:cs="Arial" w:eastAsia="Arial" w:hAnsi="Arial"/>
                  <w:sz w:val="18"/>
                  <w:szCs w:val="18"/>
                  <w:color w:val="0000FF"/>
                  <w:w w:val="90"/>
                </w:rPr>
                <w:t>Certification of the Principal Executive Officer pursuant to 18 U.S.C. Section 1350, as adopted pursuant to Section 906 of the Sarbanes-</w:t>
              </w:r>
            </w:hyperlink>
          </w:p>
        </w:tc>
        <w:tc>
          <w:tcPr>
            <w:tcW w:w="20" w:type="dxa"/>
            <w:vAlign w:val="bottom"/>
          </w:tcPr>
          <w:p>
            <w:pPr>
              <w:spacing w:after="0"/>
              <w:rPr>
                <w:sz w:val="24"/>
                <w:szCs w:val="24"/>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32.1*</w:t>
            </w:r>
          </w:p>
        </w:tc>
        <w:tc>
          <w:tcPr>
            <w:tcW w:w="9860" w:type="dxa"/>
            <w:vAlign w:val="bottom"/>
            <w:gridSpan w:val="9"/>
          </w:tcPr>
          <w:p>
            <w:pPr>
              <w:spacing w:after="0" w:line="196" w:lineRule="exact"/>
              <w:rPr>
                <w:rFonts w:ascii="Arial" w:cs="Arial" w:eastAsia="Arial" w:hAnsi="Arial"/>
                <w:sz w:val="18"/>
                <w:szCs w:val="18"/>
                <w:color w:val="0000FF"/>
              </w:rPr>
            </w:pPr>
            <w:hyperlink w:anchor="page63">
              <w:r>
                <w:rPr>
                  <w:rFonts w:ascii="Arial" w:cs="Arial" w:eastAsia="Arial" w:hAnsi="Arial"/>
                  <w:sz w:val="18"/>
                  <w:szCs w:val="18"/>
                  <w:color w:val="0000FF"/>
                </w:rPr>
                <w:t>Oxley Act of 2002</w:t>
              </w:r>
            </w:hyperlink>
          </w:p>
        </w:tc>
      </w:tr>
      <w:tr>
        <w:trPr>
          <w:trHeight w:val="20"/>
        </w:trPr>
        <w:tc>
          <w:tcPr>
            <w:tcW w:w="1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4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gridSpan w:val="9"/>
          </w:tcPr>
          <w:p>
            <w:pPr>
              <w:spacing w:after="0"/>
              <w:rPr>
                <w:rFonts w:ascii="Arial" w:cs="Arial" w:eastAsia="Arial" w:hAnsi="Arial"/>
                <w:sz w:val="18"/>
                <w:szCs w:val="18"/>
                <w:color w:val="0000FF"/>
                <w:w w:val="91"/>
              </w:rPr>
            </w:pPr>
            <w:hyperlink w:anchor="page64">
              <w:r>
                <w:rPr>
                  <w:rFonts w:ascii="Arial" w:cs="Arial" w:eastAsia="Arial" w:hAnsi="Arial"/>
                  <w:sz w:val="18"/>
                  <w:szCs w:val="18"/>
                  <w:color w:val="0000FF"/>
                  <w:w w:val="91"/>
                </w:rPr>
                <w:t>Certification of the Principal Financial Officer pursuant to 18 U.S.C. Section 1350, as adopted pursuant to Section 906 of the Sarbanes-</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32.2*</w:t>
            </w:r>
          </w:p>
        </w:tc>
        <w:tc>
          <w:tcPr>
            <w:tcW w:w="982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64">
              <w:r>
                <w:rPr>
                  <w:rFonts w:ascii="Arial" w:cs="Arial" w:eastAsia="Arial" w:hAnsi="Arial"/>
                  <w:sz w:val="18"/>
                  <w:szCs w:val="18"/>
                  <w:color w:val="0000FF"/>
                </w:rPr>
                <w:t>Oxley Act of 2002</w:t>
              </w:r>
            </w:hyperlink>
          </w:p>
        </w:tc>
        <w:tc>
          <w:tcPr>
            <w:tcW w:w="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520" w:type="dxa"/>
            <w:vAlign w:val="bottom"/>
            <w:gridSpan w:val="8"/>
          </w:tcPr>
          <w:p>
            <w:pPr>
              <w:spacing w:after="0" w:line="20" w:lineRule="exact"/>
              <w:rPr>
                <w:sz w:val="1"/>
                <w:szCs w:val="1"/>
                <w:color w:val="auto"/>
              </w:rPr>
            </w:pPr>
          </w:p>
        </w:tc>
      </w:tr>
      <w:tr>
        <w:trPr>
          <w:trHeight w:val="561"/>
        </w:trPr>
        <w:tc>
          <w:tcPr>
            <w:tcW w:w="1140" w:type="dxa"/>
            <w:vAlign w:val="bottom"/>
          </w:tcPr>
          <w:p>
            <w:pPr>
              <w:ind w:left="40"/>
              <w:spacing w:after="0"/>
              <w:rPr>
                <w:sz w:val="20"/>
                <w:szCs w:val="20"/>
                <w:color w:val="auto"/>
              </w:rPr>
            </w:pPr>
            <w:r>
              <w:rPr>
                <w:rFonts w:ascii="Arial" w:cs="Arial" w:eastAsia="Arial" w:hAnsi="Arial"/>
                <w:sz w:val="18"/>
                <w:szCs w:val="18"/>
                <w:color w:val="auto"/>
              </w:rPr>
              <w:t>101.INS*</w:t>
            </w:r>
          </w:p>
        </w:tc>
        <w:tc>
          <w:tcPr>
            <w:tcW w:w="986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1140" w:type="dxa"/>
            <w:vAlign w:val="bottom"/>
          </w:tcPr>
          <w:p>
            <w:pPr>
              <w:ind w:left="40"/>
              <w:spacing w:after="0"/>
              <w:rPr>
                <w:sz w:val="20"/>
                <w:szCs w:val="20"/>
                <w:color w:val="auto"/>
              </w:rPr>
            </w:pPr>
            <w:r>
              <w:rPr>
                <w:rFonts w:ascii="Arial" w:cs="Arial" w:eastAsia="Arial" w:hAnsi="Arial"/>
                <w:sz w:val="18"/>
                <w:szCs w:val="18"/>
                <w:color w:val="auto"/>
              </w:rPr>
              <w:t>101.SCH*</w:t>
            </w:r>
          </w:p>
        </w:tc>
        <w:tc>
          <w:tcPr>
            <w:tcW w:w="986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140" w:type="dxa"/>
            <w:vAlign w:val="bottom"/>
          </w:tcPr>
          <w:p>
            <w:pPr>
              <w:ind w:left="40"/>
              <w:spacing w:after="0"/>
              <w:rPr>
                <w:sz w:val="20"/>
                <w:szCs w:val="20"/>
                <w:color w:val="auto"/>
              </w:rPr>
            </w:pPr>
            <w:r>
              <w:rPr>
                <w:rFonts w:ascii="Arial" w:cs="Arial" w:eastAsia="Arial" w:hAnsi="Arial"/>
                <w:sz w:val="18"/>
                <w:szCs w:val="18"/>
                <w:color w:val="auto"/>
              </w:rPr>
              <w:t>101.CAL*</w:t>
            </w:r>
          </w:p>
        </w:tc>
        <w:tc>
          <w:tcPr>
            <w:tcW w:w="986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140" w:type="dxa"/>
            <w:vAlign w:val="bottom"/>
          </w:tcPr>
          <w:p>
            <w:pPr>
              <w:ind w:left="40"/>
              <w:spacing w:after="0"/>
              <w:rPr>
                <w:sz w:val="20"/>
                <w:szCs w:val="20"/>
                <w:color w:val="auto"/>
              </w:rPr>
            </w:pPr>
            <w:r>
              <w:rPr>
                <w:rFonts w:ascii="Arial" w:cs="Arial" w:eastAsia="Arial" w:hAnsi="Arial"/>
                <w:sz w:val="18"/>
                <w:szCs w:val="18"/>
                <w:color w:val="auto"/>
              </w:rPr>
              <w:t>101.DEF*</w:t>
            </w:r>
          </w:p>
        </w:tc>
        <w:tc>
          <w:tcPr>
            <w:tcW w:w="986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140" w:type="dxa"/>
            <w:vAlign w:val="bottom"/>
          </w:tcPr>
          <w:p>
            <w:pPr>
              <w:ind w:left="40"/>
              <w:spacing w:after="0"/>
              <w:rPr>
                <w:sz w:val="20"/>
                <w:szCs w:val="20"/>
                <w:color w:val="auto"/>
              </w:rPr>
            </w:pPr>
            <w:r>
              <w:rPr>
                <w:rFonts w:ascii="Arial" w:cs="Arial" w:eastAsia="Arial" w:hAnsi="Arial"/>
                <w:sz w:val="18"/>
                <w:szCs w:val="18"/>
                <w:color w:val="auto"/>
              </w:rPr>
              <w:t>101.LAB*</w:t>
            </w:r>
          </w:p>
        </w:tc>
        <w:tc>
          <w:tcPr>
            <w:tcW w:w="986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140" w:type="dxa"/>
            <w:vAlign w:val="bottom"/>
          </w:tcPr>
          <w:p>
            <w:pPr>
              <w:ind w:left="40"/>
              <w:spacing w:after="0"/>
              <w:rPr>
                <w:sz w:val="20"/>
                <w:szCs w:val="20"/>
                <w:color w:val="auto"/>
              </w:rPr>
            </w:pPr>
            <w:r>
              <w:rPr>
                <w:rFonts w:ascii="Arial" w:cs="Arial" w:eastAsia="Arial" w:hAnsi="Arial"/>
                <w:sz w:val="18"/>
                <w:szCs w:val="18"/>
                <w:color w:val="auto"/>
              </w:rPr>
              <w:t>101.PRE*</w:t>
            </w:r>
          </w:p>
        </w:tc>
        <w:tc>
          <w:tcPr>
            <w:tcW w:w="986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75" w:lineRule="exact"/>
        <w:rPr>
          <w:sz w:val="20"/>
          <w:szCs w:val="20"/>
          <w:color w:val="auto"/>
        </w:rPr>
      </w:pPr>
    </w:p>
    <w:p>
      <w:pPr>
        <w:ind w:left="1140" w:hanging="44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33" w:lineRule="exact"/>
        <w:rPr>
          <w:rFonts w:ascii="Arial" w:cs="Arial" w:eastAsia="Arial" w:hAnsi="Arial"/>
          <w:sz w:val="18"/>
          <w:szCs w:val="18"/>
          <w:color w:val="auto"/>
        </w:rPr>
      </w:pPr>
    </w:p>
    <w:p>
      <w:pPr>
        <w:jc w:val="both"/>
        <w:ind w:left="1140"/>
        <w:spacing w:after="0" w:line="255" w:lineRule="auto"/>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240" w:top="526" w:right="6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LIMONEIRA COMPANY</w:t>
      </w:r>
    </w:p>
    <w:p>
      <w:pPr>
        <w:spacing w:after="0" w:line="333" w:lineRule="exact"/>
        <w:rPr>
          <w:sz w:val="20"/>
          <w:szCs w:val="20"/>
          <w:color w:val="auto"/>
        </w:rPr>
      </w:pPr>
    </w:p>
    <w:p>
      <w:pPr>
        <w:ind w:left="40"/>
        <w:spacing w:after="0"/>
        <w:tabs>
          <w:tab w:leader="none" w:pos="5400" w:val="left"/>
          <w:tab w:leader="none" w:pos="5960" w:val="left"/>
        </w:tabs>
        <w:rPr>
          <w:sz w:val="20"/>
          <w:szCs w:val="20"/>
          <w:color w:val="auto"/>
        </w:rPr>
      </w:pPr>
      <w:r>
        <w:rPr>
          <w:rFonts w:ascii="Arial" w:cs="Arial" w:eastAsia="Arial" w:hAnsi="Arial"/>
          <w:sz w:val="18"/>
          <w:szCs w:val="18"/>
          <w:color w:val="auto"/>
        </w:rPr>
        <w:t>March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40640</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Director, President and Chief Executive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40"/>
        <w:spacing w:after="0"/>
        <w:tabs>
          <w:tab w:leader="none" w:pos="5400" w:val="left"/>
          <w:tab w:leader="none" w:pos="5960" w:val="left"/>
        </w:tabs>
        <w:rPr>
          <w:sz w:val="20"/>
          <w:szCs w:val="20"/>
          <w:color w:val="auto"/>
        </w:rPr>
      </w:pPr>
      <w:r>
        <w:rPr>
          <w:rFonts w:ascii="Arial" w:cs="Arial" w:eastAsia="Arial" w:hAnsi="Arial"/>
          <w:sz w:val="18"/>
          <w:szCs w:val="18"/>
          <w:color w:val="auto"/>
        </w:rPr>
        <w:t>March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40640</wp:posOffset>
            </wp:positionV>
            <wp:extent cx="3473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Mark Palamountain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Treasurer and Corporate Secretary</w:t>
      </w:r>
    </w:p>
    <w:p>
      <w:pPr>
        <w:spacing w:after="0" w:line="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2"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Harold S. Edwards, certify that:</w:t>
      </w:r>
    </w:p>
    <w:p>
      <w:pPr>
        <w:spacing w:after="0" w:line="225" w:lineRule="exact"/>
        <w:rPr>
          <w:sz w:val="20"/>
          <w:szCs w:val="20"/>
          <w:color w:val="auto"/>
        </w:rPr>
      </w:pPr>
    </w:p>
    <w:p>
      <w:pPr>
        <w:ind w:left="460" w:hanging="438"/>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25"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38"/>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880" w:hanging="440"/>
        <w:spacing w:after="0" w:line="274" w:lineRule="auto"/>
        <w:tabs>
          <w:tab w:leader="none" w:pos="8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880" w:hanging="440"/>
        <w:spacing w:after="0" w:line="255" w:lineRule="auto"/>
        <w:tabs>
          <w:tab w:leader="none" w:pos="8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460" w:right="20" w:hanging="438"/>
        <w:spacing w:after="0" w:line="30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March 12, 2019</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92075</wp:posOffset>
            </wp:positionV>
            <wp:extent cx="3404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Director, President, and 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Palamountain, certify that:</w:t>
      </w:r>
    </w:p>
    <w:p>
      <w:pPr>
        <w:spacing w:after="0" w:line="225" w:lineRule="exact"/>
        <w:rPr>
          <w:sz w:val="20"/>
          <w:szCs w:val="20"/>
          <w:color w:val="auto"/>
        </w:rPr>
      </w:pPr>
    </w:p>
    <w:p>
      <w:pPr>
        <w:ind w:left="460" w:hanging="438"/>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25"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38"/>
        <w:spacing w:after="0" w:line="27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880" w:hanging="440"/>
        <w:spacing w:after="0" w:line="274" w:lineRule="auto"/>
        <w:tabs>
          <w:tab w:leader="none" w:pos="8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880" w:hanging="440"/>
        <w:spacing w:after="0" w:line="255" w:lineRule="auto"/>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460" w:right="20" w:hanging="438"/>
        <w:spacing w:after="0" w:line="308"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March 12, 2019</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92075</wp:posOffset>
            </wp:positionV>
            <wp:extent cx="3404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Palamountain,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621" w:right="239" w:bottom="1440" w:gutter="0" w:footer="0" w:header="0"/>
        </w:sectPr>
      </w:pPr>
    </w:p>
    <w:bookmarkStart w:id="61" w:name="page62"/>
    <w:bookmarkEnd w:id="6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11"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January 31, 2019 (the “Report”) of Limoneira Company (the “Registrant”), as filed with the Securities and Exchange Commission on the date hereof, I, Harold S. Edwards, hereby certify that:</w:t>
      </w:r>
    </w:p>
    <w:p>
      <w:pPr>
        <w:spacing w:after="0" w:line="35" w:lineRule="exact"/>
        <w:rPr>
          <w:sz w:val="20"/>
          <w:szCs w:val="20"/>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March 12, 2019</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92075</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5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Director, President, and 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11"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January 31, 2019 (the “Report”) of Limoneira Company (the “Registrant”), as filed with the Securities and Exchange Commission on the date hereof, I, Mark Palamountain, hereby certify that:</w:t>
      </w:r>
    </w:p>
    <w:p>
      <w:pPr>
        <w:spacing w:after="0" w:line="35" w:lineRule="exact"/>
        <w:rPr>
          <w:sz w:val="20"/>
          <w:szCs w:val="20"/>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March 12, 2019</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92075</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5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Mark Palamountain,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 Treasurer and Corporate Secretary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6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2"/>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2"/>
    </w:lvl>
  </w:abstractNum>
  <w:abstractNum w:abstractNumId="10">
    <w:nsid w:val="2D1D5AE9"/>
    <w:multiLevelType w:val="hybridMultilevel"/>
    <w:lvl w:ilvl="0">
      <w:lvlJc w:val="left"/>
      <w:lvlText w:val="%1."/>
      <w:numFmt w:val="decimal"/>
      <w:start w:val="2"/>
    </w:lvl>
  </w:abstractNum>
  <w:abstractNum w:abstractNumId="11">
    <w:nsid w:val="6763845E"/>
    <w:multiLevelType w:val="hybridMultilevel"/>
    <w:lvl w:ilvl="0">
      <w:lvlJc w:val="left"/>
      <w:lvlText w:val="%1."/>
      <w:numFmt w:val="decimal"/>
      <w:start w:val="8"/>
    </w:lvl>
  </w:abstractNum>
  <w:abstractNum w:abstractNumId="12">
    <w:nsid w:val="75A2A8D4"/>
    <w:multiLevelType w:val="hybridMultilevel"/>
    <w:lvl w:ilvl="0">
      <w:lvlJc w:val="left"/>
      <w:lvlText w:val="%1."/>
      <w:numFmt w:val="decimal"/>
      <w:start w:val="21"/>
    </w:lvl>
  </w:abstractNum>
  <w:abstractNum w:abstractNumId="13">
    <w:nsid w:val="8EDBDAB"/>
    <w:multiLevelType w:val="hybridMultilevel"/>
    <w:lvl w:ilvl="0">
      <w:lvlJc w:val="left"/>
      <w:lvlText w:val="%1."/>
      <w:numFmt w:val="decimal"/>
      <w:start w:val="21"/>
    </w:lvl>
  </w:abstractNum>
  <w:abstractNum w:abstractNumId="14">
    <w:nsid w:val="79838CB2"/>
    <w:multiLevelType w:val="hybridMultilevel"/>
    <w:lvl w:ilvl="0">
      <w:lvlJc w:val="left"/>
      <w:lvlText w:val="%1."/>
      <w:numFmt w:val="decimal"/>
      <w:start w:val="2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25"/>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8"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png"/><Relationship Id="rId41" Type="http://schemas.openxmlformats.org/officeDocument/2006/relationships/image" Target="media/image16.png"/><Relationship Id="rId42" Type="http://schemas.openxmlformats.org/officeDocument/2006/relationships/image" Target="media/image17.png"/><Relationship Id="rId43" Type="http://schemas.openxmlformats.org/officeDocument/2006/relationships/image" Target="media/image18.png"/><Relationship Id="rId20" Type="http://schemas.openxmlformats.org/officeDocument/2006/relationships/hyperlink" Target="http://www.sec.gov/Archives/edgar/data/1342423/000114420410007241/v173157_ex3-1.htm" TargetMode="External"/><Relationship Id="rId21" Type="http://schemas.openxmlformats.org/officeDocument/2006/relationships/hyperlink" Target="http://www.sec.gov/Archives/edgar/data/1342423/000114420410007241/v173157_ex3-2.htm" TargetMode="External"/><Relationship Id="rId22" Type="http://schemas.openxmlformats.org/officeDocument/2006/relationships/hyperlink" Target="http://www.sec.gov/Archives/edgar/data/1342423/000114420410007241/v173157_ex3-3.htm" TargetMode="External"/><Relationship Id="rId23" Type="http://schemas.openxmlformats.org/officeDocument/2006/relationships/hyperlink" Target="http://www.sec.gov/Archives/edgar/data/1342423/000114420410007241/v173157_ex3-6.htm" TargetMode="External"/><Relationship Id="rId24" Type="http://schemas.openxmlformats.org/officeDocument/2006/relationships/hyperlink" Target="http://www.sec.gov/Archives/edgar/data/1342423/000114420410007241/v173157_ex3-7.htm" TargetMode="External"/><Relationship Id="rId25" Type="http://schemas.openxmlformats.org/officeDocument/2006/relationships/hyperlink" Target="http://www.sec.gov/Archives/edgar/data/1342423/000114420410017415/v178900_ex3-9.htm" TargetMode="External"/><Relationship Id="rId26" Type="http://schemas.openxmlformats.org/officeDocument/2006/relationships/hyperlink" Target="http://www.sec.gov/Archives/edgar/data/1342423/000114420417018212/v463210_ex3-1.htm" TargetMode="External"/><Relationship Id="rId27" Type="http://schemas.openxmlformats.org/officeDocument/2006/relationships/hyperlink" Target="http://www.sec.gov/Archives/edgar/data/1342423/000114420413002202/v330368_ex3-10.htm" TargetMode="External"/><Relationship Id="rId28" Type="http://schemas.openxmlformats.org/officeDocument/2006/relationships/hyperlink" Target="http://www.sec.gov/Archives/edgar/data/1342423/000114420413052234/v354983_ex3-1.htm" TargetMode="External"/><Relationship Id="rId29" Type="http://schemas.openxmlformats.org/officeDocument/2006/relationships/hyperlink" Target="http://www.sec.gov/Archives/edgar/data/1342423/000114420414074732/v396904_ex3-1.htm" TargetMode="External"/><Relationship Id="rId30" Type="http://schemas.openxmlformats.org/officeDocument/2006/relationships/hyperlink" Target="http://www.sec.gov/Archives/edgar/data/1342423/000114420417003812/v457525_ex3-1.htm" TargetMode="External"/><Relationship Id="rId31" Type="http://schemas.openxmlformats.org/officeDocument/2006/relationships/hyperlink" Target="http://www.sec.gov/Archives/edgar/data/1342423/000114420417038316/v471546_ex3-1.htm" TargetMode="External"/><Relationship Id="rId32" Type="http://schemas.openxmlformats.org/officeDocument/2006/relationships/hyperlink" Target="http://www.sec.gov/Archives/edgar/data/1342423/000114420410007241/v173157_ex4-1.htm" TargetMode="External"/><Relationship Id="rId33" Type="http://schemas.openxmlformats.org/officeDocument/2006/relationships/hyperlink" Target="http://www.sec.gov/Archives/edgar/data/1342423/000114420410007241/v173157_ex4-2.htm" TargetMode="External"/><Relationship Id="rId34" Type="http://schemas.openxmlformats.org/officeDocument/2006/relationships/hyperlink" Target="http://www.sec.gov/Archives/edgar/data/1342423/000114420410007241/v173157_ex3-4.htm" TargetMode="External"/><Relationship Id="rId35" Type="http://schemas.openxmlformats.org/officeDocument/2006/relationships/hyperlink" Target="http://www.sec.gov/Archives/edgar/data/1342423/000114420410007241/v173157_ex3-5.htm" TargetMode="External"/><Relationship Id="rId36" Type="http://schemas.openxmlformats.org/officeDocument/2006/relationships/hyperlink" Target="http://www.sec.gov/Archives/edgar/data/1342423/000114420410007241/v173157_ex3-8.htm" TargetMode="External"/><Relationship Id="rId37" Type="http://schemas.openxmlformats.org/officeDocument/2006/relationships/hyperlink" Target="http://www.sec.gov/Archives/edgar/data/1342423/000114420414017379/v372494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2019-12-28T14:45:51Z</dcterms:created>
  <dcterms:modified xsi:type="dcterms:W3CDTF">2019-12-28T14:45:51Z</dcterms:modified>
</cp:coreProperties>
</file>