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 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-199390</wp:posOffset>
            </wp:positionV>
            <wp:extent cx="4029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22860</wp:posOffset>
            </wp:positionV>
            <wp:extent cx="4029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268" w:lineRule="exact"/>
        <w:rPr>
          <w:sz w:val="24"/>
          <w:szCs w:val="24"/>
          <w:color w:val="auto"/>
        </w:rPr>
      </w:pPr>
    </w:p>
    <w:p>
      <w:pPr>
        <w:ind w:left="340" w:hanging="259"/>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APRIL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340" w:hanging="259"/>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5" w:lineRule="exact"/>
        <w:rPr>
          <w:sz w:val="24"/>
          <w:szCs w:val="24"/>
          <w:color w:val="auto"/>
        </w:rPr>
      </w:pPr>
    </w:p>
    <w:p>
      <w:pPr>
        <w:ind w:left="340"/>
        <w:spacing w:after="0"/>
        <w:tabs>
          <w:tab w:leader="none" w:pos="4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2350770</wp:posOffset>
            </wp:positionH>
            <wp:positionV relativeFrom="paragraph">
              <wp:posOffset>-11430</wp:posOffset>
            </wp:positionV>
            <wp:extent cx="903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3605" cy="8890"/>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001-34755</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-294640</wp:posOffset>
            </wp:positionV>
            <wp:extent cx="402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4445</wp:posOffset>
            </wp:positionV>
            <wp:extent cx="4029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280" w:lineRule="exact"/>
        <w:rPr>
          <w:sz w:val="24"/>
          <w:szCs w:val="24"/>
          <w:color w:val="auto"/>
        </w:rPr>
      </w:pPr>
    </w:p>
    <w:tbl>
      <w:tblPr>
        <w:tblLayout w:type="fixed"/>
        <w:tblInd w:w="500" w:type="dxa"/>
        <w:tblCellMar>
          <w:top w:w="0" w:type="dxa"/>
          <w:left w:w="0" w:type="dxa"/>
          <w:bottom w:w="0" w:type="dxa"/>
          <w:right w:w="0" w:type="dxa"/>
        </w:tblCellMar>
      </w:tblPr>
      <w:tr>
        <w:trPr>
          <w:trHeight w:val="229"/>
        </w:trPr>
        <w:tc>
          <w:tcPr>
            <w:tcW w:w="560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850"/>
              <w:spacing w:after="0"/>
              <w:rPr>
                <w:sz w:val="20"/>
                <w:szCs w:val="20"/>
                <w:color w:val="auto"/>
              </w:rPr>
            </w:pPr>
            <w:r>
              <w:rPr>
                <w:rFonts w:ascii="Arial" w:cs="Arial" w:eastAsia="Arial" w:hAnsi="Arial"/>
                <w:sz w:val="18"/>
                <w:szCs w:val="18"/>
                <w:b w:val="1"/>
                <w:bCs w:val="1"/>
                <w:color w:val="auto"/>
              </w:rPr>
              <w:t>77-0260692</w:t>
            </w:r>
          </w:p>
        </w:tc>
      </w:tr>
      <w:tr>
        <w:trPr>
          <w:trHeight w:val="234"/>
        </w:trPr>
        <w:tc>
          <w:tcPr>
            <w:tcW w:w="560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20" w:type="dxa"/>
            <w:vAlign w:val="bottom"/>
          </w:tcPr>
          <w:p>
            <w:pPr>
              <w:jc w:val="center"/>
              <w:ind w:left="8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46"/>
        </w:trPr>
        <w:tc>
          <w:tcPr>
            <w:tcW w:w="5600" w:type="dxa"/>
            <w:vAlign w:val="bottom"/>
          </w:tcPr>
          <w:p>
            <w:pPr>
              <w:jc w:val="center"/>
              <w:ind w:right="872"/>
              <w:spacing w:after="0"/>
              <w:rPr>
                <w:sz w:val="20"/>
                <w:szCs w:val="20"/>
                <w:color w:val="auto"/>
              </w:rPr>
            </w:pPr>
            <w:r>
              <w:rPr>
                <w:rFonts w:ascii="Arial" w:cs="Arial" w:eastAsia="Arial" w:hAnsi="Arial"/>
                <w:sz w:val="16"/>
                <w:szCs w:val="16"/>
                <w:b w:val="1"/>
                <w:bCs w:val="1"/>
                <w:color w:val="auto"/>
                <w:w w:val="92"/>
              </w:rPr>
              <w:t>1141 Cummings Road</w:t>
            </w:r>
            <w:r>
              <w:rPr>
                <w:rFonts w:ascii="Arial" w:cs="Arial" w:eastAsia="Arial" w:hAnsi="Arial"/>
                <w:sz w:val="17"/>
                <w:szCs w:val="17"/>
                <w:b w:val="1"/>
                <w:bCs w:val="1"/>
                <w:color w:val="auto"/>
                <w:w w:val="92"/>
              </w:rPr>
              <w:t>,</w:t>
            </w:r>
            <w:r>
              <w:rPr>
                <w:rFonts w:ascii="Arial" w:cs="Arial" w:eastAsia="Arial" w:hAnsi="Arial"/>
                <w:sz w:val="16"/>
                <w:szCs w:val="16"/>
                <w:b w:val="1"/>
                <w:bCs w:val="1"/>
                <w:color w:val="auto"/>
                <w:w w:val="92"/>
              </w:rPr>
              <w:t xml:space="preserve"> Santa Paula</w:t>
            </w:r>
            <w:r>
              <w:rPr>
                <w:rFonts w:ascii="Arial" w:cs="Arial" w:eastAsia="Arial" w:hAnsi="Arial"/>
                <w:sz w:val="17"/>
                <w:szCs w:val="17"/>
                <w:b w:val="1"/>
                <w:bCs w:val="1"/>
                <w:color w:val="auto"/>
                <w:w w:val="92"/>
              </w:rPr>
              <w:t>,</w:t>
            </w:r>
            <w:r>
              <w:rPr>
                <w:rFonts w:ascii="Arial" w:cs="Arial" w:eastAsia="Arial" w:hAnsi="Arial"/>
                <w:sz w:val="16"/>
                <w:szCs w:val="16"/>
                <w:b w:val="1"/>
                <w:bCs w:val="1"/>
                <w:color w:val="auto"/>
                <w:w w:val="92"/>
              </w:rPr>
              <w:t xml:space="preserve"> CA</w:t>
            </w:r>
          </w:p>
        </w:tc>
        <w:tc>
          <w:tcPr>
            <w:tcW w:w="3720" w:type="dxa"/>
            <w:vAlign w:val="bottom"/>
          </w:tcPr>
          <w:p>
            <w:pPr>
              <w:jc w:val="right"/>
              <w:ind w:right="1070"/>
              <w:spacing w:after="0"/>
              <w:rPr>
                <w:sz w:val="20"/>
                <w:szCs w:val="20"/>
                <w:color w:val="auto"/>
              </w:rPr>
            </w:pPr>
            <w:r>
              <w:rPr>
                <w:rFonts w:ascii="Arial" w:cs="Arial" w:eastAsia="Arial" w:hAnsi="Arial"/>
                <w:sz w:val="18"/>
                <w:szCs w:val="18"/>
                <w:b w:val="1"/>
                <w:bCs w:val="1"/>
                <w:color w:val="auto"/>
              </w:rPr>
              <w:t>93060</w:t>
            </w:r>
          </w:p>
        </w:tc>
      </w:tr>
      <w:tr>
        <w:trPr>
          <w:trHeight w:val="234"/>
        </w:trPr>
        <w:tc>
          <w:tcPr>
            <w:tcW w:w="5600" w:type="dxa"/>
            <w:vAlign w:val="bottom"/>
          </w:tcPr>
          <w:p>
            <w:pPr>
              <w:jc w:val="center"/>
              <w:ind w:right="852"/>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2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200" w:lineRule="exact"/>
        <w:rPr>
          <w:sz w:val="24"/>
          <w:szCs w:val="24"/>
          <w:color w:val="auto"/>
        </w:rPr>
      </w:pPr>
    </w:p>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(805) 525-5541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944" w:right="339" w:bottom="1440" w:gutter="0" w:footer="0" w:header="0"/>
        </w:sectPr>
      </w:pPr>
    </w:p>
    <w:p>
      <w:pPr>
        <w:spacing w:after="0" w:line="144"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Title of Each Class</w:t>
      </w:r>
    </w:p>
    <w:p>
      <w:pPr>
        <w:spacing w:after="0" w:line="212" w:lineRule="exact"/>
        <w:rPr>
          <w:sz w:val="24"/>
          <w:szCs w:val="24"/>
          <w:color w:val="auto"/>
        </w:rPr>
      </w:pPr>
    </w:p>
    <w:p>
      <w:pPr>
        <w:jc w:val="center"/>
        <w:ind w:right="14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Trading Symbol</w:t>
      </w:r>
    </w:p>
    <w:p>
      <w:pPr>
        <w:spacing w:after="0" w:line="235"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LMNR</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420"/>
        <w:spacing w:after="0" w:line="256" w:lineRule="auto"/>
        <w:rPr>
          <w:sz w:val="20"/>
          <w:szCs w:val="20"/>
          <w:color w:val="auto"/>
        </w:rPr>
      </w:pPr>
      <w:r>
        <w:rPr>
          <w:rFonts w:ascii="Arial" w:cs="Arial" w:eastAsia="Arial" w:hAnsi="Arial"/>
          <w:sz w:val="18"/>
          <w:szCs w:val="18"/>
          <w:color w:val="auto"/>
        </w:rPr>
        <w:t xml:space="preserve">Name of Each Exchange of Which Registered The </w:t>
      </w:r>
      <w:r>
        <w:rPr>
          <w:rFonts w:ascii="Arial" w:cs="Arial" w:eastAsia="Arial" w:hAnsi="Arial"/>
          <w:sz w:val="16"/>
          <w:szCs w:val="16"/>
          <w:color w:val="auto"/>
        </w:rPr>
        <w:t>NASDAQ</w:t>
      </w:r>
      <w:r>
        <w:rPr>
          <w:rFonts w:ascii="Arial" w:cs="Arial" w:eastAsia="Arial" w:hAnsi="Arial"/>
          <w:sz w:val="18"/>
          <w:szCs w:val="18"/>
          <w:color w:val="auto"/>
        </w:rPr>
        <w:t xml:space="preserve"> Stock Market LLC (NASDAQ Global Select Market)</w:t>
      </w:r>
    </w:p>
    <w:p>
      <w:pPr>
        <w:spacing w:after="0" w:line="200" w:lineRule="exact"/>
        <w:rPr>
          <w:sz w:val="24"/>
          <w:szCs w:val="24"/>
          <w:color w:val="auto"/>
        </w:rPr>
      </w:pPr>
    </w:p>
    <w:p>
      <w:pPr>
        <w:sectPr>
          <w:pgSz w:w="11900" w:h="16838" w:orient="portrait"/>
          <w:cols w:equalWidth="0" w:num="3">
            <w:col w:w="4320" w:space="720"/>
            <w:col w:w="1740" w:space="720"/>
            <w:col w:w="3740"/>
          </w:cols>
          <w:pgMar w:left="320" w:top="944" w:right="339" w:bottom="1440" w:gutter="0" w:footer="0" w:header="0"/>
          <w:type w:val="continuous"/>
        </w:sectPr>
      </w:pPr>
    </w:p>
    <w:p>
      <w:pPr>
        <w:spacing w:after="0" w:line="23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2" w:lineRule="exact"/>
        <w:rPr>
          <w:sz w:val="24"/>
          <w:szCs w:val="24"/>
          <w:color w:val="auto"/>
        </w:rPr>
      </w:pPr>
    </w:p>
    <w:p>
      <w:pPr>
        <w:jc w:val="both"/>
        <w:ind w:firstLine="446"/>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3" w:lineRule="exact"/>
        <w:rPr>
          <w:sz w:val="24"/>
          <w:szCs w:val="24"/>
          <w:color w:val="auto"/>
        </w:rPr>
      </w:pPr>
    </w:p>
    <w:p>
      <w:pPr>
        <w:jc w:val="both"/>
        <w:ind w:firstLine="44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44" w:right="339" w:bottom="1440" w:gutter="0" w:footer="0" w:header="0"/>
          <w:type w:val="continuous"/>
        </w:sectPr>
      </w:pPr>
    </w:p>
    <w:p>
      <w:pPr>
        <w:spacing w:after="0" w:line="125"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382" w:lineRule="exact"/>
        <w:rPr>
          <w:sz w:val="24"/>
          <w:szCs w:val="24"/>
          <w:color w:val="auto"/>
        </w:rPr>
      </w:pPr>
    </w:p>
    <w:p>
      <w:pPr>
        <w:sectPr>
          <w:pgSz w:w="11900" w:h="16838" w:orient="portrait"/>
          <w:cols w:equalWidth="0" w:num="6">
            <w:col w:w="180" w:space="280"/>
            <w:col w:w="2580" w:space="720"/>
            <w:col w:w="180" w:space="280"/>
            <w:col w:w="2580" w:space="720"/>
            <w:col w:w="160" w:space="280"/>
            <w:col w:w="3280"/>
          </w:cols>
          <w:pgMar w:left="320" w:top="944" w:right="339" w:bottom="1440" w:gutter="0" w:footer="0" w:header="0"/>
          <w:type w:val="continuous"/>
        </w:sectPr>
      </w:pPr>
    </w:p>
    <w:p>
      <w:pPr>
        <w:ind w:firstLine="446"/>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9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May 31, 2023, there were 17,978,910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 I. FINANCIAL INFORMATION</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98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8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Statements (Unaudited)</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1020" w:type="dxa"/>
            <w:vAlign w:val="bottom"/>
            <w:tcBorders>
              <w:top w:val="single" w:sz="8" w:color="CCEEFF"/>
            </w:tcBorders>
            <w:gridSpan w:val="2"/>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11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Balance Sheets – April 30, 2023 and October 31, 2022</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1020" w:type="dxa"/>
            <w:vAlign w:val="bottom"/>
            <w:tcBorders>
              <w:top w:val="single" w:sz="8" w:color="CCEEFF"/>
            </w:tcBorders>
            <w:gridSpan w:val="2"/>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1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Operations – three and six months ended April 30, 2023 and 2022</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1020" w:type="dxa"/>
            <w:vAlign w:val="bottom"/>
            <w:tcBorders>
              <w:top w:val="single" w:sz="8" w:color="CCEEFF"/>
            </w:tcBorders>
            <w:gridSpan w:val="2"/>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1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Comprehensive (Loss) Income – three and six months ended April 30, 2023 and 2022</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1020" w:type="dxa"/>
            <w:vAlign w:val="bottom"/>
            <w:tcBorders>
              <w:top w:val="single" w:sz="8" w:color="CCEEFF"/>
            </w:tcBorders>
            <w:gridSpan w:val="2"/>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11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Stockholders' Equity and Temporary Equity – three and six months ended April 30, 2023 and 2022</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1020" w:type="dxa"/>
            <w:vAlign w:val="bottom"/>
            <w:tcBorders>
              <w:top w:val="single" w:sz="8" w:color="CCEEFF"/>
            </w:tcBorders>
            <w:gridSpan w:val="2"/>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r>
      <w:tr>
        <w:trPr>
          <w:trHeight w:val="210"/>
        </w:trPr>
        <w:tc>
          <w:tcPr>
            <w:tcW w:w="20" w:type="dxa"/>
            <w:vAlign w:val="bottom"/>
          </w:tcPr>
          <w:p>
            <w:pPr>
              <w:spacing w:after="0"/>
              <w:rPr>
                <w:sz w:val="18"/>
                <w:szCs w:val="18"/>
                <w:color w:val="auto"/>
              </w:rPr>
            </w:pPr>
          </w:p>
        </w:tc>
        <w:tc>
          <w:tcPr>
            <w:tcW w:w="110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Cash Flows – six months ended April 30, 2023 and 2022</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8</w:t>
            </w: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1020" w:type="dxa"/>
            <w:vAlign w:val="bottom"/>
            <w:tcBorders>
              <w:top w:val="single" w:sz="8" w:color="CCEEFF"/>
            </w:tcBorders>
            <w:gridSpan w:val="2"/>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110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Notes to Consolidated Financial Statements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10</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98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8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25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98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8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42</w:t>
            </w: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98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8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42</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1020" w:type="dxa"/>
            <w:vAlign w:val="bottom"/>
            <w:tcBorders>
              <w:top w:val="single" w:sz="8" w:color="CCEEFF"/>
            </w:tcBorders>
            <w:gridSpan w:val="2"/>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10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98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8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98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98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98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8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98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8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98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8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98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5.</w:t>
            </w:r>
          </w:p>
        </w:tc>
        <w:tc>
          <w:tcPr>
            <w:tcW w:w="98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98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98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44</w:t>
            </w: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160" w:type="dxa"/>
            <w:vAlign w:val="bottom"/>
            <w:tcBorders>
              <w:top w:val="single" w:sz="8" w:color="CCEEFF"/>
            </w:tcBorders>
          </w:tcPr>
          <w:p>
            <w:pPr>
              <w:spacing w:after="0"/>
              <w:rPr>
                <w:sz w:val="21"/>
                <w:szCs w:val="21"/>
                <w:color w:val="auto"/>
              </w:rPr>
            </w:pPr>
          </w:p>
        </w:tc>
        <w:tc>
          <w:tcPr>
            <w:tcW w:w="98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SIGNATURES</w:t>
            </w:r>
          </w:p>
        </w:tc>
        <w:tc>
          <w:tcPr>
            <w:tcW w:w="9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46</w:t>
            </w:r>
          </w:p>
        </w:tc>
        <w:tc>
          <w:tcPr>
            <w:tcW w:w="20" w:type="dxa"/>
            <w:vAlign w:val="bottom"/>
          </w:tcPr>
          <w:p>
            <w:pPr>
              <w:spacing w:after="0"/>
              <w:rPr>
                <w:sz w:val="18"/>
                <w:szCs w:val="18"/>
                <w:color w:val="auto"/>
              </w:rPr>
            </w:pPr>
          </w:p>
        </w:tc>
      </w:tr>
      <w:tr>
        <w:trPr>
          <w:trHeight w:val="864"/>
        </w:trPr>
        <w:tc>
          <w:tcPr>
            <w:tcW w:w="20" w:type="dxa"/>
            <w:vAlign w:val="bottom"/>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9860" w:type="dxa"/>
            <w:vAlign w:val="bottom"/>
            <w:tcBorders>
              <w:top w:val="single" w:sz="8" w:color="CCEEFF"/>
            </w:tcBorders>
          </w:tcPr>
          <w:p>
            <w:pPr>
              <w:ind w:left="4400"/>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9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 this quarterly report include:</w:t>
      </w:r>
    </w:p>
    <w:p>
      <w:pPr>
        <w:spacing w:after="0" w:line="11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executing the Company's business plans and strategies and managing the risks involved in the foregoing;</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impacts related to the COVID-19 pandemic and our Company's responses to the pandemic;</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regulations, rules, quotas, tariffs, and import laws;</w:t>
      </w:r>
    </w:p>
    <w:p>
      <w:pPr>
        <w:spacing w:after="0" w:line="7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natural disasters and other adverse natural conditions, including freezes, rains, fires, winds and droughts that affect the production, transportation, storage, import and export of fresh produce;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responses to industry volume pressures;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pressure from disease, insects and other pests;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of water supplies or changes in water allocations;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in the global supply chain;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and raw materials supplies and pricing;</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supply and pricing;</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impact of inflation;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financing for development activities;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for residential and commercial real estate development;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changes and economic crises;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conflict;</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disruptions, strikes, shortages or work stoppages;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exchange rate movements;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maintain compliance with covenants under our loan agreements;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important intellectual property rights;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in our public filings with the Securities and Exchange Commission (the "SEC").</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forward-looking statements involve risks and uncertainties that we have identified as having the potential to cause actual results to differ materially from those contemplated herein. We have described in Part I, Item 1A Risk Factors in our Annual Report on Form 10-K for the fiscal year ended October 31, 2022 additional factors that could cause our actual results to differ from our projections or estimates.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2022.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 references to “we,” "us," “our,” “our Company,” "the Company" or "Limoneira" in this Quarterly Report on Form 10-Q mean Limoneira Company,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CONSOLIDATED BALANCE SHEETS (UNAUDITED)</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in thousands, except share amounts)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7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April 30, 2023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October 31, 2022</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17,766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15,651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Cultural costs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8,643</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11,749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8,496</w:t>
            </w:r>
          </w:p>
        </w:tc>
        <w:tc>
          <w:tcPr>
            <w:tcW w:w="0" w:type="dxa"/>
            <w:vAlign w:val="bottom"/>
          </w:tcPr>
          <w:p>
            <w:pPr>
              <w:spacing w:after="0"/>
              <w:rPr>
                <w:sz w:val="1"/>
                <w:szCs w:val="1"/>
                <w:color w:val="auto"/>
              </w:rPr>
            </w:pPr>
          </w:p>
        </w:tc>
      </w:tr>
      <w:tr>
        <w:trPr>
          <w:trHeight w:val="205"/>
        </w:trPr>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Receivables/other from related parties</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0" w:type="dxa"/>
            <w:vAlign w:val="bottom"/>
          </w:tcPr>
          <w:p>
            <w:pPr>
              <w:spacing w:after="0"/>
              <w:rPr>
                <w:sz w:val="1"/>
                <w:szCs w:val="1"/>
                <w:color w:val="auto"/>
              </w:rPr>
            </w:pPr>
          </w:p>
        </w:tc>
      </w:tr>
      <w:tr>
        <w:trPr>
          <w:trHeight w:val="207"/>
        </w:trPr>
        <w:tc>
          <w:tcPr>
            <w:tcW w:w="764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45,337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37,535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222,628</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Real estate development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9,706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investments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72,855</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7,317</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15,378</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16,971</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316,326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368,518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8,375</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10,663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Growers and suppliers payable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10,740</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7,940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11,060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Payables to related parties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9"/>
        </w:trPr>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07"/>
        </w:trPr>
        <w:tc>
          <w:tcPr>
            <w:tcW w:w="764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38,368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39,274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Long-term debt, less current portion</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40,837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104,076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23,497</w:t>
            </w:r>
          </w:p>
        </w:tc>
        <w:tc>
          <w:tcPr>
            <w:tcW w:w="0" w:type="dxa"/>
            <w:vAlign w:val="bottom"/>
          </w:tcPr>
          <w:p>
            <w:pPr>
              <w:spacing w:after="0"/>
              <w:rPr>
                <w:sz w:val="1"/>
                <w:szCs w:val="1"/>
                <w:color w:val="auto"/>
              </w:rPr>
            </w:pPr>
          </w:p>
        </w:tc>
      </w:tr>
      <w:tr>
        <w:trPr>
          <w:trHeight w:val="216"/>
        </w:trPr>
        <w:tc>
          <w:tcPr>
            <w:tcW w:w="7640" w:type="dxa"/>
            <w:vAlign w:val="bottom"/>
          </w:tcPr>
          <w:p>
            <w:pPr>
              <w:ind w:left="2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6,670</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9,807</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176,654</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6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Series B Convertible Preferred Stock – $100.00 par value (50,000 shares authorized: 14,790 shares issued and</w:t>
            </w:r>
          </w:p>
        </w:tc>
        <w:tc>
          <w:tcPr>
            <w:tcW w:w="2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April 30, 2023 and October 31, 2022) (8.75% coupon rate)</w:t>
            </w:r>
          </w:p>
        </w:tc>
        <w:tc>
          <w:tcPr>
            <w:tcW w:w="2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40" w:type="dxa"/>
            <w:vAlign w:val="bottom"/>
          </w:tcPr>
          <w:p>
            <w:pPr>
              <w:ind w:left="20"/>
              <w:spacing w:after="0" w:line="166" w:lineRule="exact"/>
              <w:rPr>
                <w:sz w:val="20"/>
                <w:szCs w:val="20"/>
                <w:color w:val="auto"/>
              </w:rPr>
            </w:pPr>
            <w:r>
              <w:rPr>
                <w:rFonts w:ascii="Arial" w:cs="Arial" w:eastAsia="Arial" w:hAnsi="Arial"/>
                <w:sz w:val="16"/>
                <w:szCs w:val="16"/>
                <w:color w:val="auto"/>
                <w:w w:val="95"/>
              </w:rPr>
              <w:t>Series B-2 Convertible Preferred Stock – $100.00 par value (10,000 shares authorized: 9,300 shares issued and</w:t>
            </w: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9,331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9,331</w:t>
            </w:r>
          </w:p>
        </w:tc>
        <w:tc>
          <w:tcPr>
            <w:tcW w:w="0" w:type="dxa"/>
            <w:vAlign w:val="bottom"/>
          </w:tcPr>
          <w:p>
            <w:pPr>
              <w:spacing w:after="0"/>
              <w:rPr>
                <w:sz w:val="1"/>
                <w:szCs w:val="1"/>
                <w:color w:val="auto"/>
              </w:rPr>
            </w:pPr>
          </w:p>
        </w:tc>
      </w:tr>
      <w:tr>
        <w:trPr>
          <w:trHeight w:val="209"/>
        </w:trPr>
        <w:tc>
          <w:tcPr>
            <w:tcW w:w="7640" w:type="dxa"/>
            <w:vAlign w:val="bottom"/>
          </w:tcPr>
          <w:p>
            <w:pPr>
              <w:ind w:left="20"/>
              <w:spacing w:after="0"/>
              <w:rPr>
                <w:sz w:val="20"/>
                <w:szCs w:val="20"/>
                <w:color w:val="auto"/>
              </w:rPr>
            </w:pPr>
            <w:r>
              <w:rPr>
                <w:rFonts w:ascii="Arial" w:cs="Arial" w:eastAsia="Arial" w:hAnsi="Arial"/>
                <w:sz w:val="16"/>
                <w:szCs w:val="16"/>
                <w:color w:val="auto"/>
                <w:w w:val="96"/>
              </w:rPr>
              <w:t>outstanding at April 30, 2023 and October 31, 2022) (4% dividend rate on liquidation value of $1,000 per share)</w:t>
            </w: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640" w:type="dxa"/>
            <w:vAlign w:val="bottom"/>
          </w:tcPr>
          <w:p>
            <w:pPr>
              <w:ind w:left="220"/>
              <w:spacing w:after="0" w:line="166" w:lineRule="exact"/>
              <w:rPr>
                <w:sz w:val="20"/>
                <w:szCs w:val="20"/>
                <w:color w:val="auto"/>
              </w:rPr>
            </w:pPr>
            <w:r>
              <w:rPr>
                <w:rFonts w:ascii="Arial" w:cs="Arial" w:eastAsia="Arial" w:hAnsi="Arial"/>
                <w:sz w:val="16"/>
                <w:szCs w:val="16"/>
                <w:color w:val="auto"/>
                <w:w w:val="99"/>
              </w:rPr>
              <w:t>Series A Junior Participating Preferred Stock – $0.01 par value (20,000 shares authorized: zero issued or</w:t>
            </w: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40" w:type="dxa"/>
            <w:vAlign w:val="bottom"/>
          </w:tcPr>
          <w:p>
            <w:pPr>
              <w:ind w:left="220"/>
              <w:spacing w:after="0"/>
              <w:rPr>
                <w:sz w:val="20"/>
                <w:szCs w:val="20"/>
                <w:color w:val="auto"/>
              </w:rPr>
            </w:pPr>
            <w:r>
              <w:rPr>
                <w:rFonts w:ascii="Arial" w:cs="Arial" w:eastAsia="Arial" w:hAnsi="Arial"/>
                <w:sz w:val="16"/>
                <w:szCs w:val="16"/>
                <w:color w:val="auto"/>
              </w:rPr>
              <w:t>outstanding at April 30, 2023 and October 31, 2022)</w:t>
            </w: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2"/>
              </w:rPr>
              <w:t>Common Stock – $0.01 par value (39,000,000 shares authorized: 18,229,887 and 17,935,292 shares issued and</w:t>
            </w:r>
          </w:p>
        </w:tc>
        <w:tc>
          <w:tcPr>
            <w:tcW w:w="2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17,978,910 and 17,684,315 shares outstanding at April 30, 2023 and October 31, 2022, respectively)</w:t>
            </w:r>
          </w:p>
        </w:tc>
        <w:tc>
          <w:tcPr>
            <w:tcW w:w="2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167,169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165,169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(7,908)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250,977 shares at April 30, 2023 and October 31, 2022</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16"/>
        </w:trPr>
        <w:tc>
          <w:tcPr>
            <w:tcW w:w="7640" w:type="dxa"/>
            <w:vAlign w:val="bottom"/>
          </w:tcPr>
          <w:p>
            <w:pPr>
              <w:ind w:left="22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11,417</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11,609</w:t>
            </w:r>
          </w:p>
        </w:tc>
        <w:tc>
          <w:tcPr>
            <w:tcW w:w="0" w:type="dxa"/>
            <w:vAlign w:val="bottom"/>
          </w:tcPr>
          <w:p>
            <w:pPr>
              <w:spacing w:after="0"/>
              <w:rPr>
                <w:sz w:val="1"/>
                <w:szCs w:val="1"/>
                <w:color w:val="auto"/>
              </w:rPr>
            </w:pPr>
          </w:p>
        </w:tc>
      </w:tr>
      <w:tr>
        <w:trPr>
          <w:trHeight w:val="209"/>
        </w:trPr>
        <w:tc>
          <w:tcPr>
            <w:tcW w:w="7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197,844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181,054</w:t>
            </w:r>
          </w:p>
        </w:tc>
        <w:tc>
          <w:tcPr>
            <w:tcW w:w="0" w:type="dxa"/>
            <w:vAlign w:val="bottom"/>
          </w:tcPr>
          <w:p>
            <w:pPr>
              <w:spacing w:after="0"/>
              <w:rPr>
                <w:sz w:val="1"/>
                <w:szCs w:val="1"/>
                <w:color w:val="auto"/>
              </w:rPr>
            </w:pPr>
          </w:p>
        </w:tc>
      </w:tr>
      <w:tr>
        <w:trPr>
          <w:trHeight w:val="210"/>
        </w:trPr>
        <w:tc>
          <w:tcPr>
            <w:tcW w:w="764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316,326</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368,518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060"/>
          </w:cols>
          <w:pgMar w:left="320" w:top="93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31" w:right="51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OPERATIONS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in thousands, except share amounts)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April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April 30,</w:t>
            </w:r>
          </w:p>
        </w:tc>
        <w:tc>
          <w:tcPr>
            <w:tcW w:w="940" w:type="dxa"/>
            <w:vAlign w:val="bottom"/>
            <w:tcBorders>
              <w:bottom w:val="single" w:sz="8" w:color="auto"/>
            </w:tcBorders>
          </w:tcPr>
          <w:p>
            <w:pPr>
              <w:spacing w:after="0"/>
              <w:rPr>
                <w:sz w:val="18"/>
                <w:szCs w:val="18"/>
                <w:color w:val="auto"/>
              </w:rPr>
            </w:pPr>
          </w:p>
        </w:tc>
      </w:tr>
      <w:tr>
        <w:trPr>
          <w:trHeight w:val="210"/>
        </w:trPr>
        <w:tc>
          <w:tcPr>
            <w:tcW w:w="5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r>
      <w:tr>
        <w:trPr>
          <w:trHeight w:val="212"/>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5640" w:type="dxa"/>
            <w:vAlign w:val="bottom"/>
          </w:tcPr>
          <w:p>
            <w:pPr>
              <w:ind w:left="220"/>
              <w:spacing w:after="0"/>
              <w:rPr>
                <w:sz w:val="20"/>
                <w:szCs w:val="20"/>
                <w:color w:val="auto"/>
              </w:rPr>
            </w:pPr>
            <w:r>
              <w:rPr>
                <w:rFonts w:ascii="Arial" w:cs="Arial" w:eastAsia="Arial" w:hAnsi="Arial"/>
                <w:sz w:val="16"/>
                <w:szCs w:val="16"/>
                <w:color w:val="auto"/>
              </w:rPr>
              <w:t>Agribusiness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46,676</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45,369</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83,204</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83,452</w:t>
            </w:r>
          </w:p>
        </w:tc>
      </w:tr>
      <w:tr>
        <w:trPr>
          <w:trHeight w:val="206"/>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operations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2,572</w:t>
            </w: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Total net revenues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48,070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46,750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85,971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86,024</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640" w:type="dxa"/>
            <w:vAlign w:val="bottom"/>
          </w:tcPr>
          <w:p>
            <w:pPr>
              <w:ind w:left="220"/>
              <w:spacing w:after="0"/>
              <w:rPr>
                <w:sz w:val="20"/>
                <w:szCs w:val="20"/>
                <w:color w:val="auto"/>
              </w:rPr>
            </w:pPr>
            <w:r>
              <w:rPr>
                <w:rFonts w:ascii="Arial" w:cs="Arial" w:eastAsia="Arial" w:hAnsi="Arial"/>
                <w:sz w:val="16"/>
                <w:szCs w:val="16"/>
                <w:color w:val="auto"/>
              </w:rPr>
              <w:t>Agribusiness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37,599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79,430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78,843</w:t>
            </w:r>
          </w:p>
        </w:tc>
      </w:tr>
      <w:tr>
        <w:trPr>
          <w:trHeight w:val="219"/>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r>
      <w:tr>
        <w:trPr>
          <w:trHeight w:val="213"/>
        </w:trPr>
        <w:tc>
          <w:tcPr>
            <w:tcW w:w="5640" w:type="dxa"/>
            <w:vAlign w:val="bottom"/>
          </w:tcPr>
          <w:p>
            <w:pPr>
              <w:ind w:left="220"/>
              <w:spacing w:after="0"/>
              <w:rPr>
                <w:sz w:val="20"/>
                <w:szCs w:val="20"/>
                <w:color w:val="auto"/>
              </w:rPr>
            </w:pPr>
            <w:r>
              <w:rPr>
                <w:rFonts w:ascii="Arial" w:cs="Arial" w:eastAsia="Arial" w:hAnsi="Arial"/>
                <w:sz w:val="16"/>
                <w:szCs w:val="16"/>
                <w:color w:val="auto"/>
              </w:rPr>
              <w:t>Loss (gain) on disposal of assets,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(30,744)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9"/>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legal settlement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64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11,725</w:t>
            </w:r>
          </w:p>
        </w:tc>
      </w:tr>
      <w:tr>
        <w:trPr>
          <w:trHeight w:val="209"/>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costs and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51,932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44,164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63,949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92,996</w:t>
            </w: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(6,972)</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6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9"/>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 of patronage dividends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r>
      <w:tr>
        <w:trPr>
          <w:trHeight w:val="213"/>
        </w:trPr>
        <w:tc>
          <w:tcPr>
            <w:tcW w:w="5640" w:type="dxa"/>
            <w:vAlign w:val="bottom"/>
          </w:tcPr>
          <w:p>
            <w:pPr>
              <w:ind w:left="220"/>
              <w:spacing w:after="0"/>
              <w:rPr>
                <w:sz w:val="20"/>
                <w:szCs w:val="20"/>
                <w:color w:val="auto"/>
              </w:rPr>
            </w:pPr>
            <w:r>
              <w:rPr>
                <w:rFonts w:ascii="Arial" w:cs="Arial" w:eastAsia="Arial" w:hAnsi="Arial"/>
                <w:sz w:val="16"/>
                <w:szCs w:val="16"/>
                <w:color w:val="auto"/>
              </w:rPr>
              <w:t>Equity in earnings of investments,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9"/>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7"/>
        </w:trPr>
        <w:tc>
          <w:tcPr>
            <w:tcW w:w="5640" w:type="dxa"/>
            <w:vAlign w:val="bottom"/>
          </w:tcPr>
          <w:p>
            <w:pPr>
              <w:ind w:left="20"/>
              <w:spacing w:after="0"/>
              <w:rPr>
                <w:sz w:val="20"/>
                <w:szCs w:val="20"/>
                <w:color w:val="auto"/>
              </w:rPr>
            </w:pPr>
            <w:r>
              <w:rPr>
                <w:rFonts w:ascii="Arial" w:cs="Arial" w:eastAsia="Arial" w:hAnsi="Arial"/>
                <w:sz w:val="16"/>
                <w:szCs w:val="16"/>
                <w:color w:val="auto"/>
              </w:rPr>
              <w:t>Total other income (expense)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 benefit (provision)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(6,962)</w:t>
            </w:r>
          </w:p>
        </w:tc>
      </w:tr>
      <w:tr>
        <w:trPr>
          <w:trHeight w:val="216"/>
        </w:trPr>
        <w:tc>
          <w:tcPr>
            <w:tcW w:w="5640" w:type="dxa"/>
            <w:vAlign w:val="bottom"/>
          </w:tcPr>
          <w:p>
            <w:pPr>
              <w:ind w:left="20"/>
              <w:spacing w:after="0"/>
              <w:rPr>
                <w:sz w:val="20"/>
                <w:szCs w:val="20"/>
                <w:color w:val="auto"/>
              </w:rPr>
            </w:pPr>
            <w:r>
              <w:rPr>
                <w:rFonts w:ascii="Arial" w:cs="Arial" w:eastAsia="Arial" w:hAnsi="Arial"/>
                <w:sz w:val="16"/>
                <w:szCs w:val="16"/>
                <w:color w:val="auto"/>
              </w:rPr>
              <w:t>Income tax benefit (provision)</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1,928</w:t>
            </w: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(5,034)</w:t>
            </w:r>
          </w:p>
        </w:tc>
      </w:tr>
      <w:tr>
        <w:trPr>
          <w:trHeight w:val="216"/>
        </w:trPr>
        <w:tc>
          <w:tcPr>
            <w:tcW w:w="5640" w:type="dxa"/>
            <w:vAlign w:val="bottom"/>
          </w:tcPr>
          <w:p>
            <w:pPr>
              <w:ind w:left="20"/>
              <w:spacing w:after="0"/>
              <w:rPr>
                <w:sz w:val="20"/>
                <w:szCs w:val="20"/>
                <w:color w:val="auto"/>
              </w:rPr>
            </w:pPr>
            <w:r>
              <w:rPr>
                <w:rFonts w:ascii="Arial" w:cs="Arial" w:eastAsia="Arial" w:hAnsi="Arial"/>
                <w:sz w:val="16"/>
                <w:szCs w:val="16"/>
                <w:color w:val="auto"/>
              </w:rPr>
              <w:t>Net loss (income) attributable to noncontrolling interest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1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Limoneira Company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w:t>
            </w:r>
          </w:p>
        </w:tc>
      </w:tr>
      <w:tr>
        <w:trPr>
          <w:trHeight w:val="216"/>
        </w:trPr>
        <w:tc>
          <w:tcPr>
            <w:tcW w:w="5640" w:type="dxa"/>
            <w:vAlign w:val="bottom"/>
          </w:tcPr>
          <w:p>
            <w:pPr>
              <w:ind w:left="20"/>
              <w:spacing w:after="0"/>
              <w:rPr>
                <w:sz w:val="20"/>
                <w:szCs w:val="20"/>
                <w:color w:val="auto"/>
              </w:rPr>
            </w:pPr>
            <w:r>
              <w:rPr>
                <w:rFonts w:ascii="Arial" w:cs="Arial" w:eastAsia="Arial" w:hAnsi="Arial"/>
                <w:sz w:val="16"/>
                <w:szCs w:val="16"/>
                <w:color w:val="auto"/>
              </w:rPr>
              <w:t>Preferred dividends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applicable to common stock</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(5,208)</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5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3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income per common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5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3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(loss) income per common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5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outstanding-basic</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17,597,000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17,511,000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17,587,000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17,461,000</w:t>
            </w:r>
          </w:p>
        </w:tc>
      </w:tr>
      <w:tr>
        <w:trPr>
          <w:trHeight w:val="210"/>
        </w:trPr>
        <w:tc>
          <w:tcPr>
            <w:tcW w:w="564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outstanding-diluted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17,597,000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17,511,000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18,328,000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17,461,000</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COMPREHENSIVE (LOSS) INCOME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5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April 30,</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April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13"/>
        </w:trPr>
        <w:tc>
          <w:tcPr>
            <w:tcW w:w="568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166"/>
        </w:trPr>
        <w:tc>
          <w:tcPr>
            <w:tcW w:w="5680" w:type="dxa"/>
            <w:vAlign w:val="bottom"/>
          </w:tcPr>
          <w:p>
            <w:pPr>
              <w:ind w:left="220"/>
              <w:spacing w:after="0" w:line="166" w:lineRule="exact"/>
              <w:rPr>
                <w:sz w:val="20"/>
                <w:szCs w:val="20"/>
                <w:color w:val="auto"/>
              </w:rPr>
            </w:pPr>
            <w:r>
              <w:rPr>
                <w:rFonts w:ascii="Arial" w:cs="Arial" w:eastAsia="Arial" w:hAnsi="Arial"/>
                <w:sz w:val="16"/>
                <w:szCs w:val="16"/>
                <w:color w:val="auto"/>
                <w:w w:val="97"/>
              </w:rPr>
              <w:t>Minimum pension liability adjustments, net of tax of $0, $27, $(135) and $54 for</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9"/>
        </w:trPr>
        <w:tc>
          <w:tcPr>
            <w:tcW w:w="5680" w:type="dxa"/>
            <w:vAlign w:val="bottom"/>
          </w:tcPr>
          <w:p>
            <w:pPr>
              <w:ind w:left="220"/>
              <w:spacing w:after="0"/>
              <w:rPr>
                <w:sz w:val="20"/>
                <w:szCs w:val="20"/>
                <w:color w:val="auto"/>
              </w:rPr>
            </w:pPr>
            <w:r>
              <w:rPr>
                <w:rFonts w:ascii="Arial" w:cs="Arial" w:eastAsia="Arial" w:hAnsi="Arial"/>
                <w:sz w:val="16"/>
                <w:szCs w:val="16"/>
                <w:color w:val="auto"/>
              </w:rPr>
              <w:t>the three and six months ended April 30, 2023 and 2022, respectively</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6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7"/>
              </w:rPr>
              <w:t>Pension settlement cost, net of tax of $0 and $756 for the three and six months</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ended April 30, 2023</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6"/>
                <w:szCs w:val="16"/>
                <w:color w:val="auto"/>
              </w:rPr>
              <w:t>Total other comprehensive (loss) income, net of tax</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3,897</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income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w:t>
            </w:r>
          </w:p>
        </w:tc>
        <w:tc>
          <w:tcPr>
            <w:tcW w:w="0" w:type="dxa"/>
            <w:vAlign w:val="bottom"/>
          </w:tcPr>
          <w:p>
            <w:pPr>
              <w:spacing w:after="0"/>
              <w:rPr>
                <w:sz w:val="1"/>
                <w:szCs w:val="1"/>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6"/>
                <w:szCs w:val="16"/>
                <w:color w:val="auto"/>
              </w:rPr>
              <w:t>Comprehensive loss (income) attributable to noncontrolling interest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income attributable to Limoneira Company</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STOCKHOLDERS' EQUITY AND TEMPORARY EQUITY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in thousands)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8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3"/>
                <w:szCs w:val="13"/>
                <w:b w:val="1"/>
                <w:bCs w:val="1"/>
                <w:color w:val="auto"/>
              </w:rPr>
              <w:t>Stockholders' Equity</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36"/>
        </w:trPr>
        <w:tc>
          <w:tcPr>
            <w:tcW w:w="1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56"/>
              <w:spacing w:after="0" w:line="136" w:lineRule="exact"/>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2"/>
              </w:rPr>
              <w:t>Series B</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1"/>
              </w:rPr>
              <w:t>Series B-2</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70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4"/>
              </w:rPr>
              <w:t>Treasury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800" w:type="dxa"/>
            <w:vAlign w:val="bottom"/>
          </w:tcPr>
          <w:p>
            <w:pPr>
              <w:spacing w:after="0"/>
              <w:rPr>
                <w:sz w:val="15"/>
                <w:szCs w:val="15"/>
                <w:color w:val="auto"/>
              </w:rPr>
            </w:pPr>
          </w:p>
        </w:tc>
        <w:tc>
          <w:tcPr>
            <w:tcW w:w="170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36"/>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56"/>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controlling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Preferred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36"/>
              <w:spacing w:after="0"/>
              <w:rPr>
                <w:sz w:val="20"/>
                <w:szCs w:val="20"/>
                <w:color w:val="auto"/>
              </w:rPr>
            </w:pPr>
            <w:r>
              <w:rPr>
                <w:rFonts w:ascii="Arial" w:cs="Arial" w:eastAsia="Arial" w:hAnsi="Arial"/>
                <w:sz w:val="13"/>
                <w:szCs w:val="13"/>
                <w:b w:val="1"/>
                <w:bCs w:val="1"/>
                <w:color w:val="auto"/>
                <w:w w:val="93"/>
              </w:rPr>
              <w:t>Preferred</w:t>
            </w:r>
          </w:p>
        </w:tc>
        <w:tc>
          <w:tcPr>
            <w:tcW w:w="0" w:type="dxa"/>
            <w:vAlign w:val="bottom"/>
          </w:tcPr>
          <w:p>
            <w:pPr>
              <w:spacing w:after="0"/>
              <w:rPr>
                <w:sz w:val="1"/>
                <w:szCs w:val="1"/>
                <w:color w:val="auto"/>
              </w:rPr>
            </w:pPr>
          </w:p>
        </w:tc>
      </w:tr>
      <w:tr>
        <w:trPr>
          <w:trHeight w:val="177"/>
        </w:trPr>
        <w:tc>
          <w:tcPr>
            <w:tcW w:w="1800" w:type="dxa"/>
            <w:vAlign w:val="bottom"/>
          </w:tcPr>
          <w:p>
            <w:pPr>
              <w:spacing w:after="0"/>
              <w:rPr>
                <w:sz w:val="15"/>
                <w:szCs w:val="15"/>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Earnings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2"/>
              </w:rPr>
              <w:t>(Loss) Income</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3"/>
              </w:rPr>
              <w:t>Interest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5"/>
              </w:rPr>
              <w:t>Stock</w:t>
            </w:r>
          </w:p>
        </w:tc>
        <w:tc>
          <w:tcPr>
            <w:tcW w:w="0" w:type="dxa"/>
            <w:vAlign w:val="bottom"/>
          </w:tcPr>
          <w:p>
            <w:pPr>
              <w:spacing w:after="0"/>
              <w:rPr>
                <w:sz w:val="1"/>
                <w:szCs w:val="1"/>
                <w:color w:val="auto"/>
              </w:rPr>
            </w:pPr>
          </w:p>
        </w:tc>
      </w:tr>
      <w:tr>
        <w:trPr>
          <w:trHeight w:val="176"/>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October 31, 2022</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17,684,315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2"/>
              </w:rPr>
              <w:t>(3,493)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181,054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34"/>
        </w:trPr>
        <w:tc>
          <w:tcPr>
            <w:tcW w:w="1800" w:type="dxa"/>
            <w:vAlign w:val="bottom"/>
          </w:tcPr>
          <w:p>
            <w:pPr>
              <w:ind w:left="20"/>
              <w:spacing w:after="0" w:line="134" w:lineRule="exact"/>
              <w:rPr>
                <w:sz w:val="20"/>
                <w:szCs w:val="20"/>
                <w:color w:val="auto"/>
              </w:rPr>
            </w:pPr>
            <w:r>
              <w:rPr>
                <w:rFonts w:ascii="Arial" w:cs="Arial" w:eastAsia="Arial" w:hAnsi="Arial"/>
                <w:sz w:val="13"/>
                <w:szCs w:val="13"/>
                <w:color w:val="auto"/>
                <w:w w:val="95"/>
              </w:rPr>
              <w:t>Dividends Common ($0.075 per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800" w:type="dxa"/>
            <w:vAlign w:val="bottom"/>
          </w:tcPr>
          <w:p>
            <w:pPr>
              <w:ind w:left="20"/>
              <w:spacing w:after="0"/>
              <w:rPr>
                <w:sz w:val="20"/>
                <w:szCs w:val="20"/>
                <w:color w:val="auto"/>
              </w:rPr>
            </w:pPr>
            <w:r>
              <w:rPr>
                <w:rFonts w:ascii="Arial" w:cs="Arial" w:eastAsia="Arial" w:hAnsi="Arial"/>
                <w:sz w:val="13"/>
                <w:szCs w:val="13"/>
                <w:color w:val="auto"/>
              </w:rPr>
              <w:t>share)</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8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800" w:type="dxa"/>
            <w:vAlign w:val="bottom"/>
          </w:tcPr>
          <w:p>
            <w:pPr>
              <w:ind w:left="20"/>
              <w:spacing w:after="0"/>
              <w:rPr>
                <w:sz w:val="20"/>
                <w:szCs w:val="20"/>
                <w:color w:val="auto"/>
              </w:rPr>
            </w:pPr>
            <w:r>
              <w:rPr>
                <w:rFonts w:ascii="Arial" w:cs="Arial" w:eastAsia="Arial" w:hAnsi="Arial"/>
                <w:sz w:val="13"/>
                <w:szCs w:val="13"/>
                <w:color w:val="auto"/>
              </w:rPr>
              <w:t>share)</w:t>
            </w: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146,289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800" w:type="dxa"/>
            <w:vAlign w:val="bottom"/>
          </w:tcPr>
          <w:p>
            <w:pPr>
              <w:ind w:left="20"/>
              <w:spacing w:after="0"/>
              <w:rPr>
                <w:sz w:val="20"/>
                <w:szCs w:val="20"/>
                <w:color w:val="auto"/>
              </w:rPr>
            </w:pPr>
            <w:r>
              <w:rPr>
                <w:rFonts w:ascii="Arial" w:cs="Arial" w:eastAsia="Arial" w:hAnsi="Arial"/>
                <w:sz w:val="13"/>
                <w:szCs w:val="13"/>
                <w:color w:val="auto"/>
                <w:w w:val="89"/>
              </w:rPr>
              <w:t>Noncontrolling interest adjustment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800" w:type="dxa"/>
            <w:vAlign w:val="bottom"/>
          </w:tcPr>
          <w:p>
            <w:pPr>
              <w:ind w:left="20"/>
              <w:spacing w:after="0" w:line="134" w:lineRule="exact"/>
              <w:rPr>
                <w:sz w:val="20"/>
                <w:szCs w:val="20"/>
                <w:color w:val="auto"/>
              </w:rPr>
            </w:pPr>
            <w:r>
              <w:rPr>
                <w:rFonts w:ascii="Arial" w:cs="Arial" w:eastAsia="Arial" w:hAnsi="Arial"/>
                <w:sz w:val="13"/>
                <w:szCs w:val="13"/>
                <w:color w:val="auto"/>
                <w:w w:val="90"/>
              </w:rPr>
              <w:t>Other comprehensive income, net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3,947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3,947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of tax</w:t>
            </w: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31, 2023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17,830,604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166,232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29,669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2"/>
              </w:rPr>
              <w:t>(3,493)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11,434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200,059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14"/>
        </w:trPr>
        <w:tc>
          <w:tcPr>
            <w:tcW w:w="1800" w:type="dxa"/>
            <w:vAlign w:val="bottom"/>
          </w:tcPr>
          <w:p>
            <w:pPr>
              <w:ind w:left="20"/>
              <w:spacing w:after="0" w:line="114" w:lineRule="exact"/>
              <w:rPr>
                <w:sz w:val="20"/>
                <w:szCs w:val="20"/>
                <w:color w:val="auto"/>
              </w:rPr>
            </w:pPr>
            <w:r>
              <w:rPr>
                <w:rFonts w:ascii="Arial" w:cs="Arial" w:eastAsia="Arial" w:hAnsi="Arial"/>
                <w:sz w:val="13"/>
                <w:szCs w:val="13"/>
                <w:color w:val="auto"/>
                <w:w w:val="95"/>
              </w:rPr>
              <w:t>Dividends Common ($0.075 per</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800" w:type="dxa"/>
            <w:vAlign w:val="bottom"/>
          </w:tcPr>
          <w:p>
            <w:pPr>
              <w:ind w:left="20"/>
              <w:spacing w:after="0"/>
              <w:rPr>
                <w:sz w:val="20"/>
                <w:szCs w:val="20"/>
                <w:color w:val="auto"/>
              </w:rPr>
            </w:pPr>
            <w:r>
              <w:rPr>
                <w:rFonts w:ascii="Arial" w:cs="Arial" w:eastAsia="Arial" w:hAnsi="Arial"/>
                <w:sz w:val="13"/>
                <w:szCs w:val="13"/>
                <w:color w:val="auto"/>
              </w:rPr>
              <w:t>share)</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8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80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800" w:type="dxa"/>
            <w:vAlign w:val="bottom"/>
          </w:tcPr>
          <w:p>
            <w:pPr>
              <w:ind w:left="20"/>
              <w:spacing w:after="0"/>
              <w:rPr>
                <w:sz w:val="20"/>
                <w:szCs w:val="20"/>
                <w:color w:val="auto"/>
              </w:rPr>
            </w:pPr>
            <w:r>
              <w:rPr>
                <w:rFonts w:ascii="Arial" w:cs="Arial" w:eastAsia="Arial" w:hAnsi="Arial"/>
                <w:sz w:val="13"/>
                <w:szCs w:val="13"/>
                <w:color w:val="auto"/>
              </w:rPr>
              <w:t>share)</w:t>
            </w: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149,900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80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(1,594)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800" w:type="dxa"/>
            <w:vAlign w:val="bottom"/>
          </w:tcPr>
          <w:p>
            <w:pPr>
              <w:ind w:left="20"/>
              <w:spacing w:after="0" w:line="134" w:lineRule="exact"/>
              <w:rPr>
                <w:sz w:val="20"/>
                <w:szCs w:val="20"/>
                <w:color w:val="auto"/>
              </w:rPr>
            </w:pPr>
            <w:r>
              <w:rPr>
                <w:rFonts w:ascii="Arial" w:cs="Arial" w:eastAsia="Arial" w:hAnsi="Arial"/>
                <w:sz w:val="13"/>
                <w:szCs w:val="13"/>
                <w:color w:val="auto"/>
                <w:w w:val="92"/>
              </w:rPr>
              <w:t>Other comprehensive loss, net of</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tax</w:t>
            </w: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April 30, 2023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17,978,910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167,169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26,582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(4,011)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2"/>
              </w:rPr>
              <w:t>(3,493)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11,417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197,844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8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3"/>
                <w:szCs w:val="13"/>
                <w:b w:val="1"/>
                <w:bCs w:val="1"/>
                <w:color w:val="auto"/>
              </w:rPr>
              <w:t>Stockholders' Equity</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36"/>
        </w:trPr>
        <w:tc>
          <w:tcPr>
            <w:tcW w:w="1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56"/>
              <w:spacing w:after="0" w:line="136" w:lineRule="exact"/>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2"/>
              </w:rPr>
              <w:t>Series B</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1"/>
              </w:rPr>
              <w:t>Series B-2</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70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4"/>
              </w:rPr>
              <w:t>Retained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4"/>
              </w:rPr>
              <w:t>Treasury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800" w:type="dxa"/>
            <w:vAlign w:val="bottom"/>
          </w:tcPr>
          <w:p>
            <w:pPr>
              <w:spacing w:after="0"/>
              <w:rPr>
                <w:sz w:val="15"/>
                <w:szCs w:val="15"/>
                <w:color w:val="auto"/>
              </w:rPr>
            </w:pPr>
          </w:p>
        </w:tc>
        <w:tc>
          <w:tcPr>
            <w:tcW w:w="170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36"/>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56"/>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controlling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Preferred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36"/>
              <w:spacing w:after="0"/>
              <w:rPr>
                <w:sz w:val="20"/>
                <w:szCs w:val="20"/>
                <w:color w:val="auto"/>
              </w:rPr>
            </w:pPr>
            <w:r>
              <w:rPr>
                <w:rFonts w:ascii="Arial" w:cs="Arial" w:eastAsia="Arial" w:hAnsi="Arial"/>
                <w:sz w:val="13"/>
                <w:szCs w:val="13"/>
                <w:b w:val="1"/>
                <w:bCs w:val="1"/>
                <w:color w:val="auto"/>
                <w:w w:val="93"/>
              </w:rPr>
              <w:t>Preferred</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820" w:type="dxa"/>
            <w:vAlign w:val="bottom"/>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36"/>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Earnings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56"/>
              <w:spacing w:after="0"/>
              <w:rPr>
                <w:sz w:val="20"/>
                <w:szCs w:val="20"/>
                <w:color w:val="auto"/>
              </w:rPr>
            </w:pPr>
            <w:r>
              <w:rPr>
                <w:rFonts w:ascii="Arial" w:cs="Arial" w:eastAsia="Arial" w:hAnsi="Arial"/>
                <w:sz w:val="13"/>
                <w:szCs w:val="13"/>
                <w:b w:val="1"/>
                <w:bCs w:val="1"/>
                <w:color w:val="auto"/>
                <w:w w:val="92"/>
              </w:rPr>
              <w:t>(Loss) Income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56"/>
              <w:spacing w:after="0"/>
              <w:rPr>
                <w:sz w:val="20"/>
                <w:szCs w:val="20"/>
                <w:color w:val="auto"/>
              </w:rPr>
            </w:pPr>
            <w:r>
              <w:rPr>
                <w:rFonts w:ascii="Arial" w:cs="Arial" w:eastAsia="Arial" w:hAnsi="Arial"/>
                <w:sz w:val="13"/>
                <w:szCs w:val="13"/>
                <w:b w:val="1"/>
                <w:bCs w:val="1"/>
                <w:color w:val="auto"/>
                <w:w w:val="93"/>
              </w:rPr>
              <w:t>Interest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5"/>
                <w:szCs w:val="15"/>
                <w:color w:val="auto"/>
              </w:rPr>
            </w:pPr>
          </w:p>
        </w:tc>
        <w:tc>
          <w:tcPr>
            <w:tcW w:w="700" w:type="dxa"/>
            <w:vAlign w:val="bottom"/>
          </w:tcPr>
          <w:p>
            <w:pPr>
              <w:jc w:val="center"/>
              <w:ind w:right="36"/>
              <w:spacing w:after="0"/>
              <w:rPr>
                <w:sz w:val="20"/>
                <w:szCs w:val="20"/>
                <w:color w:val="auto"/>
              </w:rPr>
            </w:pPr>
            <w:r>
              <w:rPr>
                <w:rFonts w:ascii="Arial" w:cs="Arial" w:eastAsia="Arial" w:hAnsi="Arial"/>
                <w:sz w:val="13"/>
                <w:szCs w:val="13"/>
                <w:b w:val="1"/>
                <w:bCs w:val="1"/>
                <w:color w:val="auto"/>
                <w:w w:val="90"/>
              </w:rPr>
              <w:t>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36"/>
              <w:spacing w:after="0"/>
              <w:rPr>
                <w:sz w:val="20"/>
                <w:szCs w:val="20"/>
                <w:color w:val="auto"/>
              </w:rPr>
            </w:pPr>
            <w:r>
              <w:rPr>
                <w:rFonts w:ascii="Arial" w:cs="Arial" w:eastAsia="Arial" w:hAnsi="Arial"/>
                <w:sz w:val="13"/>
                <w:szCs w:val="13"/>
                <w:b w:val="1"/>
                <w:bCs w:val="1"/>
                <w:color w:val="auto"/>
                <w:w w:val="95"/>
              </w:rPr>
              <w:t>Stock</w:t>
            </w:r>
          </w:p>
        </w:tc>
        <w:tc>
          <w:tcPr>
            <w:tcW w:w="0" w:type="dxa"/>
            <w:vAlign w:val="bottom"/>
          </w:tcPr>
          <w:p>
            <w:pPr>
              <w:spacing w:after="0"/>
              <w:rPr>
                <w:sz w:val="1"/>
                <w:szCs w:val="1"/>
                <w:color w:val="auto"/>
              </w:rPr>
            </w:pPr>
          </w:p>
        </w:tc>
      </w:tr>
      <w:tr>
        <w:trPr>
          <w:trHeight w:val="175"/>
        </w:trPr>
        <w:tc>
          <w:tcPr>
            <w:tcW w:w="1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17,685,400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163,965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21,552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w w:val="92"/>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11,965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188,435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2"/>
        </w:trPr>
        <w:tc>
          <w:tcPr>
            <w:tcW w:w="1800" w:type="dxa"/>
            <w:vAlign w:val="bottom"/>
          </w:tcPr>
          <w:p>
            <w:pPr>
              <w:ind w:left="20"/>
              <w:spacing w:after="0" w:line="122" w:lineRule="exact"/>
              <w:rPr>
                <w:sz w:val="20"/>
                <w:szCs w:val="20"/>
                <w:color w:val="auto"/>
              </w:rPr>
            </w:pPr>
            <w:r>
              <w:rPr>
                <w:rFonts w:ascii="Arial" w:cs="Arial" w:eastAsia="Arial" w:hAnsi="Arial"/>
                <w:sz w:val="13"/>
                <w:szCs w:val="13"/>
                <w:color w:val="auto"/>
                <w:w w:val="95"/>
              </w:rPr>
              <w:t>Dividends Common ($0.075 per</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(1,328)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(1,328)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800" w:type="dxa"/>
            <w:vAlign w:val="bottom"/>
          </w:tcPr>
          <w:p>
            <w:pPr>
              <w:ind w:left="20"/>
              <w:spacing w:after="0"/>
              <w:rPr>
                <w:sz w:val="20"/>
                <w:szCs w:val="20"/>
                <w:color w:val="auto"/>
              </w:rPr>
            </w:pPr>
            <w:r>
              <w:rPr>
                <w:rFonts w:ascii="Arial" w:cs="Arial" w:eastAsia="Arial" w:hAnsi="Arial"/>
                <w:sz w:val="13"/>
                <w:szCs w:val="13"/>
                <w:color w:val="auto"/>
              </w:rPr>
              <w:t>share)</w:t>
            </w: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80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Dividends Series B ($2.19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800" w:type="dxa"/>
            <w:vAlign w:val="bottom"/>
          </w:tcPr>
          <w:p>
            <w:pPr>
              <w:ind w:left="20"/>
              <w:spacing w:after="0" w:line="134" w:lineRule="exact"/>
              <w:rPr>
                <w:sz w:val="20"/>
                <w:szCs w:val="20"/>
                <w:color w:val="auto"/>
              </w:rPr>
            </w:pPr>
            <w:r>
              <w:rPr>
                <w:rFonts w:ascii="Arial" w:cs="Arial" w:eastAsia="Arial" w:hAnsi="Arial"/>
                <w:sz w:val="13"/>
                <w:szCs w:val="13"/>
                <w:color w:val="auto"/>
              </w:rPr>
              <w:t>Dividends Series B-2 $10 per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800" w:type="dxa"/>
            <w:vAlign w:val="bottom"/>
          </w:tcPr>
          <w:p>
            <w:pPr>
              <w:ind w:left="20"/>
              <w:spacing w:after="0"/>
              <w:rPr>
                <w:sz w:val="20"/>
                <w:szCs w:val="20"/>
                <w:color w:val="auto"/>
              </w:rPr>
            </w:pPr>
            <w:r>
              <w:rPr>
                <w:rFonts w:ascii="Arial" w:cs="Arial" w:eastAsia="Arial" w:hAnsi="Arial"/>
                <w:sz w:val="13"/>
                <w:szCs w:val="13"/>
                <w:color w:val="auto"/>
              </w:rPr>
              <w:t>share)</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80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(55,362)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800" w:type="dxa"/>
            <w:vAlign w:val="bottom"/>
          </w:tcPr>
          <w:p>
            <w:pPr>
              <w:ind w:left="20"/>
              <w:spacing w:after="0" w:line="122" w:lineRule="exact"/>
              <w:rPr>
                <w:sz w:val="20"/>
                <w:szCs w:val="20"/>
                <w:color w:val="auto"/>
              </w:rPr>
            </w:pPr>
            <w:r>
              <w:rPr>
                <w:rFonts w:ascii="Arial" w:cs="Arial" w:eastAsia="Arial" w:hAnsi="Arial"/>
                <w:sz w:val="13"/>
                <w:szCs w:val="13"/>
                <w:color w:val="auto"/>
                <w:w w:val="90"/>
              </w:rPr>
              <w:t>Other comprehensive income, net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800" w:type="dxa"/>
            <w:vAlign w:val="bottom"/>
          </w:tcPr>
          <w:p>
            <w:pPr>
              <w:ind w:left="20"/>
              <w:spacing w:after="0"/>
              <w:rPr>
                <w:sz w:val="20"/>
                <w:szCs w:val="20"/>
                <w:color w:val="auto"/>
              </w:rPr>
            </w:pPr>
            <w:r>
              <w:rPr>
                <w:rFonts w:ascii="Arial" w:cs="Arial" w:eastAsia="Arial" w:hAnsi="Arial"/>
                <w:sz w:val="13"/>
                <w:szCs w:val="13"/>
                <w:color w:val="auto"/>
              </w:rPr>
              <w:t>of tax</w:t>
            </w: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31, 2022</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17,700,038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164,061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2"/>
              </w:rPr>
              <w:t>(3,493)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16"/>
        </w:trPr>
        <w:tc>
          <w:tcPr>
            <w:tcW w:w="1800" w:type="dxa"/>
            <w:vAlign w:val="bottom"/>
            <w:tcBorders>
              <w:top w:val="single" w:sz="8" w:color="CCEEFF"/>
            </w:tcBorders>
          </w:tcPr>
          <w:p>
            <w:pPr>
              <w:ind w:left="20"/>
              <w:spacing w:after="0" w:line="116" w:lineRule="exact"/>
              <w:rPr>
                <w:sz w:val="20"/>
                <w:szCs w:val="20"/>
                <w:color w:val="auto"/>
              </w:rPr>
            </w:pPr>
            <w:r>
              <w:rPr>
                <w:rFonts w:ascii="Arial" w:cs="Arial" w:eastAsia="Arial" w:hAnsi="Arial"/>
                <w:sz w:val="13"/>
                <w:szCs w:val="13"/>
                <w:color w:val="auto"/>
                <w:w w:val="95"/>
              </w:rPr>
              <w:t>Dividends Common ($0.075 per</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(1,325)</w:t>
            </w: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(1,325)</w:t>
            </w: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800" w:type="dxa"/>
            <w:vAlign w:val="bottom"/>
          </w:tcPr>
          <w:p>
            <w:pPr>
              <w:ind w:left="20"/>
              <w:spacing w:after="0"/>
              <w:rPr>
                <w:sz w:val="20"/>
                <w:szCs w:val="20"/>
                <w:color w:val="auto"/>
              </w:rPr>
            </w:pPr>
            <w:r>
              <w:rPr>
                <w:rFonts w:ascii="Arial" w:cs="Arial" w:eastAsia="Arial" w:hAnsi="Arial"/>
                <w:sz w:val="13"/>
                <w:szCs w:val="13"/>
                <w:color w:val="auto"/>
              </w:rPr>
              <w:t>share)</w:t>
            </w: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80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Dividends Series B ($2.19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800" w:type="dxa"/>
            <w:vAlign w:val="bottom"/>
          </w:tcPr>
          <w:p>
            <w:pPr>
              <w:ind w:left="20"/>
              <w:spacing w:after="0" w:line="134" w:lineRule="exact"/>
              <w:rPr>
                <w:sz w:val="20"/>
                <w:szCs w:val="20"/>
                <w:color w:val="auto"/>
              </w:rPr>
            </w:pPr>
            <w:r>
              <w:rPr>
                <w:rFonts w:ascii="Arial" w:cs="Arial" w:eastAsia="Arial" w:hAnsi="Arial"/>
                <w:sz w:val="13"/>
                <w:szCs w:val="13"/>
                <w:color w:val="auto"/>
              </w:rPr>
              <w:t>Dividends Series B-2 ($10 per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800" w:type="dxa"/>
            <w:vAlign w:val="bottom"/>
          </w:tcPr>
          <w:p>
            <w:pPr>
              <w:ind w:left="20"/>
              <w:spacing w:after="0"/>
              <w:rPr>
                <w:sz w:val="20"/>
                <w:szCs w:val="20"/>
                <w:color w:val="auto"/>
              </w:rPr>
            </w:pPr>
            <w:r>
              <w:rPr>
                <w:rFonts w:ascii="Arial" w:cs="Arial" w:eastAsia="Arial" w:hAnsi="Arial"/>
                <w:sz w:val="13"/>
                <w:szCs w:val="13"/>
                <w:color w:val="auto"/>
              </w:rPr>
              <w:t>share)</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80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(12,718)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1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800" w:type="dxa"/>
            <w:vAlign w:val="bottom"/>
          </w:tcPr>
          <w:p>
            <w:pPr>
              <w:ind w:left="20"/>
              <w:spacing w:after="0" w:line="122" w:lineRule="exact"/>
              <w:rPr>
                <w:sz w:val="20"/>
                <w:szCs w:val="20"/>
                <w:color w:val="auto"/>
              </w:rPr>
            </w:pPr>
            <w:r>
              <w:rPr>
                <w:rFonts w:ascii="Arial" w:cs="Arial" w:eastAsia="Arial" w:hAnsi="Arial"/>
                <w:sz w:val="13"/>
                <w:szCs w:val="13"/>
                <w:color w:val="auto"/>
                <w:w w:val="92"/>
              </w:rPr>
              <w:t>Other comprehensive loss, net of</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(933)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(939)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800" w:type="dxa"/>
            <w:vAlign w:val="bottom"/>
          </w:tcPr>
          <w:p>
            <w:pPr>
              <w:ind w:left="20"/>
              <w:spacing w:after="0"/>
              <w:rPr>
                <w:sz w:val="20"/>
                <w:szCs w:val="20"/>
                <w:color w:val="auto"/>
              </w:rPr>
            </w:pPr>
            <w:r>
              <w:rPr>
                <w:rFonts w:ascii="Arial" w:cs="Arial" w:eastAsia="Arial" w:hAnsi="Arial"/>
                <w:sz w:val="13"/>
                <w:szCs w:val="13"/>
                <w:color w:val="auto"/>
              </w:rPr>
              <w:t>tax</w:t>
            </w: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April 30, 2022</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17,721,551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164,253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2"/>
              </w:rPr>
              <w:t>(3,493)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179,976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0" w:lineRule="exact"/>
        <w:rPr>
          <w:sz w:val="20"/>
          <w:szCs w:val="20"/>
          <w:color w:val="auto"/>
        </w:rPr>
      </w:pPr>
    </w:p>
    <w:p>
      <w:pPr>
        <w:jc w:val="center"/>
        <w:ind w:left="8480"/>
        <w:spacing w:after="0"/>
        <w:rPr>
          <w:sz w:val="20"/>
          <w:szCs w:val="20"/>
          <w:color w:val="auto"/>
        </w:rPr>
      </w:pPr>
      <w:r>
        <w:rPr>
          <w:rFonts w:ascii="Arial" w:cs="Arial" w:eastAsia="Arial" w:hAnsi="Arial"/>
          <w:sz w:val="16"/>
          <w:szCs w:val="16"/>
          <w:b w:val="1"/>
          <w:bCs w:val="1"/>
          <w:color w:val="auto"/>
        </w:rPr>
        <w:t>Six Months Ended</w:t>
      </w:r>
    </w:p>
    <w:p>
      <w:pPr>
        <w:jc w:val="center"/>
        <w:ind w:left="8480"/>
        <w:spacing w:after="0"/>
        <w:rPr>
          <w:sz w:val="20"/>
          <w:szCs w:val="20"/>
          <w:color w:val="auto"/>
        </w:rPr>
      </w:pPr>
      <w:r>
        <w:rPr>
          <w:rFonts w:ascii="Arial" w:cs="Arial" w:eastAsia="Arial" w:hAnsi="Arial"/>
          <w:sz w:val="16"/>
          <w:szCs w:val="16"/>
          <w:b w:val="1"/>
          <w:bCs w:val="1"/>
          <w:color w:val="auto"/>
        </w:rPr>
        <w:t>April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19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13,904</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(5,034)</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4,963</w:t>
            </w:r>
          </w:p>
        </w:tc>
      </w:tr>
      <w:tr>
        <w:trPr>
          <w:trHeight w:val="21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disposal of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13"/>
        </w:trPr>
        <w:tc>
          <w:tcPr>
            <w:tcW w:w="8500" w:type="dxa"/>
            <w:vAlign w:val="bottom"/>
          </w:tcPr>
          <w:p>
            <w:pPr>
              <w:ind w:left="220"/>
              <w:spacing w:after="0"/>
              <w:rPr>
                <w:sz w:val="20"/>
                <w:szCs w:val="20"/>
                <w:color w:val="auto"/>
              </w:rPr>
            </w:pPr>
            <w:r>
              <w:rPr>
                <w:rFonts w:ascii="Arial" w:cs="Arial" w:eastAsia="Arial" w:hAnsi="Arial"/>
                <w:sz w:val="16"/>
                <w:szCs w:val="16"/>
                <w:color w:val="auto"/>
              </w:rPr>
              <w:t>Gain on legal settlement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r>
      <w:tr>
        <w:trPr>
          <w:trHeight w:val="213"/>
        </w:trPr>
        <w:tc>
          <w:tcPr>
            <w:tcW w:w="8500" w:type="dxa"/>
            <w:vAlign w:val="bottom"/>
          </w:tcPr>
          <w:p>
            <w:pPr>
              <w:ind w:left="220"/>
              <w:spacing w:after="0"/>
              <w:rPr>
                <w:sz w:val="20"/>
                <w:szCs w:val="20"/>
                <w:color w:val="auto"/>
              </w:rPr>
            </w:pPr>
            <w:r>
              <w:rPr>
                <w:rFonts w:ascii="Arial" w:cs="Arial" w:eastAsia="Arial" w:hAnsi="Arial"/>
                <w:sz w:val="16"/>
                <w:szCs w:val="16"/>
                <w:color w:val="auto"/>
              </w:rPr>
              <w:t>Non-cash lease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1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investments,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13"/>
        </w:trPr>
        <w:tc>
          <w:tcPr>
            <w:tcW w:w="8500" w:type="dxa"/>
            <w:vAlign w:val="bottom"/>
          </w:tcPr>
          <w:p>
            <w:pPr>
              <w:ind w:left="220"/>
              <w:spacing w:after="0"/>
              <w:rPr>
                <w:sz w:val="20"/>
                <w:szCs w:val="20"/>
                <w:color w:val="auto"/>
              </w:rPr>
            </w:pPr>
            <w:r>
              <w:rPr>
                <w:rFonts w:ascii="Arial" w:cs="Arial" w:eastAsia="Arial" w:hAnsi="Arial"/>
                <w:sz w:val="16"/>
                <w:szCs w:val="16"/>
                <w:color w:val="auto"/>
              </w:rPr>
              <w:t>Cash distributions from equity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w:t>
            </w:r>
          </w:p>
        </w:tc>
      </w:tr>
      <w:tr>
        <w:trPr>
          <w:trHeight w:val="213"/>
        </w:trPr>
        <w:tc>
          <w:tcPr>
            <w:tcW w:w="850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21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500" w:type="dxa"/>
            <w:vAlign w:val="bottom"/>
          </w:tcPr>
          <w:p>
            <w:pPr>
              <w:ind w:left="480"/>
              <w:spacing w:after="0"/>
              <w:rPr>
                <w:sz w:val="20"/>
                <w:szCs w:val="20"/>
                <w:color w:val="auto"/>
              </w:rPr>
            </w:pPr>
            <w:r>
              <w:rPr>
                <w:rFonts w:ascii="Arial" w:cs="Arial" w:eastAsia="Arial" w:hAnsi="Arial"/>
                <w:sz w:val="16"/>
                <w:szCs w:val="16"/>
                <w:color w:val="auto"/>
              </w:rPr>
              <w:t>Accounts receivable and receivables/other from related parties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(3,877)</w:t>
            </w:r>
          </w:p>
        </w:tc>
      </w:tr>
      <w:tr>
        <w:trPr>
          <w:trHeight w:val="219"/>
        </w:trPr>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Cultural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w:t>
            </w:r>
          </w:p>
        </w:tc>
      </w:tr>
      <w:tr>
        <w:trPr>
          <w:trHeight w:val="213"/>
        </w:trPr>
        <w:tc>
          <w:tcPr>
            <w:tcW w:w="8500" w:type="dxa"/>
            <w:vAlign w:val="bottom"/>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(2,392)</w:t>
            </w:r>
          </w:p>
        </w:tc>
      </w:tr>
      <w:tr>
        <w:trPr>
          <w:trHeight w:val="219"/>
        </w:trPr>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00" w:type="dxa"/>
            <w:vAlign w:val="bottom"/>
          </w:tcPr>
          <w:p>
            <w:pPr>
              <w:ind w:left="48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8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and growers and suppliers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13"/>
        </w:trPr>
        <w:tc>
          <w:tcPr>
            <w:tcW w:w="8500" w:type="dxa"/>
            <w:vAlign w:val="bottom"/>
          </w:tcPr>
          <w:p>
            <w:pPr>
              <w:ind w:left="480"/>
              <w:spacing w:after="0"/>
              <w:rPr>
                <w:sz w:val="20"/>
                <w:szCs w:val="20"/>
                <w:color w:val="auto"/>
              </w:rPr>
            </w:pPr>
            <w:r>
              <w:rPr>
                <w:rFonts w:ascii="Arial" w:cs="Arial" w:eastAsia="Arial" w:hAnsi="Arial"/>
                <w:sz w:val="16"/>
                <w:szCs w:val="16"/>
                <w:color w:val="auto"/>
              </w:rPr>
              <w:t>Accrued liabilities and payables to related parties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1,030</w:t>
            </w:r>
          </w:p>
        </w:tc>
      </w:tr>
      <w:tr>
        <w:trPr>
          <w:trHeight w:val="219"/>
        </w:trPr>
        <w:tc>
          <w:tcPr>
            <w:tcW w:w="8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07"/>
        </w:trPr>
        <w:tc>
          <w:tcPr>
            <w:tcW w:w="850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(1,160)</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(4,123)</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proceeds from sales of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Net proceeds from sale of real estate development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distribution from Trapani Fresh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Collection on note receivable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2,600</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investment contributions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mutual water companies and water rights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75,247</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(122,775)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(68,762)</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paid on finance lease and equipment financings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Dividends paid – common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(2,653)</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 preferred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03"/>
        </w:trPr>
        <w:tc>
          <w:tcPr>
            <w:tcW w:w="8500" w:type="dxa"/>
            <w:vAlign w:val="bottom"/>
          </w:tcPr>
          <w:p>
            <w:pPr>
              <w:ind w:left="20"/>
              <w:spacing w:after="0"/>
              <w:rPr>
                <w:sz w:val="20"/>
                <w:szCs w:val="20"/>
                <w:color w:val="auto"/>
              </w:rPr>
            </w:pPr>
            <w:r>
              <w:rPr>
                <w:rFonts w:ascii="Arial" w:cs="Arial" w:eastAsia="Arial" w:hAnsi="Arial"/>
                <w:sz w:val="16"/>
                <w:szCs w:val="16"/>
                <w:color w:val="auto"/>
              </w:rPr>
              <w:t>Exchange of common stock</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w:t>
            </w:r>
          </w:p>
        </w:tc>
      </w:tr>
      <w:tr>
        <w:trPr>
          <w:trHeight w:val="210"/>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2,326</w:t>
            </w:r>
          </w:p>
        </w:tc>
      </w:tr>
      <w:tr>
        <w:trPr>
          <w:trHeight w:val="20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r>
      <w:tr>
        <w:trPr>
          <w:trHeight w:val="213"/>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206"/>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at beginning of period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r>
      <w:tr>
        <w:trPr>
          <w:trHeight w:val="233"/>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at end of period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 (UNAUDITED)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80"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Six Months Ended</w:t>
      </w:r>
    </w:p>
    <w:p>
      <w:pPr>
        <w:jc w:val="center"/>
        <w:ind w:left="8460"/>
        <w:spacing w:after="0"/>
        <w:rPr>
          <w:sz w:val="20"/>
          <w:szCs w:val="20"/>
          <w:color w:val="auto"/>
        </w:rPr>
      </w:pPr>
      <w:r>
        <w:rPr>
          <w:rFonts w:ascii="Arial" w:cs="Arial" w:eastAsia="Arial" w:hAnsi="Arial"/>
          <w:sz w:val="16"/>
          <w:szCs w:val="16"/>
          <w:b w:val="1"/>
          <w:bCs w:val="1"/>
          <w:color w:val="auto"/>
        </w:rPr>
        <w:t>April 30,</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4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r>
      <w:tr>
        <w:trPr>
          <w:trHeight w:val="212"/>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Cash paid during the period for interest (net of amounts capitalized)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397</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431</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the period for income taxes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accrued but not paid at period-end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0"/>
        </w:trPr>
        <w:tc>
          <w:tcPr>
            <w:tcW w:w="8460" w:type="dxa"/>
            <w:vAlign w:val="bottom"/>
          </w:tcPr>
          <w:p>
            <w:pPr>
              <w:ind w:left="220"/>
              <w:spacing w:after="0"/>
              <w:rPr>
                <w:sz w:val="20"/>
                <w:szCs w:val="20"/>
                <w:color w:val="auto"/>
              </w:rPr>
            </w:pPr>
            <w:r>
              <w:rPr>
                <w:rFonts w:ascii="Arial" w:cs="Arial" w:eastAsia="Arial" w:hAnsi="Arial"/>
                <w:sz w:val="16"/>
                <w:szCs w:val="16"/>
                <w:color w:val="auto"/>
              </w:rPr>
              <w:t>Accrued contribution obligation of investment in water company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450</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450</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40" w:firstLine="8"/>
        <w:spacing w:after="0" w:line="417"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Business</w:t>
      </w:r>
    </w:p>
    <w:p>
      <w:pPr>
        <w:jc w:val="both"/>
        <w:spacing w:after="0" w:line="263" w:lineRule="auto"/>
        <w:rPr>
          <w:sz w:val="20"/>
          <w:szCs w:val="20"/>
          <w:color w:val="auto"/>
        </w:rPr>
      </w:pPr>
      <w:r>
        <w:rPr>
          <w:rFonts w:ascii="Arial" w:cs="Arial" w:eastAsia="Arial" w:hAnsi="Arial"/>
          <w:sz w:val="18"/>
          <w:szCs w:val="18"/>
          <w:color w:val="auto"/>
        </w:rPr>
        <w:t>Limoneira Company (together with its consolidated subsidiaries, the “Company”) engages primarily in growing citrus and avocados, picking and hauling citrus, and packing, marketing and selling citrus. The Company is also engaged in residential rentals and other rental operations and real estate development activities.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markets and sells citrus directly to food service, wholesale and retail customers throughout the United States, Canada, Asia, Europe and other international markets. The Company is a member of Sunkist Growers, Inc. (“Sunkist”), an agricultural marketing cooperative, and sells a portion of its oranges, specialty citrus and other crops to Sunkist-licensed and other third-party packinghouses.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1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97" w:lineRule="exact"/>
        <w:rPr>
          <w:sz w:val="20"/>
          <w:szCs w:val="20"/>
          <w:color w:val="auto"/>
        </w:rPr>
      </w:pPr>
    </w:p>
    <w:p>
      <w:pPr>
        <w:ind w:right="7680" w:firstLine="8"/>
        <w:spacing w:after="0" w:line="417"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Comprehensive (Loss) Income</w:t>
      </w:r>
    </w:p>
    <w:p>
      <w:pPr>
        <w:jc w:val="both"/>
        <w:spacing w:after="0" w:line="263" w:lineRule="auto"/>
        <w:rPr>
          <w:sz w:val="20"/>
          <w:szCs w:val="20"/>
          <w:color w:val="auto"/>
        </w:rPr>
      </w:pPr>
      <w:r>
        <w:rPr>
          <w:rFonts w:ascii="Arial" w:cs="Arial" w:eastAsia="Arial" w:hAnsi="Arial"/>
          <w:sz w:val="18"/>
          <w:szCs w:val="18"/>
          <w:color w:val="auto"/>
        </w:rPr>
        <w:t>Comprehensive (loss) income represents all changes in a company’s net assets, except changes resulting from transactions with stockholders. Other comprehensive income or loss includes foreign currency translation items and defined benefit pension items. Accumulated other comprehensive loss is reported as a component of the Company's stockholders' equity.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comprehensive (loss) income by component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w w:val="93"/>
              </w:rPr>
              <w:t>Three Months Ended April 30,</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2"/>
              </w:rPr>
              <w:t>Pre-tax</w:t>
            </w:r>
          </w:p>
        </w:tc>
        <w:tc>
          <w:tcPr>
            <w:tcW w:w="80" w:type="dxa"/>
            <w:vAlign w:val="bottom"/>
          </w:tcPr>
          <w:p>
            <w:pPr>
              <w:spacing w:after="0"/>
              <w:rPr>
                <w:sz w:val="13"/>
                <w:szCs w:val="13"/>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7"/>
              </w:rPr>
              <w:t>Tax Expense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4"/>
              </w:rPr>
              <w:t>Net 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Pre-tax</w:t>
            </w: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89"/>
              </w:rPr>
              <w:t>Tax Expense</w:t>
            </w: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4"/>
              </w:rPr>
              <w:t>Net Amount</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w w:val="98"/>
              </w:rPr>
              <w:t>(50)</w:t>
            </w:r>
          </w:p>
        </w:tc>
        <w:tc>
          <w:tcPr>
            <w:tcW w:w="3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8"/>
              </w:rPr>
              <w:t>(50)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9"/>
              </w:rPr>
              <w:t>—</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Minimum pension liability adjustments: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comprehensive income before reclassifications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center"/>
              <w:ind w:left="399"/>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center"/>
              <w:ind w:left="299"/>
              <w:spacing w:after="0"/>
              <w:rPr>
                <w:sz w:val="20"/>
                <w:szCs w:val="20"/>
                <w:color w:val="auto"/>
              </w:rPr>
            </w:pPr>
            <w:r>
              <w:rPr>
                <w:rFonts w:ascii="Arial" w:cs="Arial" w:eastAsia="Arial" w:hAnsi="Arial"/>
                <w:sz w:val="16"/>
                <w:szCs w:val="16"/>
                <w:color w:val="auto"/>
                <w:w w:val="91"/>
              </w:rPr>
              <w:t>(27)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center"/>
              <w:ind w:left="359"/>
              <w:spacing w:after="0"/>
              <w:rPr>
                <w:sz w:val="20"/>
                <w:szCs w:val="20"/>
                <w:color w:val="auto"/>
              </w:rPr>
            </w:pPr>
            <w:r>
              <w:rPr>
                <w:rFonts w:ascii="Arial" w:cs="Arial" w:eastAsia="Arial" w:hAnsi="Arial"/>
                <w:sz w:val="16"/>
                <w:szCs w:val="16"/>
                <w:color w:val="auto"/>
                <w:w w:val="98"/>
              </w:rPr>
              <w:t>(50)</w:t>
            </w:r>
          </w:p>
        </w:tc>
        <w:tc>
          <w:tcPr>
            <w:tcW w:w="30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ind w:left="520"/>
              <w:spacing w:after="0"/>
              <w:rPr>
                <w:sz w:val="20"/>
                <w:szCs w:val="20"/>
                <w:color w:val="auto"/>
              </w:rPr>
            </w:pPr>
            <w:r>
              <w:rPr>
                <w:rFonts w:ascii="Arial" w:cs="Arial" w:eastAsia="Arial" w:hAnsi="Arial"/>
                <w:sz w:val="16"/>
                <w:szCs w:val="16"/>
                <w:color w:val="auto"/>
              </w:rPr>
              <w:t>—</w:t>
            </w:r>
          </w:p>
        </w:tc>
        <w:tc>
          <w:tcPr>
            <w:tcW w:w="48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560" w:type="dxa"/>
            <w:vAlign w:val="bottom"/>
          </w:tcPr>
          <w:p>
            <w:pPr>
              <w:jc w:val="center"/>
              <w:ind w:left="159"/>
              <w:spacing w:after="0"/>
              <w:rPr>
                <w:sz w:val="20"/>
                <w:szCs w:val="20"/>
                <w:color w:val="auto"/>
              </w:rPr>
            </w:pPr>
            <w:r>
              <w:rPr>
                <w:rFonts w:ascii="Arial" w:cs="Arial" w:eastAsia="Arial" w:hAnsi="Arial"/>
                <w:sz w:val="16"/>
                <w:szCs w:val="16"/>
                <w:color w:val="auto"/>
                <w:w w:val="98"/>
              </w:rPr>
              <w:t>(50)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299"/>
              <w:spacing w:after="0"/>
              <w:rPr>
                <w:sz w:val="20"/>
                <w:szCs w:val="20"/>
                <w:color w:val="auto"/>
              </w:rPr>
            </w:pPr>
            <w:r>
              <w:rPr>
                <w:rFonts w:ascii="Arial" w:cs="Arial" w:eastAsia="Arial" w:hAnsi="Arial"/>
                <w:sz w:val="16"/>
                <w:szCs w:val="16"/>
                <w:color w:val="auto"/>
                <w:w w:val="91"/>
              </w:rPr>
              <w:t>(27)</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4"/>
              </w:rPr>
              <w:t>Six Months Ended April 30,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rPr>
              <w:t>Pre-tax</w:t>
            </w:r>
          </w:p>
        </w:tc>
        <w:tc>
          <w:tcPr>
            <w:tcW w:w="80" w:type="dxa"/>
            <w:vAlign w:val="bottom"/>
          </w:tcPr>
          <w:p>
            <w:pPr>
              <w:spacing w:after="0"/>
              <w:rPr>
                <w:sz w:val="13"/>
                <w:szCs w:val="13"/>
                <w:color w:val="auto"/>
              </w:rPr>
            </w:pPr>
          </w:p>
        </w:tc>
        <w:tc>
          <w:tcPr>
            <w:tcW w:w="98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0"/>
              </w:rPr>
              <w:t>Tax Benefit</w:t>
            </w: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4"/>
              </w:rPr>
              <w:t>Net 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rPr>
              <w:t>Pre-tax</w:t>
            </w:r>
          </w:p>
        </w:tc>
        <w:tc>
          <w:tcPr>
            <w:tcW w:w="10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89"/>
              </w:rPr>
              <w:t>Tax Expense</w:t>
            </w:r>
          </w:p>
        </w:tc>
        <w:tc>
          <w:tcPr>
            <w:tcW w:w="100" w:type="dxa"/>
            <w:vAlign w:val="bottom"/>
          </w:tcPr>
          <w:p>
            <w:pPr>
              <w:spacing w:after="0"/>
              <w:rPr>
                <w:sz w:val="13"/>
                <w:szCs w:val="13"/>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Net Amount</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(Expense)</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319"/>
              <w:spacing w:after="0"/>
              <w:rPr>
                <w:sz w:val="20"/>
                <w:szCs w:val="20"/>
                <w:color w:val="auto"/>
              </w:rPr>
            </w:pPr>
            <w:r>
              <w:rPr>
                <w:rFonts w:ascii="Arial" w:cs="Arial" w:eastAsia="Arial" w:hAnsi="Arial"/>
                <w:sz w:val="16"/>
                <w:szCs w:val="16"/>
                <w:color w:val="auto"/>
                <w:w w:val="99"/>
              </w:rPr>
              <w:t>—</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Minimum pension liability adjustments: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income before reclassifications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91"/>
              </w:rPr>
              <w:t>(54)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5"/>
              </w:rPr>
              <w:t>Amounts reclassified to earnings included in "Other income (expense), net"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91"/>
              </w:rPr>
              <w:t>(54)</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loss by component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Defined Benefit Pension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Accumulated Other</w:t>
            </w:r>
          </w:p>
        </w:tc>
      </w:tr>
      <w:tr>
        <w:trPr>
          <w:trHeight w:val="213"/>
        </w:trPr>
        <w:tc>
          <w:tcPr>
            <w:tcW w:w="5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Translation (Loss) Gain</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Plan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Comprehensive Loss</w:t>
            </w:r>
          </w:p>
        </w:tc>
      </w:tr>
      <w:tr>
        <w:trPr>
          <w:trHeight w:val="212"/>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October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center"/>
              <w:ind w:left="1219"/>
              <w:spacing w:after="0"/>
              <w:rPr>
                <w:sz w:val="20"/>
                <w:szCs w:val="20"/>
                <w:color w:val="auto"/>
              </w:rPr>
            </w:pPr>
            <w:r>
              <w:rPr>
                <w:rFonts w:ascii="Arial" w:cs="Arial" w:eastAsia="Arial" w:hAnsi="Arial"/>
                <w:sz w:val="16"/>
                <w:szCs w:val="16"/>
                <w:color w:val="auto"/>
                <w:w w:val="94"/>
              </w:rPr>
              <w:t>(6,184)</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center"/>
              <w:ind w:left="1099"/>
              <w:spacing w:after="0"/>
              <w:rPr>
                <w:sz w:val="20"/>
                <w:szCs w:val="20"/>
                <w:color w:val="auto"/>
              </w:rPr>
            </w:pPr>
            <w:r>
              <w:rPr>
                <w:rFonts w:ascii="Arial" w:cs="Arial" w:eastAsia="Arial" w:hAnsi="Arial"/>
                <w:sz w:val="16"/>
                <w:szCs w:val="16"/>
                <w:color w:val="auto"/>
                <w:w w:val="90"/>
              </w:rPr>
              <w:t>(7,908)</w:t>
            </w:r>
          </w:p>
        </w:tc>
      </w:tr>
      <w:tr>
        <w:trPr>
          <w:trHeight w:val="21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left="1239"/>
              <w:spacing w:after="0"/>
              <w:rPr>
                <w:sz w:val="20"/>
                <w:szCs w:val="20"/>
                <w:color w:val="auto"/>
              </w:rPr>
            </w:pPr>
            <w:r>
              <w:rPr>
                <w:rFonts w:ascii="Arial" w:cs="Arial" w:eastAsia="Arial" w:hAnsi="Arial"/>
                <w:sz w:val="16"/>
                <w:szCs w:val="16"/>
                <w:color w:val="auto"/>
                <w:w w:val="94"/>
              </w:rPr>
              <w:t>2,173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left="1119"/>
              <w:spacing w:after="0"/>
              <w:rPr>
                <w:sz w:val="20"/>
                <w:szCs w:val="20"/>
                <w:color w:val="auto"/>
              </w:rPr>
            </w:pPr>
            <w:r>
              <w:rPr>
                <w:rFonts w:ascii="Arial" w:cs="Arial" w:eastAsia="Arial" w:hAnsi="Arial"/>
                <w:sz w:val="16"/>
                <w:szCs w:val="16"/>
                <w:color w:val="auto"/>
                <w:w w:val="89"/>
              </w:rPr>
              <w:t>3,897</w:t>
            </w:r>
          </w:p>
        </w:tc>
      </w:tr>
      <w:tr>
        <w:trPr>
          <w:trHeight w:val="23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April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center"/>
              <w:ind w:left="1219"/>
              <w:spacing w:after="0"/>
              <w:rPr>
                <w:sz w:val="20"/>
                <w:szCs w:val="20"/>
                <w:color w:val="auto"/>
              </w:rPr>
            </w:pPr>
            <w:r>
              <w:rPr>
                <w:rFonts w:ascii="Arial" w:cs="Arial" w:eastAsia="Arial" w:hAnsi="Arial"/>
                <w:sz w:val="16"/>
                <w:szCs w:val="16"/>
                <w:color w:val="auto"/>
                <w:w w:val="94"/>
              </w:rPr>
              <w:t>(4,011)</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center"/>
              <w:ind w:left="1099"/>
              <w:spacing w:after="0"/>
              <w:rPr>
                <w:sz w:val="20"/>
                <w:szCs w:val="20"/>
                <w:color w:val="auto"/>
              </w:rPr>
            </w:pPr>
            <w:r>
              <w:rPr>
                <w:rFonts w:ascii="Arial" w:cs="Arial" w:eastAsia="Arial" w:hAnsi="Arial"/>
                <w:sz w:val="16"/>
                <w:szCs w:val="16"/>
                <w:color w:val="auto"/>
                <w:w w:val="90"/>
              </w:rPr>
              <w:t>(4,011)</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Foreign Currency</w:t>
            </w:r>
          </w:p>
        </w:tc>
        <w:tc>
          <w:tcPr>
            <w:tcW w:w="10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Defined Benefit Pension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Accumulated Other</w:t>
            </w:r>
          </w:p>
        </w:tc>
      </w:tr>
      <w:tr>
        <w:trPr>
          <w:trHeight w:val="213"/>
        </w:trPr>
        <w:tc>
          <w:tcPr>
            <w:tcW w:w="5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Translation Loss</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Plan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1"/>
              </w:rPr>
              <w:t>Comprehensive Loss</w:t>
            </w:r>
          </w:p>
        </w:tc>
      </w:tr>
      <w:tr>
        <w:trPr>
          <w:trHeight w:val="212"/>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October 31, 2021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(5,733)</w:t>
            </w:r>
          </w:p>
        </w:tc>
      </w:tr>
      <w:tr>
        <w:trPr>
          <w:trHeight w:val="21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(loss) income</w:t>
            </w: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r>
      <w:tr>
        <w:trPr>
          <w:trHeight w:val="232"/>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April 30, 2022</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(4,705)</w:t>
            </w:r>
          </w:p>
        </w:tc>
        <w:tc>
          <w:tcPr>
            <w:tcW w:w="54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is continued uncertainty around the breadth and duration of the Company's business disruptions related to the COVID-19 pandemic. The decline in demand for the Company's products has negatively impacted the Company's sales and profitability since the beginning of the second quarter of fiscal year 2020. The COVID-19 pandemic may continue to impact the Company's sales and profitability in future periods. The duration of these trends and the magnitude of such impacts are uncertain and therefore cannot be estimated at this time, as they are influenced by a number of factors, many of which are outside management’s control. The full impact of the COVID-19 pandemic on the Company's results of operations, financial condition, and liquidity, including its ability to comply with debt covenants, for fiscal year 2023 and beyond, is driven by estimates that contain uncertainties.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Concentrations of credit risk with respect to revenues and accounts receivable are limited due to a large, diverse customer base. One individual customer represented 12% of revenue for the six months ended April 30, 2023. One individual customer represented 10% of accounts receivable, net as of April 30,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One individual supplier represented 11% of accounts payable as of April 30, 2023.</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Lemons procured from third-party growers were 57% and 54% of the Company's lemon supply for the six months ended April 30, 2023 and 2022, respectively. Two third-party growers were 23% and 19% of the lemon supply for the six months ended April 30, 2023, respectively. One third-party grower was 13% of the lemon supply for the six months ended April 30, 2022.</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ind w:right="9120" w:firstLine="8"/>
        <w:spacing w:after="0" w:line="500" w:lineRule="auto"/>
        <w:tabs>
          <w:tab w:leader="none" w:pos="17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Asset Sales and Disposals Northern Properties</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2022, the Company entered into a Purchase and Sale Agreement, as amended, (the “Agreement”) with PGIM Real Estate Finance, LLC (“PGIM”) to sell 3,537 acres of land and citrus orchards in Tulare County, California (the “Northern Properties”) for a purchase price of approximately $100,405,000. On January 25, 2023, the Board approved the Agreement creating a binding agreement of the Company to sell the Northern Properties and the transaction closed on January 31, 2023. During the quarter ended April 30, 2023, the purchase price was decreased by $397,000 for reimbursement of certain cultural costs and prepaid expenses, resulting in a final purchase price of $100,008,000.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The following is a summary of the transaction (in thousands):</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76"/>
        </w:trPr>
        <w:tc>
          <w:tcPr>
            <w:tcW w:w="9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proceeds received</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85,494</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Debt directly repaid through the transaction</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12,917</w:t>
            </w:r>
          </w:p>
        </w:tc>
      </w:tr>
      <w:tr>
        <w:trPr>
          <w:trHeight w:val="237"/>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proceeds received</w:t>
            </w: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98,411</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Less: net book value of assets sold</w:t>
            </w: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Cultural costs</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r>
      <w:tr>
        <w:trPr>
          <w:trHeight w:val="237"/>
        </w:trPr>
        <w:tc>
          <w:tcPr>
            <w:tcW w:w="948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6"/>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53,144</w:t>
            </w:r>
          </w:p>
        </w:tc>
      </w:tr>
      <w:tr>
        <w:trPr>
          <w:trHeight w:val="229"/>
        </w:trPr>
        <w:tc>
          <w:tcPr>
            <w:tcW w:w="948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29"/>
        </w:trPr>
        <w:tc>
          <w:tcPr>
            <w:tcW w:w="9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liabilities</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94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58,416</w:t>
            </w:r>
          </w:p>
        </w:tc>
      </w:tr>
      <w:tr>
        <w:trPr>
          <w:trHeight w:val="237"/>
        </w:trPr>
        <w:tc>
          <w:tcPr>
            <w:tcW w:w="9480" w:type="dxa"/>
            <w:vAlign w:val="bottom"/>
          </w:tcPr>
          <w:p>
            <w:pPr>
              <w:ind w:left="20"/>
              <w:spacing w:after="0"/>
              <w:rPr>
                <w:sz w:val="20"/>
                <w:szCs w:val="20"/>
                <w:color w:val="auto"/>
              </w:rPr>
            </w:pPr>
            <w:r>
              <w:rPr>
                <w:rFonts w:ascii="Arial" w:cs="Arial" w:eastAsia="Arial" w:hAnsi="Arial"/>
                <w:sz w:val="18"/>
                <w:szCs w:val="18"/>
                <w:color w:val="auto"/>
              </w:rPr>
              <w:t>Gain on disposal of assets</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39,995</w:t>
            </w:r>
          </w:p>
        </w:tc>
      </w:tr>
      <w:tr>
        <w:trPr>
          <w:trHeight w:val="20"/>
        </w:trPr>
        <w:tc>
          <w:tcPr>
            <w:tcW w:w="9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proceeds were used to pay down all of the Company’s domestic debt except the AgWest Farm Credit $40,000,000 non-revolving line of credit. The Northern Properties component, including an allocation of interest expense related to the debt directly repaid through the transaction, had a pretax loss of $1,677,000 and $1,423,000 for the six months ended April 30, 2023 and 2022, respectively.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2023, the Company entered into a Farm Management Agreement (“FMA”) with an affiliate of PGIM to provide farming, management and operations services related to the Northern Properties. The FMA has an initial term expiring March 31, 2024, and thereafter continuing from year to year unless earlier terminated under the terms of the FMA. Further, on January 31, 2023, the Company entered into a Grower Packing and Marketing Agreement to provide packing, marketing and selling services for lemons harvested on the Northern Properties for a minimum five-year term, subject to certain benchmarking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Cadiz Ranch</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2023, the Company determined that citrus farming operations were economically unviable on 670 acres of leased agricultural land at the Cadiz Ranch. As a result, the Company ceased farming operations, disposed of the related property, plant and equipment and recorded a loss on disposal of assets of $9,012,000 as of April 30,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51"/>
        </w:trPr>
        <w:tc>
          <w:tcPr>
            <w:tcW w:w="762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05"/>
        </w:trPr>
        <w:tc>
          <w:tcPr>
            <w:tcW w:w="7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April 30, 2023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October 31, 2022</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supplies and insurance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Real estate development held for sale</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2,670</w:t>
            </w:r>
          </w:p>
        </w:tc>
      </w:tr>
      <w:tr>
        <w:trPr>
          <w:trHeight w:val="23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tax receivable</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Lemon supplier advances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4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settlement receivable</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r>
      <w:tr>
        <w:trPr>
          <w:trHeight w:val="243"/>
        </w:trPr>
        <w:tc>
          <w:tcPr>
            <w:tcW w:w="76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 Estate Development</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development assets are comprised primarily of land and land development costs for the East Area II property in the amount of $9,858,000 and $9,706,000 at April 30, 2023 and October 31, 2022,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 for $20,000,000.</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East Area II includes estimated costs incurred by and reimbursable to LLCB of $3,444,000 at April 30, 2023 and October 31, 2022, which is included in payables to related parties.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2018, LLCB entered into a $45,000,000 unsecured Line of Credit Loan Agreement and Promissory Note (the “Loan”) with Bank of America, N.A. to fund early development activities. Effective as of February 22, 2023, the Loan maturity date was extended to February 22, 2024, and the maximum borrowing amount was reduced to $35,000,000. As of February 1, 2023, the interest rate on the Loan transitioned from the London Interbank Offered Rate ("LIBOR") to the Bloomberg Short-Term Bank Yield Index rate ("BSBY") plus 2.85% and is payable monthly. The Loan contains certain customary default provisions and LLCB may prepay any amounts outstanding under the Loan without penalty. The Loan had an outstanding balance of $13,100,000 as of April 30, 2023.</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the Company and certain principals from Lewis guaranteed the obligations under the Loan. The guarantors are jointly and severally liable for all Loan obligations in the event of default by LLCB. The guarantee continues in effect until all of the Loan obligations are fully paid. The $1,080,000 estimated value of the guarantee was recorded in the Company’s consolidated balance sheets and is included in other long-term liabilities with a corresponding value in equity in investments. Additionally, a Reimbursement Agreement was executed between the Lewis guarantors and the Company, which provides for unpaid liabilities of LLCB to be shared pro-rata by the Lewis guarantors and the Company in proportion to their percentage interest in LLCB.</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2022, the Company entered into a joint venture with Lewis for the development of the Retained Property. The Company formed LLCB II, LLC ("LLCB II") as the development entity, contributed the Retained Property to the joint venture and sold a 50% interest to Lewis for $7,975,000. The Company recorded a deferred gain of $465,000 on the transaction, which is included in other long-term liabilities as of April 30, 2023 and October 31, 2022. The joint venture partners will share in the capital contributions to fund project costs until loan proceeds and/or revenues are sufficient to fund the project. The Company made contributions of $275,000 to LLCB II during the six months ended April 30, 2023.</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Through April 30, 2023, LLCB has closed sales of initial residential lots representing 586 residential units.</w:t>
      </w:r>
    </w:p>
    <w:p>
      <w:pPr>
        <w:spacing w:after="0" w:line="154" w:lineRule="exact"/>
        <w:rPr>
          <w:sz w:val="20"/>
          <w:szCs w:val="20"/>
          <w:color w:val="auto"/>
        </w:rPr>
      </w:pPr>
    </w:p>
    <w:p>
      <w:pPr>
        <w:ind w:right="8140" w:firstLine="8"/>
        <w:spacing w:after="0" w:line="469" w:lineRule="auto"/>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Real Estate Development (continued) Other Real Estate Development Projects</w:t>
      </w:r>
    </w:p>
    <w:p>
      <w:pPr>
        <w:jc w:val="both"/>
        <w:spacing w:after="0" w:line="263" w:lineRule="auto"/>
        <w:rPr>
          <w:sz w:val="20"/>
          <w:szCs w:val="20"/>
          <w:color w:val="auto"/>
        </w:rPr>
      </w:pPr>
      <w:r>
        <w:rPr>
          <w:rFonts w:ascii="Arial" w:cs="Arial" w:eastAsia="Arial" w:hAnsi="Arial"/>
          <w:sz w:val="18"/>
          <w:szCs w:val="18"/>
          <w:color w:val="auto"/>
        </w:rPr>
        <w:t>In fiscal year 2020, the Company entered into an agreement to sell its Sevilla property for $2,700,000, which closed in November 2022. After transaction and other costs, the Company received cash proceeds of approximately $2,577,000 and recorded an immaterial loss on disposal of assets during the six months ended April 30, 2023.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Arial" w:cs="Arial" w:eastAsia="Arial" w:hAnsi="Arial"/>
                <w:sz w:val="18"/>
                <w:szCs w:val="18"/>
                <w:b w:val="1"/>
                <w:bCs w:val="1"/>
                <w:color w:val="auto"/>
              </w:rPr>
              <w:t>6. Equity in Investments</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5"/>
        </w:trPr>
        <w:tc>
          <w:tcPr>
            <w:tcW w:w="7620" w:type="dxa"/>
            <w:vAlign w:val="bottom"/>
          </w:tcPr>
          <w:p>
            <w:pPr>
              <w:spacing w:after="0"/>
              <w:rPr>
                <w:sz w:val="20"/>
                <w:szCs w:val="20"/>
                <w:color w:val="auto"/>
              </w:rPr>
            </w:pPr>
            <w:r>
              <w:rPr>
                <w:rFonts w:ascii="Arial" w:cs="Arial" w:eastAsia="Arial" w:hAnsi="Arial"/>
                <w:sz w:val="18"/>
                <w:szCs w:val="18"/>
                <w:color w:val="auto"/>
              </w:rPr>
              <w:t>Equity in investments consist of the following (in thousands):</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8"/>
        </w:trPr>
        <w:tc>
          <w:tcPr>
            <w:tcW w:w="76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April 30, 2023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October 31, 2022</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Limoneira Lewis Community Builders, LLC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61,154</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LLCB II, LLC</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8,023</w:t>
            </w:r>
          </w:p>
        </w:tc>
      </w:tr>
      <w:tr>
        <w:trPr>
          <w:trHeight w:val="24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Limco Del Mar, Ltd.</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Rosales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1,147</w:t>
            </w:r>
          </w:p>
        </w:tc>
      </w:tr>
      <w:tr>
        <w:trPr>
          <w:trHeight w:val="229"/>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Romney Property Partnership</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30"/>
        </w:trPr>
        <w:tc>
          <w:tcPr>
            <w:tcW w:w="76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73,445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72,855</w:t>
            </w:r>
          </w:p>
        </w:tc>
      </w:tr>
      <w:tr>
        <w:trPr>
          <w:trHeight w:val="27"/>
        </w:trPr>
        <w:tc>
          <w:tcPr>
            <w:tcW w:w="76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600" w:type="dxa"/>
            <w:vAlign w:val="bottom"/>
            <w:tcBorders>
              <w:top w:val="single" w:sz="8" w:color="auto"/>
              <w:bottom w:val="single" w:sz="8" w:color="auto"/>
            </w:tcBorders>
          </w:tcPr>
          <w:p>
            <w:pPr>
              <w:spacing w:after="0"/>
              <w:rPr>
                <w:sz w:val="2"/>
                <w:szCs w:val="2"/>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amounts due from Rosales were $442,000 and $270,000 at April 30, 2023 and October 31, 2022, respectively, and are included in receivables/other from related parties and payables to related parties.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Significant Subsidiary</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periods for the six months ended April 30, 2023 and 2022, this threshold was not met for any of the Company's equity investments.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r>
              <w:rPr>
                <w:rFonts w:ascii="Arial" w:cs="Arial" w:eastAsia="Arial" w:hAnsi="Arial"/>
                <w:sz w:val="18"/>
                <w:szCs w:val="18"/>
                <w:b w:val="1"/>
                <w:bCs w:val="1"/>
                <w:color w:val="auto"/>
              </w:rPr>
              <w:t>7. Goodwill and Intangible Assets, Net</w:t>
            </w: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65"/>
        </w:trPr>
        <w:tc>
          <w:tcPr>
            <w:tcW w:w="9460" w:type="dxa"/>
            <w:vAlign w:val="bottom"/>
          </w:tcPr>
          <w:p>
            <w:pPr>
              <w:spacing w:after="0"/>
              <w:rPr>
                <w:sz w:val="20"/>
                <w:szCs w:val="20"/>
                <w:color w:val="auto"/>
              </w:rPr>
            </w:pPr>
            <w:r>
              <w:rPr>
                <w:rFonts w:ascii="Arial" w:cs="Arial" w:eastAsia="Arial" w:hAnsi="Arial"/>
                <w:sz w:val="18"/>
                <w:szCs w:val="18"/>
                <w:color w:val="auto"/>
              </w:rPr>
              <w:t>A summary of the change in the carrying amount of goodwill is as follows (in thousands):</w:t>
            </w: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46"/>
        </w:trPr>
        <w:tc>
          <w:tcPr>
            <w:tcW w:w="9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Goodwill Carrying</w:t>
            </w:r>
          </w:p>
        </w:tc>
      </w:tr>
      <w:tr>
        <w:trPr>
          <w:trHeight w:val="234"/>
        </w:trPr>
        <w:tc>
          <w:tcPr>
            <w:tcW w:w="94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October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43"/>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Goodwill is tested for impairment on an annual basis or when an event or changes in circumstances indicate that its carrying value may not be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impairment charges recorded against goodwill as of April 30,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4"/>
          </w:tcPr>
          <w:p>
            <w:pPr>
              <w:jc w:val="right"/>
              <w:ind w:right="497"/>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4"/>
          </w:tcPr>
          <w:p>
            <w:pPr>
              <w:jc w:val="right"/>
              <w:ind w:right="417"/>
              <w:spacing w:after="0"/>
              <w:rPr>
                <w:sz w:val="20"/>
                <w:szCs w:val="20"/>
                <w:color w:val="auto"/>
              </w:rPr>
            </w:pPr>
            <w:r>
              <w:rPr>
                <w:rFonts w:ascii="Arial" w:cs="Arial" w:eastAsia="Arial" w:hAnsi="Arial"/>
                <w:sz w:val="14"/>
                <w:szCs w:val="14"/>
                <w:b w:val="1"/>
                <w:bCs w:val="1"/>
                <w:color w:val="auto"/>
              </w:rPr>
              <w:t>October 31, 2022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9"/>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7"/>
              <w:spacing w:after="0" w:line="13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7"/>
              <w:spacing w:after="0" w:line="13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Useful Life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7"/>
              <w:spacing w:after="0" w:line="139"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7"/>
              <w:spacing w:after="0" w:line="139"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Useful Life in</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
        </w:trPr>
        <w:tc>
          <w:tcPr>
            <w:tcW w:w="3060" w:type="dxa"/>
            <w:vAlign w:val="bottom"/>
            <w:vMerge w:val="restart"/>
          </w:tcPr>
          <w:p>
            <w:pPr>
              <w:ind w:left="20"/>
              <w:spacing w:after="0"/>
              <w:rPr>
                <w:sz w:val="20"/>
                <w:szCs w:val="20"/>
                <w:color w:val="auto"/>
              </w:rPr>
            </w:pPr>
            <w:r>
              <w:rPr>
                <w:rFonts w:ascii="Arial" w:cs="Arial" w:eastAsia="Arial" w:hAnsi="Arial"/>
                <w:sz w:val="18"/>
                <w:szCs w:val="18"/>
                <w:color w:val="auto"/>
              </w:rPr>
              <w:t>Trade names and trademarks</w:t>
            </w: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37"/>
        </w:trPr>
        <w:tc>
          <w:tcPr>
            <w:tcW w:w="3060" w:type="dxa"/>
            <w:vAlign w:val="bottom"/>
          </w:tcPr>
          <w:p>
            <w:pPr>
              <w:ind w:left="20"/>
              <w:spacing w:after="0"/>
              <w:rPr>
                <w:sz w:val="20"/>
                <w:szCs w:val="20"/>
                <w:color w:val="auto"/>
              </w:rPr>
            </w:pPr>
            <w:r>
              <w:rPr>
                <w:rFonts w:ascii="Arial" w:cs="Arial" w:eastAsia="Arial" w:hAnsi="Arial"/>
                <w:sz w:val="18"/>
                <w:szCs w:val="18"/>
                <w:color w:val="auto"/>
              </w:rPr>
              <w:t>Non-competition agreement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6"/>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water and mineral rights</w:t>
            </w: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Indefinite</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Indefinite</w:t>
            </w: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10,230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(2,992)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7,238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7,317</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 Net (continued)</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totaled $178,000 and $180,000 for the three months ended April 30, 2023 and 2022, respectively. Amortization expense totaled $375,000 and $361,000 for the six months ended April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9460" w:type="dxa"/>
            <w:vAlign w:val="bottom"/>
          </w:tcPr>
          <w:p>
            <w:pPr>
              <w:ind w:left="4380"/>
              <w:spacing w:after="0"/>
              <w:rPr>
                <w:sz w:val="20"/>
                <w:szCs w:val="20"/>
                <w:color w:val="auto"/>
              </w:rPr>
            </w:pPr>
            <w:r>
              <w:rPr>
                <w:rFonts w:ascii="Arial" w:cs="Arial" w:eastAsia="Arial" w:hAnsi="Arial"/>
                <w:sz w:val="22"/>
                <w:szCs w:val="22"/>
                <w:b w:val="1"/>
                <w:bCs w:val="1"/>
                <w:color w:val="auto"/>
              </w:rPr>
              <w:t>LIMONEIRA COMPANY</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5"/>
        </w:trPr>
        <w:tc>
          <w:tcPr>
            <w:tcW w:w="20" w:type="dxa"/>
            <w:vAlign w:val="bottom"/>
          </w:tcPr>
          <w:p>
            <w:pPr>
              <w:spacing w:after="0"/>
              <w:rPr>
                <w:sz w:val="24"/>
                <w:szCs w:val="24"/>
                <w:color w:val="auto"/>
              </w:rPr>
            </w:pPr>
          </w:p>
        </w:tc>
        <w:tc>
          <w:tcPr>
            <w:tcW w:w="9460" w:type="dxa"/>
            <w:vAlign w:val="bottom"/>
          </w:tcPr>
          <w:p>
            <w:pPr>
              <w:ind w:left="2160"/>
              <w:spacing w:after="0"/>
              <w:rPr>
                <w:sz w:val="20"/>
                <w:szCs w:val="20"/>
                <w:color w:val="auto"/>
              </w:rPr>
            </w:pPr>
            <w:r>
              <w:rPr>
                <w:rFonts w:ascii="Arial" w:cs="Arial" w:eastAsia="Arial" w:hAnsi="Arial"/>
                <w:sz w:val="18"/>
                <w:szCs w:val="18"/>
                <w:color w:val="auto"/>
              </w:rPr>
              <w:t>NOTES TO CONSOLIDATED FINANCIAL STATEMENTS (UNAUDITED) (CONTINUED)</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29"/>
        </w:trPr>
        <w:tc>
          <w:tcPr>
            <w:tcW w:w="9480" w:type="dxa"/>
            <w:vAlign w:val="bottom"/>
            <w:gridSpan w:val="2"/>
          </w:tcPr>
          <w:p>
            <w:pPr>
              <w:spacing w:after="0"/>
              <w:rPr>
                <w:sz w:val="20"/>
                <w:szCs w:val="20"/>
                <w:color w:val="auto"/>
              </w:rPr>
            </w:pPr>
            <w:r>
              <w:rPr>
                <w:rFonts w:ascii="Arial" w:cs="Arial" w:eastAsia="Arial" w:hAnsi="Arial"/>
                <w:sz w:val="18"/>
                <w:szCs w:val="18"/>
                <w:color w:val="auto"/>
              </w:rPr>
              <w:t>Estimated future amortization expense of intangible assets as of April 30, 2023 is as follows (in thousands):</w:t>
            </w: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2023 (remaining six months)</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20" w:type="dxa"/>
            <w:vAlign w:val="bottom"/>
          </w:tcPr>
          <w:p>
            <w:pPr>
              <w:spacing w:after="0"/>
              <w:rPr>
                <w:sz w:val="19"/>
                <w:szCs w:val="19"/>
                <w:color w:val="auto"/>
              </w:rPr>
            </w:pPr>
          </w:p>
        </w:tc>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30"/>
        </w:trPr>
        <w:tc>
          <w:tcPr>
            <w:tcW w:w="2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2025</w:t>
            </w:r>
          </w:p>
        </w:tc>
        <w:tc>
          <w:tcPr>
            <w:tcW w:w="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42"/>
        </w:trPr>
        <w:tc>
          <w:tcPr>
            <w:tcW w:w="20" w:type="dxa"/>
            <w:vAlign w:val="bottom"/>
          </w:tcPr>
          <w:p>
            <w:pPr>
              <w:spacing w:after="0"/>
              <w:rPr>
                <w:sz w:val="21"/>
                <w:szCs w:val="21"/>
                <w:color w:val="auto"/>
              </w:rPr>
            </w:pPr>
          </w:p>
        </w:tc>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29"/>
        </w:trPr>
        <w:tc>
          <w:tcPr>
            <w:tcW w:w="20" w:type="dxa"/>
            <w:vAlign w:val="bottom"/>
          </w:tcPr>
          <w:p>
            <w:pPr>
              <w:spacing w:after="0"/>
              <w:rPr>
                <w:sz w:val="19"/>
                <w:szCs w:val="19"/>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2027</w:t>
            </w:r>
          </w:p>
        </w:tc>
        <w:tc>
          <w:tcPr>
            <w:tcW w:w="7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20" w:type="dxa"/>
            <w:vAlign w:val="bottom"/>
          </w:tcPr>
          <w:p>
            <w:pPr>
              <w:spacing w:after="0"/>
              <w:rPr>
                <w:sz w:val="21"/>
                <w:szCs w:val="21"/>
                <w:color w:val="auto"/>
              </w:rPr>
            </w:pPr>
          </w:p>
        </w:tc>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23"/>
        </w:trPr>
        <w:tc>
          <w:tcPr>
            <w:tcW w:w="20" w:type="dxa"/>
            <w:vAlign w:val="bottom"/>
          </w:tcPr>
          <w:p>
            <w:pPr>
              <w:spacing w:after="0"/>
              <w:rPr>
                <w:sz w:val="19"/>
                <w:szCs w:val="19"/>
                <w:color w:val="auto"/>
              </w:rPr>
            </w:pPr>
          </w:p>
        </w:tc>
        <w:tc>
          <w:tcPr>
            <w:tcW w:w="946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w:t>
            </w:r>
          </w:p>
        </w:tc>
      </w:tr>
      <w:tr>
        <w:trPr>
          <w:trHeight w:val="21"/>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Mutual Water Companies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investments in various not-for-profit mutual water companies provide it with the right to receive a proportionate share of water from each of the not-for-profit mutual water companies that have been invested in and do not constitute voting shares and/or rights. In January 2023, the Company sold an investment in a mutual water company with a net book value of $1,320,000 as part of the Northern Properties sale described in Note 3 - Asset Sales and Disposals. As of April 30, 2023 and October 31, 2022, $5,681,000 and $6,500,000, respectively, were included in other assets.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Arial" w:cs="Arial" w:eastAsia="Arial" w:hAnsi="Arial"/>
                <w:sz w:val="18"/>
                <w:szCs w:val="18"/>
                <w:b w:val="1"/>
                <w:bCs w:val="1"/>
                <w:color w:val="auto"/>
              </w:rPr>
              <w:t>9. Accrued Liabilities</w:t>
            </w: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51"/>
        </w:trPr>
        <w:tc>
          <w:tcPr>
            <w:tcW w:w="762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7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April 30, 2023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October 31, 2022</w:t>
            </w:r>
          </w:p>
        </w:tc>
      </w:tr>
      <w:tr>
        <w:trPr>
          <w:trHeight w:val="23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Leases</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22"/>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30"/>
        </w:trPr>
        <w:tc>
          <w:tcPr>
            <w:tcW w:w="76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7,940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11,060</w:t>
            </w:r>
          </w:p>
        </w:tc>
      </w:tr>
      <w:tr>
        <w:trPr>
          <w:trHeight w:val="27"/>
        </w:trPr>
        <w:tc>
          <w:tcPr>
            <w:tcW w:w="76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6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10. Long-Term Debt</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700" w:type="dxa"/>
            <w:vAlign w:val="bottom"/>
          </w:tcPr>
          <w:p>
            <w:pPr>
              <w:spacing w:after="0"/>
              <w:rPr>
                <w:sz w:val="20"/>
                <w:szCs w:val="20"/>
                <w:color w:val="auto"/>
              </w:rPr>
            </w:pPr>
            <w:r>
              <w:rPr>
                <w:rFonts w:ascii="Arial" w:cs="Arial" w:eastAsia="Arial" w:hAnsi="Arial"/>
                <w:sz w:val="18"/>
                <w:szCs w:val="18"/>
                <w:color w:val="auto"/>
              </w:rPr>
              <w:t>Long-term debt is comprised of the following (in thousands):</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8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4"/>
        </w:trPr>
        <w:tc>
          <w:tcPr>
            <w:tcW w:w="87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April 30, 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68"/>
        </w:trPr>
        <w:tc>
          <w:tcPr>
            <w:tcW w:w="87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8"/>
              </w:rPr>
              <w:t>AgWest Farm Credit revolving and non-revolving lines of credit: the interest rate of the revolving line of credit is</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variable based on the one-month Secured Overnight Financing Rate ("SOFR"), which was 4.80% at April 30, 2023,</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plus 1.78%. The interest rate for the $40.0 million outstanding balance of the non-revolving line of credit is fixed at</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3.57% through July 1, 2025 and variable thereafter. Interest is payable monthly and the principal is due in full on July 1,</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88,521</w:t>
            </w: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Arial" w:cs="Arial" w:eastAsia="Arial" w:hAnsi="Arial"/>
                <w:sz w:val="18"/>
                <w:szCs w:val="18"/>
                <w:color w:val="auto"/>
              </w:rPr>
              <w:t>AgWest Farm Credit term loan: The interest rate was fixed at 3.24%. The loan was repaid in January 2023.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AgWest Farm Credit term loan: The interest rate was fixed at 3.24%. The loan was repaid in January 2023.</w:t>
            </w: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176"/>
        </w:trPr>
        <w:tc>
          <w:tcPr>
            <w:tcW w:w="8700" w:type="dxa"/>
            <w:vAlign w:val="bottom"/>
          </w:tcPr>
          <w:p>
            <w:pPr>
              <w:ind w:left="20"/>
              <w:spacing w:after="0" w:line="176" w:lineRule="exact"/>
              <w:rPr>
                <w:sz w:val="20"/>
                <w:szCs w:val="20"/>
                <w:color w:val="auto"/>
              </w:rPr>
            </w:pPr>
            <w:r>
              <w:rPr>
                <w:rFonts w:ascii="Arial" w:cs="Arial" w:eastAsia="Arial" w:hAnsi="Arial"/>
                <w:sz w:val="18"/>
                <w:szCs w:val="18"/>
                <w:color w:val="auto"/>
                <w:w w:val="97"/>
              </w:rPr>
              <w:t>AgWest Farm Credit term loan: The interest rate was fixed at 2.77% until July 1, 2025, becoming variable for the</w:t>
            </w: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remainder of the loan. The loan was repaid in January 2023.</w:t>
            </w:r>
          </w:p>
        </w:tc>
        <w:tc>
          <w:tcPr>
            <w:tcW w:w="3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AgWest Farm Credit term loan: The interest rate was fixed at 3.19%. The loan was repaid in January 2023.</w:t>
            </w: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176"/>
        </w:trPr>
        <w:tc>
          <w:tcPr>
            <w:tcW w:w="8700" w:type="dxa"/>
            <w:vAlign w:val="bottom"/>
          </w:tcPr>
          <w:p>
            <w:pPr>
              <w:ind w:left="20"/>
              <w:spacing w:after="0" w:line="176" w:lineRule="exact"/>
              <w:rPr>
                <w:sz w:val="20"/>
                <w:szCs w:val="20"/>
                <w:color w:val="auto"/>
              </w:rPr>
            </w:pPr>
            <w:r>
              <w:rPr>
                <w:rFonts w:ascii="Arial" w:cs="Arial" w:eastAsia="Arial" w:hAnsi="Arial"/>
                <w:sz w:val="18"/>
                <w:szCs w:val="18"/>
                <w:color w:val="auto"/>
                <w:w w:val="97"/>
              </w:rPr>
              <w:t>Banco de Chile term loan: The interest rate is fixed at 6.48%. The loan is payable in annual installments through</w:t>
            </w: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January 2025.</w:t>
            </w:r>
          </w:p>
        </w:tc>
        <w:tc>
          <w:tcPr>
            <w:tcW w:w="3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7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Banco de Chile COVID-19 loans: The interest rates are fixed at 3.48%. The loans are payable in monthly installments</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through September 2024.</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76"/>
        </w:trPr>
        <w:tc>
          <w:tcPr>
            <w:tcW w:w="8700" w:type="dxa"/>
            <w:vAlign w:val="bottom"/>
          </w:tcPr>
          <w:p>
            <w:pPr>
              <w:ind w:left="20"/>
              <w:spacing w:after="0" w:line="176" w:lineRule="exact"/>
              <w:rPr>
                <w:sz w:val="20"/>
                <w:szCs w:val="20"/>
                <w:color w:val="auto"/>
              </w:rPr>
            </w:pPr>
            <w:r>
              <w:rPr>
                <w:rFonts w:ascii="Arial" w:cs="Arial" w:eastAsia="Arial" w:hAnsi="Arial"/>
                <w:sz w:val="18"/>
                <w:szCs w:val="18"/>
                <w:color w:val="auto"/>
                <w:w w:val="93"/>
              </w:rPr>
              <w:t>Banco de Chile COVID-19 loans: The interest rates are fixed at 3.48% and 4.26%. The loans are payable in monthly</w:t>
            </w: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Arial" w:cs="Arial" w:eastAsia="Arial" w:hAnsi="Arial"/>
                <w:sz w:val="18"/>
                <w:szCs w:val="18"/>
                <w:color w:val="auto"/>
              </w:rPr>
              <w:t>installments through September 2026.</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Subtotal</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105,902</w:t>
            </w:r>
          </w:p>
        </w:tc>
        <w:tc>
          <w:tcPr>
            <w:tcW w:w="0" w:type="dxa"/>
            <w:vAlign w:val="bottom"/>
          </w:tcPr>
          <w:p>
            <w:pPr>
              <w:spacing w:after="0"/>
              <w:rPr>
                <w:sz w:val="1"/>
                <w:szCs w:val="1"/>
                <w:color w:val="auto"/>
              </w:rPr>
            </w:pPr>
          </w:p>
        </w:tc>
      </w:tr>
      <w:tr>
        <w:trPr>
          <w:trHeight w:val="229"/>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deferred financing costs, net of accumulated amortization</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 net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105,808</w:t>
            </w:r>
          </w:p>
        </w:tc>
        <w:tc>
          <w:tcPr>
            <w:tcW w:w="0" w:type="dxa"/>
            <w:vAlign w:val="bottom"/>
          </w:tcPr>
          <w:p>
            <w:pPr>
              <w:spacing w:after="0"/>
              <w:rPr>
                <w:sz w:val="1"/>
                <w:szCs w:val="1"/>
                <w:color w:val="auto"/>
              </w:rPr>
            </w:pPr>
          </w:p>
        </w:tc>
      </w:tr>
      <w:tr>
        <w:trPr>
          <w:trHeight w:val="24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104,076</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a Master Loan Agreement (the “MLA”) with AgWest Farm Credit, formerly known as Farm Credit West,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a fixed interest rate for a period of time as described in the table above ("Fixed Interest Rate Agreement"). The MLA governs the terms of the Supplements. The MLA amends and restates the previous Master Loan Agreement between the Company and the Lender, dated June 19, 2017, and extends the principal repayment to July 1, 2026.</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entered into a revolving equity line of credit promissory note and loan agreement with the Lender for a $15,000,000 Revolving Equity Line of Credit (the "RELOC") secured by a first lien on the Windfall Investors, LLC property. The RELOC featured a 3-year draw period followed by 20 years of fully amortized loan payments. On March 31, 2023, the draw period expired and the RELOC was closed as there was no balance outstanding.</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Supplements provide aggregate borrowing capacity of $115,000,000 comprised of $75,000,000 under the Revolving Credit Supplement and $40,000,000 under the Non-Revolving Credit Supplement. As of April 30, 2023, the Company's outstanding borrowings under the Supplements were $40,000,000 and it had $75,000,000 available to borrow.</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2023, the Company used the proceeds from the Northern Properties sale as described in Note 3 - Asset Sales and Disposals to reduce the Company's long-term debt.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 (continued)</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interest rate in effect under the Revolving Credit Supplement automatically adjusts on the first day of each month. The interest rate for any amount outstanding under the Revolving Credit Supplement was based on the one-month LIBOR plus or minus an applicable margin. As of January 1, 2023, the rate transitioned from LIBOR to the Secured Overnight Financing Rate ("SOFR"). The applicable margin ranges from 1.78% to 2.28% depending on the ratio of current assets, plus the remaining available commitment divided by current liabilities. On each one-year anniversary of July 1, the Company has the option to convert the interest rate in use under the Revolving Credit Supplement from the preceding SOFR-based calculation to a variable interest rate. The Company may prepay any amounts outstanding under the Revolving Credit Supplement without penalty.</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in effect under the Non-Revolving Credit Supplement is a fixed interest rate of 3.57% per year until July 1, 2025 (the “Fixed Rate Term”). Thereafter, the interest rate will convert to a variable interest rate established by the Lender corresponding to the applicable interest rate group.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spacing w:after="0" w:line="1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indebtedness under the MLA, including any indebtedness under the Supplements, is secured by a first lien on Company-owned stock or participation certificates, Company funds maintained with the Lender, the Lender’s unallocated surplus, and certain of the Company’s agricultural properties in Ventura counties in California and certain of the Company’s building fixtures and improvements and investments in mutual water companies associated with the pledged agricultural properties. The MLA includes customary default provisions that provide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specific debt service coverage ratio greater than or equal to 1.25:1.0 when measured at October 31, 2023 and annually thereafter. The Company was in compliance as of October 31, 2022.</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Lender declared an annual cash patronage dividend of 1.25% of average eligible loan balances and the Company received $1,413,000 in the second quarter of fiscal year 2023. In December 2021, the Lender declared an annual cash patronage dividend of 1.25% of average eligible loan balances and the Company received $1,582,000 in February 2022.</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is capitalized on non-bearing orchards, real estate development projects and significant construction in progress. The Company capitalized interest of zero during the three months ended April 30, 2023 and 2022, and $306,000 and zero during the six months ended April 30, 2023 and 2022, respectively. Capitalized interest is included in property, plant and equipment and real estate development assets in the Company’s consolidated balance sheets.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Arial" w:cs="Arial" w:eastAsia="Arial" w:hAnsi="Arial"/>
                <w:sz w:val="18"/>
                <w:szCs w:val="18"/>
                <w:b w:val="1"/>
                <w:bCs w:val="1"/>
                <w:color w:val="auto"/>
              </w:rPr>
              <w:t>11. Other Long-Term Liabilities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500" w:type="dxa"/>
            <w:vAlign w:val="bottom"/>
          </w:tcPr>
          <w:p>
            <w:pPr>
              <w:spacing w:after="0"/>
              <w:rPr>
                <w:sz w:val="20"/>
                <w:szCs w:val="20"/>
                <w:color w:val="auto"/>
              </w:rPr>
            </w:pPr>
            <w:r>
              <w:rPr>
                <w:rFonts w:ascii="Arial" w:cs="Arial" w:eastAsia="Arial" w:hAnsi="Arial"/>
                <w:sz w:val="18"/>
                <w:szCs w:val="18"/>
                <w:color w:val="auto"/>
              </w:rPr>
              <w:t>Other long-term liabilities consist of the following (in thousands):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3"/>
              </w:rPr>
              <w:t>April 30, 2023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39"/>
        </w:trPr>
        <w:tc>
          <w:tcPr>
            <w:tcW w:w="85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pension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Loan guarantee</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4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0" w:type="dxa"/>
            <w:vAlign w:val="bottom"/>
          </w:tcPr>
          <w:p>
            <w:pPr>
              <w:spacing w:after="0"/>
              <w:rPr>
                <w:sz w:val="1"/>
                <w:szCs w:val="1"/>
                <w:color w:val="auto"/>
              </w:rPr>
            </w:pPr>
          </w:p>
        </w:tc>
      </w:tr>
      <w:tr>
        <w:trPr>
          <w:trHeight w:val="22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Arrangements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leasing transactions in which it rents certain of its assets and the Company is the lessor. These lease contracts are typically classified as operating leases with remaining terms ranging from one month to 20 years, with various renewal terms available. All of the residential rentals have month-to-month lease terms.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rental operations revenue consists of the following (in thousands):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22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6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April 30,</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April 30,</w:t>
            </w:r>
          </w:p>
        </w:tc>
        <w:tc>
          <w:tcPr>
            <w:tcW w:w="920" w:type="dxa"/>
            <w:vAlign w:val="bottom"/>
            <w:tcBorders>
              <w:bottom w:val="single" w:sz="8" w:color="auto"/>
            </w:tcBorders>
          </w:tcPr>
          <w:p>
            <w:pPr>
              <w:spacing w:after="0"/>
              <w:rPr>
                <w:sz w:val="19"/>
                <w:szCs w:val="19"/>
                <w:color w:val="auto"/>
              </w:rPr>
            </w:pPr>
          </w:p>
        </w:tc>
      </w:tr>
      <w:tr>
        <w:trPr>
          <w:trHeight w:val="232"/>
        </w:trPr>
        <w:tc>
          <w:tcPr>
            <w:tcW w:w="56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7"/>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revenue</w:t>
            </w: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1,274</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1,295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Variable lease revenue</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57"/>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revenue</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1,394</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Arrangements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enters into leasing transactions in which the Company is the lessee. These lease contracts are classified as either operating or finance leases. The Company’s lease contracts are generally for agricultural land and packinghouse facilities and equipment with remaining lease terms ranging from one to 15 years, with various term extensions available. The Company’s lease agreements do not contain any residual value guarantees or material restrictive covenants. Leases with an initial term of 12 months or less are not recorded on the balance sheet and the Company recognizes lease expense for these leases on a straight-line basis over the lease term. All lease costs are primarily included in agribusiness costs and expenses in the Company's consolidated statements of operations.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lease costs were $491,000 and $135,000 for the three months ended April 30, 2023 and 2022, respectively, and $982,000 and $258,000 for the six months ended April 30, 2023 and 2022, respectively. Finance lease costs were immaterial and $98,000 for the three months ended April 30, 2023 and 2022, respectively and immaterial and $156,000 for the six months ended April 30, 2023 and 2022, respectively. Variable lease costs were immaterial for the three and six months ended April 30, 2023 and 2022. Short term lease costs were $175,000 and immaterial for the three months ended April 30, 2023 and 2022, respectively, and $338,000 and immaterial for the six months ended April 30, 2023 and 2022,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consists of the following (in thousands):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80" w:type="dxa"/>
            <w:vAlign w:val="bottom"/>
          </w:tcPr>
          <w:p>
            <w:pPr>
              <w:spacing w:after="0"/>
              <w:rPr>
                <w:sz w:val="18"/>
                <w:szCs w:val="18"/>
                <w:color w:val="auto"/>
              </w:rPr>
            </w:pPr>
          </w:p>
        </w:tc>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3"/>
              </w:rPr>
              <w:t>April 30, 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October 31,</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19"/>
                <w:szCs w:val="19"/>
                <w:color w:val="auto"/>
              </w:rPr>
            </w:pPr>
          </w:p>
        </w:tc>
        <w:tc>
          <w:tcPr>
            <w:tcW w:w="47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Operating lease ROU assets</w:t>
            </w:r>
          </w:p>
        </w:tc>
        <w:tc>
          <w:tcPr>
            <w:tcW w:w="47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7,281</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8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liabilities</w:t>
            </w: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 and payables to related parties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Current finance lease liabilities</w:t>
            </w:r>
          </w:p>
        </w:tc>
        <w:tc>
          <w:tcPr>
            <w:tcW w:w="470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Non-current finance lease liabilities</w:t>
            </w:r>
          </w:p>
        </w:tc>
        <w:tc>
          <w:tcPr>
            <w:tcW w:w="47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50"/>
        </w:trPr>
        <w:tc>
          <w:tcPr>
            <w:tcW w:w="3680" w:type="dxa"/>
            <w:vAlign w:val="bottom"/>
            <w:shd w:val="clear" w:color="auto" w:fill="CCEEFF"/>
          </w:tcPr>
          <w:p>
            <w:pPr>
              <w:spacing w:after="0"/>
              <w:rPr>
                <w:sz w:val="21"/>
                <w:szCs w:val="21"/>
                <w:color w:val="auto"/>
              </w:rPr>
            </w:pPr>
          </w:p>
        </w:tc>
        <w:tc>
          <w:tcPr>
            <w:tcW w:w="47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consists of the following (in thousands):</w:t>
      </w:r>
    </w:p>
    <w:p>
      <w:pPr>
        <w:spacing w:after="0" w:line="181"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Six Months Ended</w:t>
      </w:r>
    </w:p>
    <w:p>
      <w:pPr>
        <w:spacing w:after="0" w:line="2"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April 30,</w:t>
      </w:r>
    </w:p>
    <w:p>
      <w:pPr>
        <w:spacing w:after="0" w:line="7"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74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420" w:type="dxa"/>
            <w:vAlign w:val="bottom"/>
          </w:tcPr>
          <w:p>
            <w:pPr>
              <w:ind w:left="120"/>
              <w:spacing w:after="0"/>
              <w:rPr>
                <w:sz w:val="20"/>
                <w:szCs w:val="20"/>
                <w:color w:val="auto"/>
              </w:rPr>
            </w:pPr>
            <w:r>
              <w:rPr>
                <w:rFonts w:ascii="Arial" w:cs="Arial" w:eastAsia="Arial" w:hAnsi="Arial"/>
                <w:sz w:val="18"/>
                <w:szCs w:val="18"/>
                <w:color w:val="auto"/>
              </w:rPr>
              <w:t>Operating cash outflows from operating leases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961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43"/>
        </w:trPr>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cash outflows from finance leases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7420" w:type="dxa"/>
            <w:vAlign w:val="bottom"/>
          </w:tcPr>
          <w:p>
            <w:pPr>
              <w:ind w:left="120"/>
              <w:spacing w:after="0"/>
              <w:rPr>
                <w:sz w:val="20"/>
                <w:szCs w:val="20"/>
                <w:color w:val="auto"/>
              </w:rPr>
            </w:pPr>
            <w:r>
              <w:rPr>
                <w:rFonts w:ascii="Arial" w:cs="Arial" w:eastAsia="Arial" w:hAnsi="Arial"/>
                <w:sz w:val="18"/>
                <w:szCs w:val="18"/>
                <w:color w:val="auto"/>
              </w:rPr>
              <w:t>Financing cash outflows from finance leases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Basic and Diluted Net (Loss) Income Per Share</w:t>
      </w:r>
    </w:p>
    <w:p>
      <w:pPr>
        <w:spacing w:after="0" w:line="1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(loss) income per common share is calculated using the weighted-average number of common shares outstanding during the period without consideration of the dilutive effect of conversion of preferred stock. Diluted net (loss) income per common share is calculated using the weighted-average number of common shares outstanding during the period plus the dilutive effect of unvested, restricted stock and conversion of preferred stock. The computations for basic and diluted net (loss) income per common share are as follows (in thousands, except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r>
      <w:tr>
        <w:trPr>
          <w:trHeight w:val="227"/>
        </w:trPr>
        <w:tc>
          <w:tcPr>
            <w:tcW w:w="5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(loss) income per common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Net (loss) income applicable to common stock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(1,739)</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13,767</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(5,208)</w:t>
            </w:r>
          </w:p>
        </w:tc>
      </w:tr>
      <w:tr>
        <w:trPr>
          <w:trHeight w:val="23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unvested, restricted stock</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Numerator: Net (loss) income for basic EPS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w:t>
            </w:r>
          </w:p>
        </w:tc>
      </w:tr>
      <w:tr>
        <w:trPr>
          <w:trHeight w:val="23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 Weighted average common shares-basic</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17,461</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Basic net (loss) income per common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(loss) income per common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Net (loss) income for basic EPS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13,579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(5,237)</w:t>
            </w:r>
          </w:p>
        </w:tc>
      </w:tr>
      <w:tr>
        <w:trPr>
          <w:trHeight w:val="23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preferred stock</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Numerator: Net (loss) income for diluted EPS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w:t>
            </w:r>
          </w:p>
        </w:tc>
      </w:tr>
      <w:tr>
        <w:trPr>
          <w:trHeight w:val="23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17,461</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dilutive preferred stock</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 Weighted average common shares–diluted</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17,461</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Diluted net (loss) income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0"/>
        </w:trPr>
        <w:tc>
          <w:tcPr>
            <w:tcW w:w="5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net (loss) income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(loss) income per common share was calculated under the two-class method for the three and six months ended April 30, 2023 and 2022.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transactions with equity method investments and various related parties summarized in Note 6 - Equity in Investments and in the tables below (in thousands):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4"/>
          </w:tcPr>
          <w:p>
            <w:pPr>
              <w:jc w:val="right"/>
              <w:ind w:right="563"/>
              <w:spacing w:after="0"/>
              <w:rPr>
                <w:sz w:val="20"/>
                <w:szCs w:val="20"/>
                <w:color w:val="auto"/>
              </w:rPr>
            </w:pPr>
            <w:r>
              <w:rPr>
                <w:rFonts w:ascii="Arial" w:cs="Arial" w:eastAsia="Arial" w:hAnsi="Arial"/>
                <w:sz w:val="14"/>
                <w:szCs w:val="14"/>
                <w:b w:val="1"/>
                <w:bCs w:val="1"/>
                <w:color w:val="auto"/>
              </w:rPr>
              <w:t>April 30, 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463"/>
              <w:spacing w:after="0"/>
              <w:rPr>
                <w:sz w:val="20"/>
                <w:szCs w:val="20"/>
                <w:color w:val="auto"/>
              </w:rPr>
            </w:pPr>
            <w:r>
              <w:rPr>
                <w:rFonts w:ascii="Arial" w:cs="Arial" w:eastAsia="Arial" w:hAnsi="Arial"/>
                <w:sz w:val="14"/>
                <w:szCs w:val="14"/>
                <w:b w:val="1"/>
                <w:bCs w:val="1"/>
                <w:color w:val="auto"/>
              </w:rPr>
              <w:t>October 31, 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4"/>
                <w:szCs w:val="14"/>
                <w:b w:val="1"/>
                <w:bCs w:val="1"/>
                <w:color w:val="auto"/>
              </w:rPr>
              <w:t>Balance Sheet</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563"/>
              <w:spacing w:after="0"/>
              <w:rPr>
                <w:sz w:val="20"/>
                <w:szCs w:val="20"/>
                <w:color w:val="auto"/>
              </w:rPr>
            </w:pPr>
            <w:r>
              <w:rPr>
                <w:rFonts w:ascii="Arial" w:cs="Arial" w:eastAsia="Arial" w:hAnsi="Arial"/>
                <w:sz w:val="14"/>
                <w:szCs w:val="14"/>
                <w:b w:val="1"/>
                <w:bCs w:val="1"/>
                <w:color w:val="auto"/>
              </w:rPr>
              <w:t>Balance Sheet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94"/>
              </w:rPr>
              <w:t>Receivable/Other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43"/>
              <w:spacing w:after="0" w:line="135" w:lineRule="exact"/>
              <w:rPr>
                <w:sz w:val="20"/>
                <w:szCs w:val="20"/>
                <w:color w:val="auto"/>
              </w:rPr>
            </w:pPr>
            <w:r>
              <w:rPr>
                <w:rFonts w:ascii="Arial" w:cs="Arial" w:eastAsia="Arial" w:hAnsi="Arial"/>
                <w:sz w:val="14"/>
                <w:szCs w:val="14"/>
                <w:b w:val="1"/>
                <w:bCs w:val="1"/>
                <w:color w:val="auto"/>
                <w:w w:val="89"/>
              </w:rPr>
              <w:t>Payables to</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3"/>
              <w:spacing w:after="0" w:line="135" w:lineRule="exact"/>
              <w:rPr>
                <w:sz w:val="20"/>
                <w:szCs w:val="20"/>
                <w:color w:val="auto"/>
              </w:rPr>
            </w:pPr>
            <w:r>
              <w:rPr>
                <w:rFonts w:ascii="Arial" w:cs="Arial" w:eastAsia="Arial" w:hAnsi="Arial"/>
                <w:sz w:val="14"/>
                <w:szCs w:val="14"/>
                <w:b w:val="1"/>
                <w:bCs w:val="1"/>
                <w:color w:val="auto"/>
                <w:w w:val="94"/>
              </w:rPr>
              <w:t>Other Long-</w:t>
            </w:r>
          </w:p>
        </w:tc>
        <w:tc>
          <w:tcPr>
            <w:tcW w:w="10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2"/>
              </w:rPr>
              <w:t>Receivable/Other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center"/>
              <w:ind w:right="23"/>
              <w:spacing w:after="0" w:line="135" w:lineRule="exact"/>
              <w:rPr>
                <w:sz w:val="20"/>
                <w:szCs w:val="20"/>
                <w:color w:val="auto"/>
              </w:rPr>
            </w:pPr>
            <w:r>
              <w:rPr>
                <w:rFonts w:ascii="Arial" w:cs="Arial" w:eastAsia="Arial" w:hAnsi="Arial"/>
                <w:sz w:val="14"/>
                <w:szCs w:val="14"/>
                <w:b w:val="1"/>
                <w:bCs w:val="1"/>
                <w:color w:val="auto"/>
                <w:w w:val="89"/>
              </w:rPr>
              <w:t>Payables to</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3"/>
              <w:spacing w:after="0" w:line="135" w:lineRule="exact"/>
              <w:rPr>
                <w:sz w:val="20"/>
                <w:szCs w:val="20"/>
                <w:color w:val="auto"/>
              </w:rPr>
            </w:pPr>
            <w:r>
              <w:rPr>
                <w:rFonts w:ascii="Arial" w:cs="Arial" w:eastAsia="Arial" w:hAnsi="Arial"/>
                <w:sz w:val="14"/>
                <w:szCs w:val="14"/>
                <w:b w:val="1"/>
                <w:bCs w:val="1"/>
                <w:color w:val="auto"/>
                <w:w w:val="94"/>
              </w:rPr>
              <w:t>Other Long-</w:t>
            </w:r>
          </w:p>
        </w:tc>
        <w:tc>
          <w:tcPr>
            <w:tcW w:w="0" w:type="dxa"/>
            <w:vAlign w:val="bottom"/>
          </w:tcPr>
          <w:p>
            <w:pPr>
              <w:spacing w:after="0"/>
              <w:rPr>
                <w:sz w:val="1"/>
                <w:szCs w:val="1"/>
                <w:color w:val="auto"/>
              </w:rPr>
            </w:pPr>
          </w:p>
        </w:tc>
      </w:tr>
      <w:tr>
        <w:trPr>
          <w:trHeight w:val="139"/>
        </w:trPr>
        <w:tc>
          <w:tcPr>
            <w:tcW w:w="38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7"/>
              </w:rPr>
              <w:t>Ref</w:t>
            </w:r>
          </w:p>
        </w:tc>
        <w:tc>
          <w:tcPr>
            <w:tcW w:w="100" w:type="dxa"/>
            <w:vAlign w:val="bottom"/>
          </w:tcPr>
          <w:p>
            <w:pPr>
              <w:spacing w:after="0"/>
              <w:rPr>
                <w:sz w:val="12"/>
                <w:szCs w:val="12"/>
                <w:color w:val="auto"/>
              </w:rPr>
            </w:pPr>
          </w:p>
        </w:tc>
        <w:tc>
          <w:tcPr>
            <w:tcW w:w="21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Related Party</w:t>
            </w:r>
          </w:p>
        </w:tc>
        <w:tc>
          <w:tcPr>
            <w:tcW w:w="120" w:type="dxa"/>
            <w:vAlign w:val="bottom"/>
          </w:tcPr>
          <w:p>
            <w:pPr>
              <w:spacing w:after="0"/>
              <w:rPr>
                <w:sz w:val="12"/>
                <w:szCs w:val="12"/>
                <w:color w:val="auto"/>
              </w:rPr>
            </w:pPr>
          </w:p>
        </w:tc>
        <w:tc>
          <w:tcPr>
            <w:tcW w:w="980" w:type="dxa"/>
            <w:vAlign w:val="bottom"/>
          </w:tcPr>
          <w:p>
            <w:pPr>
              <w:jc w:val="right"/>
              <w:ind w:right="82"/>
              <w:spacing w:after="0" w:line="139" w:lineRule="exact"/>
              <w:rPr>
                <w:sz w:val="20"/>
                <w:szCs w:val="20"/>
                <w:color w:val="auto"/>
              </w:rPr>
            </w:pPr>
            <w:r>
              <w:rPr>
                <w:rFonts w:ascii="Arial" w:cs="Arial" w:eastAsia="Arial" w:hAnsi="Arial"/>
                <w:sz w:val="14"/>
                <w:szCs w:val="14"/>
                <w:b w:val="1"/>
                <w:bCs w:val="1"/>
                <w:color w:val="auto"/>
                <w:w w:val="93"/>
              </w:rPr>
              <w:t>from Related</w:t>
            </w:r>
          </w:p>
        </w:tc>
        <w:tc>
          <w:tcPr>
            <w:tcW w:w="100" w:type="dxa"/>
            <w:vAlign w:val="bottom"/>
          </w:tcPr>
          <w:p>
            <w:pPr>
              <w:spacing w:after="0"/>
              <w:rPr>
                <w:sz w:val="12"/>
                <w:szCs w:val="12"/>
                <w:color w:val="auto"/>
              </w:rPr>
            </w:pPr>
          </w:p>
        </w:tc>
        <w:tc>
          <w:tcPr>
            <w:tcW w:w="94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w w:val="96"/>
              </w:rPr>
              <w:t>Other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3"/>
              <w:spacing w:after="0" w:line="139" w:lineRule="exact"/>
              <w:rPr>
                <w:sz w:val="20"/>
                <w:szCs w:val="20"/>
                <w:color w:val="auto"/>
              </w:rPr>
            </w:pPr>
            <w:r>
              <w:rPr>
                <w:rFonts w:ascii="Arial" w:cs="Arial" w:eastAsia="Arial" w:hAnsi="Arial"/>
                <w:sz w:val="14"/>
                <w:szCs w:val="14"/>
                <w:b w:val="1"/>
                <w:bCs w:val="1"/>
                <w:color w:val="auto"/>
                <w:w w:val="90"/>
              </w:rPr>
              <w:t>Related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3"/>
              <w:spacing w:after="0" w:line="139"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62"/>
              <w:spacing w:after="0" w:line="139" w:lineRule="exact"/>
              <w:rPr>
                <w:sz w:val="20"/>
                <w:szCs w:val="20"/>
                <w:color w:val="auto"/>
              </w:rPr>
            </w:pPr>
            <w:r>
              <w:rPr>
                <w:rFonts w:ascii="Arial" w:cs="Arial" w:eastAsia="Arial" w:hAnsi="Arial"/>
                <w:sz w:val="14"/>
                <w:szCs w:val="14"/>
                <w:b w:val="1"/>
                <w:bCs w:val="1"/>
                <w:color w:val="auto"/>
                <w:w w:val="95"/>
              </w:rPr>
              <w:t>from Related</w:t>
            </w:r>
          </w:p>
        </w:tc>
        <w:tc>
          <w:tcPr>
            <w:tcW w:w="100" w:type="dxa"/>
            <w:vAlign w:val="bottom"/>
          </w:tcPr>
          <w:p>
            <w:pPr>
              <w:spacing w:after="0"/>
              <w:rPr>
                <w:sz w:val="12"/>
                <w:szCs w:val="12"/>
                <w:color w:val="auto"/>
              </w:rPr>
            </w:pPr>
          </w:p>
        </w:tc>
        <w:tc>
          <w:tcPr>
            <w:tcW w:w="980" w:type="dxa"/>
            <w:vAlign w:val="bottom"/>
            <w:gridSpan w:val="2"/>
            <w:vMerge w:val="restart"/>
          </w:tcPr>
          <w:p>
            <w:pPr>
              <w:jc w:val="right"/>
              <w:ind w:right="42"/>
              <w:spacing w:after="0"/>
              <w:rPr>
                <w:sz w:val="20"/>
                <w:szCs w:val="20"/>
                <w:color w:val="auto"/>
              </w:rPr>
            </w:pPr>
            <w:r>
              <w:rPr>
                <w:rFonts w:ascii="Arial" w:cs="Arial" w:eastAsia="Arial" w:hAnsi="Arial"/>
                <w:sz w:val="14"/>
                <w:szCs w:val="14"/>
                <w:b w:val="1"/>
                <w:bCs w:val="1"/>
                <w:color w:val="auto"/>
                <w:w w:val="96"/>
              </w:rPr>
              <w:t>Other Assets</w:t>
            </w:r>
          </w:p>
        </w:tc>
        <w:tc>
          <w:tcPr>
            <w:tcW w:w="180" w:type="dxa"/>
            <w:vAlign w:val="bottom"/>
          </w:tcPr>
          <w:p>
            <w:pPr>
              <w:spacing w:after="0"/>
              <w:rPr>
                <w:sz w:val="12"/>
                <w:szCs w:val="12"/>
                <w:color w:val="auto"/>
              </w:rPr>
            </w:pPr>
          </w:p>
        </w:tc>
        <w:tc>
          <w:tcPr>
            <w:tcW w:w="840" w:type="dxa"/>
            <w:vAlign w:val="bottom"/>
          </w:tcPr>
          <w:p>
            <w:pPr>
              <w:jc w:val="center"/>
              <w:ind w:right="43"/>
              <w:spacing w:after="0" w:line="139" w:lineRule="exact"/>
              <w:rPr>
                <w:sz w:val="20"/>
                <w:szCs w:val="20"/>
                <w:color w:val="auto"/>
              </w:rPr>
            </w:pPr>
            <w:r>
              <w:rPr>
                <w:rFonts w:ascii="Arial" w:cs="Arial" w:eastAsia="Arial" w:hAnsi="Arial"/>
                <w:sz w:val="14"/>
                <w:szCs w:val="14"/>
                <w:b w:val="1"/>
                <w:bCs w:val="1"/>
                <w:color w:val="auto"/>
                <w:w w:val="94"/>
              </w:rPr>
              <w:t>Related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3"/>
              <w:spacing w:after="0" w:line="13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86"/>
        </w:trPr>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62"/>
              <w:spacing w:after="0"/>
              <w:rPr>
                <w:sz w:val="20"/>
                <w:szCs w:val="20"/>
                <w:color w:val="auto"/>
              </w:rPr>
            </w:pPr>
            <w:r>
              <w:rPr>
                <w:rFonts w:ascii="Arial" w:cs="Arial" w:eastAsia="Arial" w:hAnsi="Arial"/>
                <w:sz w:val="14"/>
                <w:szCs w:val="14"/>
                <w:b w:val="1"/>
                <w:bCs w:val="1"/>
                <w:color w:val="auto"/>
              </w:rPr>
              <w:t>Parties</w:t>
            </w: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Parties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3"/>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42"/>
              <w:spacing w:after="0"/>
              <w:rPr>
                <w:sz w:val="20"/>
                <w:szCs w:val="20"/>
                <w:color w:val="auto"/>
              </w:rPr>
            </w:pPr>
            <w:r>
              <w:rPr>
                <w:rFonts w:ascii="Arial" w:cs="Arial" w:eastAsia="Arial" w:hAnsi="Arial"/>
                <w:sz w:val="14"/>
                <w:szCs w:val="14"/>
                <w:b w:val="1"/>
                <w:bCs w:val="1"/>
                <w:color w:val="auto"/>
              </w:rPr>
              <w:t>Parties</w:t>
            </w: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Parties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3"/>
              <w:spacing w:after="0"/>
              <w:rPr>
                <w:sz w:val="20"/>
                <w:szCs w:val="20"/>
                <w:color w:val="auto"/>
              </w:rPr>
            </w:pPr>
            <w:r>
              <w:rPr>
                <w:rFonts w:ascii="Arial" w:cs="Arial" w:eastAsia="Arial" w:hAnsi="Arial"/>
                <w:sz w:val="14"/>
                <w:szCs w:val="14"/>
                <w:b w:val="1"/>
                <w:bCs w:val="1"/>
                <w:color w:val="auto"/>
                <w:w w:val="92"/>
              </w:rPr>
              <w:t>Liabilities</w:t>
            </w:r>
          </w:p>
        </w:tc>
        <w:tc>
          <w:tcPr>
            <w:tcW w:w="0" w:type="dxa"/>
            <w:vAlign w:val="bottom"/>
          </w:tcPr>
          <w:p>
            <w:pPr>
              <w:spacing w:after="0"/>
              <w:rPr>
                <w:sz w:val="1"/>
                <w:szCs w:val="1"/>
                <w:color w:val="auto"/>
              </w:rPr>
            </w:pPr>
          </w:p>
        </w:tc>
      </w:tr>
      <w:tr>
        <w:trPr>
          <w:trHeight w:val="26"/>
        </w:trPr>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Mutual water companies</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Cadiz / Fenner / WAM</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1,247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347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1,247</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1,288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19"/>
        </w:trPr>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FGF</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2,738</w:t>
            </w: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2,652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8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LLCB</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66</w:t>
            </w:r>
          </w:p>
        </w:tc>
        <w:tc>
          <w:tcPr>
            <w:tcW w:w="38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3,444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66</w:t>
            </w:r>
          </w:p>
        </w:tc>
        <w:tc>
          <w:tcPr>
            <w:tcW w:w="360" w:type="dxa"/>
            <w:vAlign w:val="bottom"/>
            <w:gridSpan w:val="2"/>
          </w:tcPr>
          <w:p>
            <w:pPr>
              <w:jc w:val="right"/>
              <w:ind w:right="88"/>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3,444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53" w:lineRule="exact"/>
        <w:rPr>
          <w:sz w:val="20"/>
          <w:szCs w:val="20"/>
          <w:color w:val="auto"/>
        </w:rPr>
      </w:pPr>
    </w:p>
    <w:p>
      <w:pPr>
        <w:ind w:left="3580"/>
        <w:spacing w:after="0"/>
        <w:rPr>
          <w:sz w:val="20"/>
          <w:szCs w:val="20"/>
          <w:color w:val="auto"/>
        </w:rPr>
      </w:pPr>
      <w:r>
        <w:rPr>
          <w:rFonts w:ascii="Arial" w:cs="Arial" w:eastAsia="Arial" w:hAnsi="Arial"/>
          <w:sz w:val="13"/>
          <w:szCs w:val="13"/>
          <w:b w:val="1"/>
          <w:bCs w:val="1"/>
          <w:color w:val="auto"/>
        </w:rPr>
        <w:t>Three Months Ended April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39370</wp:posOffset>
            </wp:positionV>
            <wp:extent cx="27260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7"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Three Months Ended April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39370</wp:posOffset>
            </wp:positionV>
            <wp:extent cx="27343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Operations</w:t>
      </w:r>
    </w:p>
    <w:p>
      <w:pPr>
        <w:spacing w:after="0" w:line="25" w:lineRule="exact"/>
        <w:rPr>
          <w:sz w:val="20"/>
          <w:szCs w:val="20"/>
          <w:color w:val="auto"/>
        </w:rPr>
      </w:pPr>
    </w:p>
    <w:p>
      <w:pPr>
        <w:sectPr>
          <w:pgSz w:w="11900" w:h="16838" w:orient="portrait"/>
          <w:cols w:equalWidth="0" w:num="2">
            <w:col w:w="6740" w:space="720"/>
            <w:col w:w="3780"/>
          </w:cols>
          <w:pgMar w:left="320" w:top="126" w:right="339" w:bottom="1440" w:gutter="0" w:footer="0" w:header="0"/>
          <w:type w:val="continuous"/>
        </w:sectPr>
      </w:pPr>
    </w:p>
    <w:tbl>
      <w:tblPr>
        <w:tblLayout w:type="fixed"/>
        <w:tblInd w:w="20" w:type="dxa"/>
        <w:tblCellMar>
          <w:top w:w="0" w:type="dxa"/>
          <w:left w:w="0" w:type="dxa"/>
          <w:bottom w:w="0" w:type="dxa"/>
          <w:right w:w="0" w:type="dxa"/>
        </w:tblCellMar>
      </w:tblPr>
      <w:tr>
        <w:trPr>
          <w:trHeight w:val="145"/>
        </w:trPr>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4"/>
                <w:szCs w:val="14"/>
                <w:b w:val="1"/>
                <w:bCs w:val="1"/>
                <w:color w:val="auto"/>
                <w:w w:val="91"/>
              </w:rPr>
              <w:t>Net Revenue</w:t>
            </w: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Net Revenue</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Agribusiness</w:t>
            </w:r>
          </w:p>
        </w:tc>
        <w:tc>
          <w:tcPr>
            <w:tcW w:w="12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Dividends</w:t>
            </w: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4"/>
                <w:szCs w:val="14"/>
                <w:b w:val="1"/>
                <w:bCs w:val="1"/>
                <w:color w:val="auto"/>
                <w:w w:val="94"/>
              </w:rPr>
              <w:t>Net Revenue</w:t>
            </w: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Net Revenue</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7"/>
              </w:rPr>
              <w:t>Agribusiness</w:t>
            </w:r>
          </w:p>
        </w:tc>
        <w:tc>
          <w:tcPr>
            <w:tcW w:w="14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48"/>
        </w:trPr>
        <w:tc>
          <w:tcPr>
            <w:tcW w:w="3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88"/>
              </w:rPr>
              <w:t>Ref</w:t>
            </w:r>
          </w:p>
        </w:tc>
        <w:tc>
          <w:tcPr>
            <w:tcW w:w="100" w:type="dxa"/>
            <w:vAlign w:val="bottom"/>
          </w:tcPr>
          <w:p>
            <w:pPr>
              <w:spacing w:after="0"/>
              <w:rPr>
                <w:sz w:val="12"/>
                <w:szCs w:val="12"/>
                <w:color w:val="auto"/>
              </w:rPr>
            </w:pPr>
          </w:p>
        </w:tc>
        <w:tc>
          <w:tcPr>
            <w:tcW w:w="19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Related Party</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Expense and</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Expense and</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Operations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Paid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0"/>
              </w:rPr>
              <w:t>Agribusiness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Operations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Paid</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6"/>
                <w:szCs w:val="16"/>
                <w:color w:val="auto"/>
              </w:rPr>
              <w:t>Mutual water companies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Cooperative association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6"/>
                <w:szCs w:val="16"/>
                <w:color w:val="auto"/>
              </w:rPr>
              <w:t>Cadiz / Fenner / WAM</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472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YMIDD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6"/>
                <w:szCs w:val="16"/>
                <w:color w:val="auto"/>
              </w:rPr>
              <w:t>FGF</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50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Third-party growers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6"/>
                <w:szCs w:val="16"/>
                <w:color w:val="auto"/>
              </w:rPr>
              <w:t>Principal owner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type w:val="continuous"/>
        </w:sectPr>
      </w:pPr>
    </w:p>
    <w:p>
      <w:pPr>
        <w:spacing w:after="0" w:line="67"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Six Months Ended April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31115</wp:posOffset>
            </wp:positionV>
            <wp:extent cx="27260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33" w:lineRule="exact"/>
        <w:rPr>
          <w:sz w:val="20"/>
          <w:szCs w:val="20"/>
          <w:color w:val="auto"/>
        </w:rPr>
      </w:pPr>
    </w:p>
    <w:p>
      <w:pPr>
        <w:ind w:left="3080"/>
        <w:spacing w:after="0"/>
        <w:rPr>
          <w:sz w:val="20"/>
          <w:szCs w:val="20"/>
          <w:color w:val="auto"/>
        </w:rPr>
      </w:pPr>
      <w:r>
        <w:rPr>
          <w:rFonts w:ascii="Arial" w:cs="Arial" w:eastAsia="Arial" w:hAnsi="Arial"/>
          <w:sz w:val="14"/>
          <w:szCs w:val="14"/>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rPr>
        <w:t>Six Months Ended April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31115</wp:posOffset>
            </wp:positionV>
            <wp:extent cx="27260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 of Operations</w:t>
      </w:r>
    </w:p>
    <w:p>
      <w:pPr>
        <w:spacing w:after="0" w:line="31" w:lineRule="exact"/>
        <w:rPr>
          <w:sz w:val="20"/>
          <w:szCs w:val="20"/>
          <w:color w:val="auto"/>
        </w:rPr>
      </w:pPr>
    </w:p>
    <w:p>
      <w:pPr>
        <w:sectPr>
          <w:pgSz w:w="11900" w:h="16838" w:orient="portrait"/>
          <w:cols w:equalWidth="0" w:num="2">
            <w:col w:w="6760" w:space="720"/>
            <w:col w:w="3760"/>
          </w:cols>
          <w:pgMar w:left="320" w:top="126" w:right="339" w:bottom="1440" w:gutter="0" w:footer="0" w:header="0"/>
          <w:type w:val="continuous"/>
        </w:sectPr>
      </w:pPr>
    </w:p>
    <w:tbl>
      <w:tblPr>
        <w:tblLayout w:type="fixed"/>
        <w:tblInd w:w="20" w:type="dxa"/>
        <w:tblCellMar>
          <w:top w:w="0" w:type="dxa"/>
          <w:left w:w="0" w:type="dxa"/>
          <w:bottom w:w="0" w:type="dxa"/>
          <w:right w:w="0" w:type="dxa"/>
        </w:tblCellMar>
      </w:tblPr>
      <w:tr>
        <w:trPr>
          <w:trHeight w:val="148"/>
        </w:trPr>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4"/>
                <w:szCs w:val="14"/>
                <w:b w:val="1"/>
                <w:bCs w:val="1"/>
                <w:color w:val="auto"/>
                <w:w w:val="94"/>
              </w:rPr>
              <w:t>Net Revenue</w:t>
            </w: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Revenue</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Agribusiness</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Dividends</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4"/>
                <w:szCs w:val="14"/>
                <w:b w:val="1"/>
                <w:bCs w:val="1"/>
                <w:color w:val="auto"/>
                <w:w w:val="94"/>
              </w:rPr>
              <w:t>Net Revenue</w:t>
            </w: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Net Revenue</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Agribusiness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139"/>
        </w:trPr>
        <w:tc>
          <w:tcPr>
            <w:tcW w:w="3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88"/>
              </w:rPr>
              <w:t>Ref</w:t>
            </w:r>
          </w:p>
        </w:tc>
        <w:tc>
          <w:tcPr>
            <w:tcW w:w="100" w:type="dxa"/>
            <w:vAlign w:val="bottom"/>
          </w:tcPr>
          <w:p>
            <w:pPr>
              <w:spacing w:after="0"/>
              <w:rPr>
                <w:sz w:val="12"/>
                <w:szCs w:val="12"/>
                <w:color w:val="auto"/>
              </w:rPr>
            </w:pPr>
          </w:p>
        </w:tc>
        <w:tc>
          <w:tcPr>
            <w:tcW w:w="20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Related Party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1"/>
              <w:spacing w:after="0" w:line="13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0"/>
              </w:rPr>
              <w:t>Expense and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1"/>
              <w:spacing w:after="0" w:line="13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21"/>
              <w:spacing w:after="0" w:line="139" w:lineRule="exact"/>
              <w:rPr>
                <w:sz w:val="20"/>
                <w:szCs w:val="20"/>
                <w:color w:val="auto"/>
              </w:rPr>
            </w:pPr>
            <w:r>
              <w:rPr>
                <w:rFonts w:ascii="Arial" w:cs="Arial" w:eastAsia="Arial" w:hAnsi="Arial"/>
                <w:sz w:val="14"/>
                <w:szCs w:val="14"/>
                <w:b w:val="1"/>
                <w:bCs w:val="1"/>
                <w:color w:val="auto"/>
                <w:w w:val="90"/>
              </w:rPr>
              <w:t>Expense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81"/>
              <w:spacing w:after="0"/>
              <w:rPr>
                <w:sz w:val="20"/>
                <w:szCs w:val="20"/>
                <w:color w:val="auto"/>
              </w:rPr>
            </w:pPr>
            <w:r>
              <w:rPr>
                <w:rFonts w:ascii="Arial" w:cs="Arial" w:eastAsia="Arial" w:hAnsi="Arial"/>
                <w:sz w:val="14"/>
                <w:szCs w:val="14"/>
                <w:b w:val="1"/>
                <w:bCs w:val="1"/>
                <w:color w:val="auto"/>
                <w:w w:val="90"/>
              </w:rPr>
              <w:t>Agribusiness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Operations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Paid</w:t>
            </w:r>
          </w:p>
        </w:tc>
        <w:tc>
          <w:tcPr>
            <w:tcW w:w="12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Operations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Paid</w:t>
            </w:r>
          </w:p>
        </w:tc>
        <w:tc>
          <w:tcPr>
            <w:tcW w:w="0" w:type="dxa"/>
            <w:vAlign w:val="bottom"/>
          </w:tcPr>
          <w:p>
            <w:pPr>
              <w:spacing w:after="0"/>
              <w:rPr>
                <w:sz w:val="1"/>
                <w:szCs w:val="1"/>
                <w:color w:val="auto"/>
              </w:rPr>
            </w:pPr>
          </w:p>
        </w:tc>
      </w:tr>
      <w:tr>
        <w:trPr>
          <w:trHeight w:val="25"/>
        </w:trPr>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6"/>
                <w:szCs w:val="16"/>
                <w:color w:val="auto"/>
              </w:rPr>
              <w:t>Mutual water companies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494</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Cooperative association</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6"/>
                <w:szCs w:val="16"/>
                <w:color w:val="auto"/>
              </w:rPr>
              <w:t>Calavo</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Cadiz / Fenner / WAM</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6"/>
                <w:szCs w:val="16"/>
                <w:color w:val="auto"/>
              </w:rPr>
              <w:t>YMIDD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270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FGF</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60" w:type="dxa"/>
            <w:vAlign w:val="bottom"/>
            <w:gridSpan w:val="2"/>
          </w:tcPr>
          <w:p>
            <w:pPr>
              <w:ind w:left="20"/>
              <w:spacing w:after="0"/>
              <w:rPr>
                <w:sz w:val="20"/>
                <w:szCs w:val="20"/>
                <w:color w:val="auto"/>
              </w:rPr>
            </w:pPr>
            <w:r>
              <w:rPr>
                <w:rFonts w:ascii="Arial" w:cs="Arial" w:eastAsia="Arial" w:hAnsi="Arial"/>
                <w:sz w:val="16"/>
                <w:szCs w:val="16"/>
                <w:color w:val="auto"/>
              </w:rPr>
              <w:t>Third-party growers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Principal owner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8"/>
        <w:spacing w:after="0" w:line="227" w:lineRule="auto"/>
        <w:tabs>
          <w:tab w:leader="none" w:pos="203"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Employees - The Company rents certain of its residential housing assets to employees on a month-to-month basis and recorded rental income from employees. There were no material rental payments due from employees at April 30, 2023 or October 31, 2022.</w:t>
      </w:r>
    </w:p>
    <w:p>
      <w:pPr>
        <w:spacing w:after="0" w:line="134" w:lineRule="exact"/>
        <w:rPr>
          <w:rFonts w:ascii="Arial" w:cs="Arial" w:eastAsia="Arial" w:hAnsi="Arial"/>
          <w:sz w:val="23"/>
          <w:szCs w:val="23"/>
          <w:color w:val="auto"/>
          <w:vertAlign w:val="superscript"/>
        </w:rPr>
      </w:pPr>
    </w:p>
    <w:p>
      <w:pPr>
        <w:jc w:val="both"/>
        <w:ind w:firstLine="8"/>
        <w:spacing w:after="0" w:line="234" w:lineRule="auto"/>
        <w:tabs>
          <w:tab w:leader="none" w:pos="209"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Mutual water companies - The Company has representation on the boards of directors of the mutual water companies in which the Company has investments, as well as other water districts. Refer to Note 8 - Other Assets. The Company recorded capital contributions, purchased water and water delivery services and had water payments due to the mutual water companies and districts.</w:t>
      </w:r>
    </w:p>
    <w:p>
      <w:pPr>
        <w:spacing w:after="0" w:line="121" w:lineRule="exact"/>
        <w:rPr>
          <w:rFonts w:ascii="Arial" w:cs="Arial" w:eastAsia="Arial" w:hAnsi="Arial"/>
          <w:sz w:val="23"/>
          <w:szCs w:val="23"/>
          <w:color w:val="auto"/>
          <w:vertAlign w:val="superscript"/>
        </w:rPr>
      </w:pPr>
    </w:p>
    <w:p>
      <w:pPr>
        <w:ind w:firstLine="8"/>
        <w:spacing w:after="0" w:line="267" w:lineRule="auto"/>
        <w:tabs>
          <w:tab w:leader="none" w:pos="196"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Cooperative association - The Company has representation on the board of directors of a non-profit cooperative association that provides pest control services for the agricultural industry. The Company purchased services and supplies from and had immaterial payments due to the cooperative association.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 (continued)</w:t>
      </w:r>
    </w:p>
    <w:p>
      <w:pPr>
        <w:spacing w:after="0" w:line="135" w:lineRule="exact"/>
        <w:rPr>
          <w:sz w:val="20"/>
          <w:szCs w:val="20"/>
          <w:color w:val="auto"/>
        </w:rPr>
      </w:pPr>
    </w:p>
    <w:p>
      <w:pPr>
        <w:jc w:val="both"/>
        <w:ind w:firstLine="8"/>
        <w:spacing w:after="0" w:line="269" w:lineRule="auto"/>
        <w:tabs>
          <w:tab w:leader="none" w:pos="183"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Calavo - Through January 2022, the Company had representation on the board of directors of Calavo. Calavo owned common stock of the Company and the Company paid dividends on such common stock to Calavo. Additionally, the Company leases office space to Calavo. As of February 2022, Calavo is no longer a related party.</w:t>
      </w:r>
    </w:p>
    <w:p>
      <w:pPr>
        <w:spacing w:after="0" w:line="113" w:lineRule="exact"/>
        <w:rPr>
          <w:rFonts w:ascii="Arial" w:cs="Arial" w:eastAsia="Arial" w:hAnsi="Arial"/>
          <w:sz w:val="21"/>
          <w:szCs w:val="21"/>
          <w:color w:val="auto"/>
          <w:vertAlign w:val="superscript"/>
        </w:rPr>
      </w:pPr>
    </w:p>
    <w:p>
      <w:pPr>
        <w:jc w:val="both"/>
        <w:ind w:firstLine="8"/>
        <w:spacing w:after="0" w:line="277" w:lineRule="auto"/>
        <w:tabs>
          <w:tab w:leader="none" w:pos="18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leased 670 acres located in eastern San Bernardino County, California. In 2016, Cadiz assigned this lease to Fenner Valley Farms, LLC (“Fenner”), a subsidiary of Water Asset Management, LLC (“WAM”). As of the date of this lease assignment, the Company no longer has any related party transactions with Cadiz. An affiliate of WAM is the holder of 9,300 shares of the Company's Series B-2 convertible preferred stock. The annual base rent is equal to the sum of $200 per planted acre and 20% of gross revenues from the sale of harvested lemons (less operating expenses), not to exceed $1,200 per acre per year. Upon the adoption of ASC 842, the Company recorded a right-of-use, or ROU, asset and corresponding lease liability.</w:t>
      </w:r>
    </w:p>
    <w:p>
      <w:pPr>
        <w:spacing w:after="0" w:line="94" w:lineRule="exact"/>
        <w:rPr>
          <w:sz w:val="20"/>
          <w:szCs w:val="20"/>
          <w:color w:val="auto"/>
        </w:rPr>
      </w:pPr>
    </w:p>
    <w:p>
      <w:pPr>
        <w:jc w:val="both"/>
        <w:ind w:firstLine="8"/>
        <w:spacing w:after="0" w:line="238" w:lineRule="auto"/>
        <w:tabs>
          <w:tab w:leader="none" w:pos="206"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Yuma Mesa Irrigation and Drainage District (“YMIDD”) - The Company has representation on the board of directors of YMIDD. The Company purchased water from YMIDD and had no amounts payable to them for such purchases. Additionally, the Company received fallowing revenue from</w:t>
      </w:r>
    </w:p>
    <w:p>
      <w:pPr>
        <w:spacing w:after="0" w:line="1"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8"/>
          <w:szCs w:val="18"/>
          <w:color w:val="auto"/>
        </w:rPr>
        <w:t>YMIDD.</w:t>
      </w:r>
    </w:p>
    <w:p>
      <w:pPr>
        <w:spacing w:after="0" w:line="143" w:lineRule="exact"/>
        <w:rPr>
          <w:rFonts w:ascii="Arial" w:cs="Arial" w:eastAsia="Arial" w:hAnsi="Arial"/>
          <w:sz w:val="22"/>
          <w:szCs w:val="22"/>
          <w:color w:val="auto"/>
          <w:vertAlign w:val="superscript"/>
        </w:rPr>
      </w:pPr>
    </w:p>
    <w:p>
      <w:pPr>
        <w:jc w:val="both"/>
        <w:ind w:firstLine="8"/>
        <w:spacing w:after="0" w:line="273" w:lineRule="auto"/>
        <w:tabs>
          <w:tab w:leader="none" w:pos="185"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FGF - The Company advances funds to FGF for fruit purchases, which are recorded as an asset until the sales occur and the remaining proceeds become due to FGF. The Company has a receivable from FGF for lemon sales and the sale of packing supplies and a payable due to FGF for fruit purchases and services. The Company records revenue related to the licensing of intangible assets to FGF. The Company leases the Santa Clara ranch to FGF and records rental revenue related to the leased land.</w:t>
      </w:r>
    </w:p>
    <w:p>
      <w:pPr>
        <w:spacing w:after="0" w:line="85"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LLCB - Refer to Note 5 - Real Estate Development.</w:t>
      </w:r>
    </w:p>
    <w:p>
      <w:pPr>
        <w:spacing w:after="0" w:line="107" w:lineRule="exact"/>
        <w:rPr>
          <w:sz w:val="20"/>
          <w:szCs w:val="20"/>
          <w:color w:val="auto"/>
        </w:rPr>
      </w:pPr>
    </w:p>
    <w:p>
      <w:pPr>
        <w:ind w:firstLine="8"/>
        <w:spacing w:after="0" w:line="267" w:lineRule="auto"/>
        <w:tabs>
          <w:tab w:leader="none" w:pos="261"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Third-party growers - A former member of the Company's board of directors marketed lemons through the Company. The former board member resigned effective June 14, 2022 and is no longer a related-party.</w:t>
      </w:r>
    </w:p>
    <w:p>
      <w:pPr>
        <w:spacing w:after="0" w:line="53" w:lineRule="exact"/>
        <w:rPr>
          <w:rFonts w:ascii="Arial" w:cs="Arial" w:eastAsia="Arial" w:hAnsi="Arial"/>
          <w:sz w:val="21"/>
          <w:szCs w:val="21"/>
          <w:color w:val="auto"/>
          <w:vertAlign w:val="superscript"/>
        </w:rPr>
      </w:pPr>
    </w:p>
    <w:p>
      <w:pPr>
        <w:ind w:left="240" w:hanging="232"/>
        <w:spacing w:after="0"/>
        <w:tabs>
          <w:tab w:leader="none" w:pos="24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Principal owner - The Company has one principal owner with ownership shares over 10% and paid dividends to such owner.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effective tax rate for the six months ended April 30, 2023 was higher than the federal statutory tax rate of 21% mainly due to foreign jurisdictions that are taxed at different rates, state taxes, tax impact of executive compensation, and nondeductible tax items. The Company has no material uncertain tax positions as of April 30, 2023. The Company recognizes interest expense and penalties related to income tax matters as a component of income tax expense. There was no accrued interest or penalties associated with uncertain tax positions as of April 30, 2023.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Principal Bank and Mercer Human Resource Consulting. In fiscal year 2021, the Company terminated the Plan effective December 31, 2021.</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January 31, 2023, the Company made funding contributions of $2,550,000 to fully fund and settle the plan obligations. Lump sum payments were made to a portion of the active and vested terminated participants and annuities were purchased for all remaining participants from an insurance company. There are no remaining benefit obligations or plan assets and the remaining accumulated other comprehensive loss was fully recognized.</w:t>
      </w:r>
    </w:p>
    <w:p>
      <w:pPr>
        <w:spacing w:after="0" w:line="1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Plan was funded consistent with the funding requirements of federal law and regulations. There were no funding contributions during the six months ended April 30, 2022. Plan assets were invested in a group trust consisting primarily of pooled funds, mutual funds,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pension cost for the Plan for the three and six months ended April 30, 2023 and 2022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2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7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April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r>
      <w:tr>
        <w:trPr>
          <w:trHeight w:val="223"/>
        </w:trPr>
        <w:tc>
          <w:tcPr>
            <w:tcW w:w="5700" w:type="dxa"/>
            <w:vAlign w:val="bottom"/>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3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94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w:t>
            </w:r>
          </w:p>
        </w:tc>
        <w:tc>
          <w:tcPr>
            <w:tcW w:w="940" w:type="dxa"/>
            <w:vAlign w:val="bottom"/>
            <w:shd w:val="clear" w:color="auto" w:fill="CCEEFF"/>
          </w:tcPr>
          <w:p>
            <w:pPr>
              <w:spacing w:after="0"/>
              <w:rPr>
                <w:sz w:val="20"/>
                <w:szCs w:val="20"/>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Settlement loss recognized</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was party to a lawsuit, initiated on March 27, 2018, against Southern California Edison in Superior Court of the State of California, County of Los Angeles whereby the Company claimed unspecified damages, attorneys’ fees and other costs, as a result of the Thomas Fire in fiscal year 2018.</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18, 2023, the Company entered into a Confidential Settlement Agreement and Release (the “Settlement Agreement”) with Southern California Edison Company and Edison International to formally resolve any and all claims related to the fire. Under the terms of the Settlement Agreement, the Company was awarded a total settlement of $9,000,000. On May 19, 2023, the Company received $6,109,000, net of legal and related costs, of which $3,840,000 is recorded in agribusiness revenues and $2,269,000 is recorded in gain on legal settlement as of April 30, 2023.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Compensation</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stock-based compensation plan (the "Stock Plan") that allows for the grant of restricted stock of the Company to members of management, key executives and non-employee directors. The fair value of such awards is based on the fair value of the Company’s common stock on the date of grant and all are classified as equity awards.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restricted stock grants are made to management each December under the Stock Plan based on the achievement of certain annual financial performance and other criteria achieved during the previous fiscal year (“Performance Awards”). The Performance Awards are based on a percentage of the employee’s base salary divided by the stock price on the grant date once the performance criteria have been met, and generally vest over a two-year period as service is provided. During December 2022, 79,972 shares of restricted stock with a per share price of $13.19 were granted to management under the Stock Plan for fiscal year 2022 performance, resulting in total compensation expense of approximately $1,055,000, with $365,000 recognized in the fiscal year ended October 31, 2022, and the balance will be recognized over the next two years as the shares vest.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Awards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restricted stock grants are made to key executives under the Stock Plan (“Executive Awards”). Executive Awards generally vest over a three-year period as service is provided. During December 2022, the Company granted 55,000 shares of restricted stock with a per share price of $13.19 to key executives under the Stock Plan. The related compensation expense of approximately $725,000 will be recognized equally over the next three years as the shares vest.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Compensation (continued)</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fiscal year 2022, the Company entered into Retention Bonus Agreements with key executives (collectively, the “Retention Bonus Agreements”) whereby the executives will be eligible to receive cash and restricted stock grants. During December 2022, the Company granted 11,317 shares of restricted stock with a per share price of $13.19 to key executives related to the Retention Bonus Agreements. The related compensation expense of approximately $149,000 had $122,000 recognized in the fiscal year ended October 31, 2022, and the balance will be recognized over the next year as the shares vest. During March 2023, the Company granted 127,064 shares of restricted stock with a per share price of $15.74 to key executives related to the Retention Bonus Agreements. The related compensation expense of approximately $2,000,000 will be recognized over the next year as the shares vest.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Awards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issues shares of restricted stock to non-employee directors under the Stock Plan on an annual basis that generally vest over a one-year period (“Director Awards”). During March 2023, 22,836 shares of restricted stock were granted with a per share price of $16.26 as Director Awards, which vest over a one-year period from date of grant. The related compensation expense of approximately $371,000 will be recognized equally over the next year as the shares vest.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 Common Stock</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April 30, 2023 and 2022, members of management exchanged 1,594 and 68,080 shares of common stock with fair values totaling $26,000 and $1,086,000, respectively, at the dates of the exchanges, for the payment of payroll taxes associated with the vesting of shares under the Stock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 costs and third-party grower and supplier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 management, farming and harvest costs and brokered fruit costs of oranges, specialty citrus and other crops.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related to rental operations are included in “Corporate and Other.” Other agribusiness revenues consisted of oranges of $1,383,000 and $2,535,000 and specialty citrus and other of $2,420,000 and $3,667,000 for the three and six months ended April 30, 2023. Other agribusiness revenues consisted of oranges of $2,617,000 and $3,490,000 and specialty citrus and other of $1,441,000 and $2,317,000 for the three and six months ended April 30, 2022.</w:t>
      </w:r>
    </w:p>
    <w:p>
      <w:pPr>
        <w:spacing w:after="0" w:line="1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gain on disposal of assets, gain on legal settlement, total other income (expense) and income taxes, or specifically identify them to its operating segments. The lemon packing segment earns packing revenue for packing lemons grown on its orchards and lemons procured from third-party growers. Intersegment revenues represent packing revenues related to lemons grown on the Company’s orchards.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April 30, 2023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780" w:type="dxa"/>
            <w:vAlign w:val="bottom"/>
          </w:tcPr>
          <w:p>
            <w:pPr>
              <w:jc w:val="right"/>
              <w:ind w:right="161"/>
              <w:spacing w:after="0"/>
              <w:rPr>
                <w:sz w:val="20"/>
                <w:szCs w:val="20"/>
                <w:color w:val="auto"/>
              </w:rPr>
            </w:pPr>
            <w:r>
              <w:rPr>
                <w:rFonts w:ascii="Arial" w:cs="Arial" w:eastAsia="Arial" w:hAnsi="Arial"/>
                <w:sz w:val="14"/>
                <w:szCs w:val="14"/>
                <w:b w:val="1"/>
                <w:bCs w:val="1"/>
                <w:color w:val="auto"/>
              </w:rPr>
              <w:t>Lemon</w:t>
            </w:r>
          </w:p>
        </w:tc>
        <w:tc>
          <w:tcPr>
            <w:tcW w:w="180" w:type="dxa"/>
            <w:vAlign w:val="bottom"/>
          </w:tcPr>
          <w:p>
            <w:pPr>
              <w:spacing w:after="0"/>
              <w:rPr>
                <w:sz w:val="14"/>
                <w:szCs w:val="14"/>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8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Avocados</w:t>
            </w:r>
          </w:p>
        </w:tc>
        <w:tc>
          <w:tcPr>
            <w:tcW w:w="160" w:type="dxa"/>
            <w:vAlign w:val="bottom"/>
          </w:tcPr>
          <w:p>
            <w:pPr>
              <w:spacing w:after="0"/>
              <w:rPr>
                <w:sz w:val="14"/>
                <w:szCs w:val="14"/>
                <w:color w:val="auto"/>
              </w:rPr>
            </w:pPr>
          </w:p>
        </w:tc>
        <w:tc>
          <w:tcPr>
            <w:tcW w:w="980" w:type="dxa"/>
            <w:vAlign w:val="bottom"/>
          </w:tcPr>
          <w:p>
            <w:pPr>
              <w:jc w:val="right"/>
              <w:ind w:right="281"/>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94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2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61"/>
              <w:spacing w:after="0"/>
              <w:rPr>
                <w:sz w:val="20"/>
                <w:szCs w:val="20"/>
                <w:color w:val="auto"/>
              </w:rPr>
            </w:pPr>
            <w:r>
              <w:rPr>
                <w:rFonts w:ascii="Arial" w:cs="Arial" w:eastAsia="Arial" w:hAnsi="Arial"/>
                <w:sz w:val="14"/>
                <w:szCs w:val="14"/>
                <w:b w:val="1"/>
                <w:bCs w:val="1"/>
                <w:color w:val="auto"/>
              </w:rPr>
              <w:t>Lemons</w:t>
            </w:r>
          </w:p>
        </w:tc>
        <w:tc>
          <w:tcPr>
            <w:tcW w:w="200" w:type="dxa"/>
            <w:vAlign w:val="bottom"/>
          </w:tcPr>
          <w:p>
            <w:pPr>
              <w:spacing w:after="0"/>
              <w:rPr>
                <w:sz w:val="16"/>
                <w:szCs w:val="16"/>
                <w:color w:val="auto"/>
              </w:rPr>
            </w:pPr>
          </w:p>
        </w:tc>
        <w:tc>
          <w:tcPr>
            <w:tcW w:w="780" w:type="dxa"/>
            <w:vAlign w:val="bottom"/>
          </w:tcPr>
          <w:p>
            <w:pPr>
              <w:jc w:val="right"/>
              <w:ind w:right="141"/>
              <w:spacing w:after="0"/>
              <w:rPr>
                <w:sz w:val="20"/>
                <w:szCs w:val="20"/>
                <w:color w:val="auto"/>
              </w:rPr>
            </w:pPr>
            <w:r>
              <w:rPr>
                <w:rFonts w:ascii="Arial" w:cs="Arial" w:eastAsia="Arial" w:hAnsi="Arial"/>
                <w:sz w:val="14"/>
                <w:szCs w:val="14"/>
                <w:b w:val="1"/>
                <w:bCs w:val="1"/>
                <w:color w:val="auto"/>
              </w:rPr>
              <w:t>Packing</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61"/>
              <w:spacing w:after="0"/>
              <w:rPr>
                <w:sz w:val="20"/>
                <w:szCs w:val="20"/>
                <w:color w:val="auto"/>
              </w:rPr>
            </w:pPr>
            <w:r>
              <w:rPr>
                <w:rFonts w:ascii="Arial" w:cs="Arial" w:eastAsia="Arial" w:hAnsi="Arial"/>
                <w:sz w:val="14"/>
                <w:szCs w:val="14"/>
                <w:b w:val="1"/>
                <w:bCs w:val="1"/>
                <w:color w:val="auto"/>
                <w:w w:val="92"/>
              </w:rPr>
              <w:t>Agribusiness</w:t>
            </w:r>
          </w:p>
        </w:tc>
        <w:tc>
          <w:tcPr>
            <w:tcW w:w="14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4"/>
                <w:szCs w:val="14"/>
                <w:b w:val="1"/>
                <w:bCs w:val="1"/>
                <w:color w:val="auto"/>
                <w:w w:val="90"/>
              </w:rPr>
              <w:t>Agribusiness</w:t>
            </w:r>
          </w:p>
        </w:tc>
        <w:tc>
          <w:tcPr>
            <w:tcW w:w="180" w:type="dxa"/>
            <w:vAlign w:val="bottom"/>
          </w:tcPr>
          <w:p>
            <w:pPr>
              <w:spacing w:after="0"/>
              <w:rPr>
                <w:sz w:val="16"/>
                <w:szCs w:val="16"/>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46,676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48,070</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10,309</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(10,309)</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46,676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48,070</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29,977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12,075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(10,309)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3,683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36,449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13,439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49,888</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1,740</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12"/>
        </w:trPr>
        <w:tc>
          <w:tcPr>
            <w:tcW w:w="288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(12,349)</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(3,862)</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April 30, 2022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780" w:type="dxa"/>
            <w:vAlign w:val="bottom"/>
          </w:tcPr>
          <w:p>
            <w:pPr>
              <w:jc w:val="right"/>
              <w:ind w:right="161"/>
              <w:spacing w:after="0"/>
              <w:rPr>
                <w:sz w:val="20"/>
                <w:szCs w:val="20"/>
                <w:color w:val="auto"/>
              </w:rPr>
            </w:pPr>
            <w:r>
              <w:rPr>
                <w:rFonts w:ascii="Arial" w:cs="Arial" w:eastAsia="Arial" w:hAnsi="Arial"/>
                <w:sz w:val="14"/>
                <w:szCs w:val="14"/>
                <w:b w:val="1"/>
                <w:bCs w:val="1"/>
                <w:color w:val="auto"/>
              </w:rPr>
              <w:t>Lemon</w:t>
            </w:r>
          </w:p>
        </w:tc>
        <w:tc>
          <w:tcPr>
            <w:tcW w:w="180" w:type="dxa"/>
            <w:vAlign w:val="bottom"/>
          </w:tcPr>
          <w:p>
            <w:pPr>
              <w:spacing w:after="0"/>
              <w:rPr>
                <w:sz w:val="14"/>
                <w:szCs w:val="14"/>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8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Avocados</w:t>
            </w:r>
          </w:p>
        </w:tc>
        <w:tc>
          <w:tcPr>
            <w:tcW w:w="160" w:type="dxa"/>
            <w:vAlign w:val="bottom"/>
          </w:tcPr>
          <w:p>
            <w:pPr>
              <w:spacing w:after="0"/>
              <w:rPr>
                <w:sz w:val="14"/>
                <w:szCs w:val="14"/>
                <w:color w:val="auto"/>
              </w:rPr>
            </w:pPr>
          </w:p>
        </w:tc>
        <w:tc>
          <w:tcPr>
            <w:tcW w:w="980" w:type="dxa"/>
            <w:vAlign w:val="bottom"/>
          </w:tcPr>
          <w:p>
            <w:pPr>
              <w:jc w:val="right"/>
              <w:ind w:right="281"/>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94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2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Lemons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Packing</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2"/>
              </w:rPr>
              <w:t>Agribusiness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0"/>
              </w:rPr>
              <w:t>Agribusiness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46,750</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9,373</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(9,373)</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46,750</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27,222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11,662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(9,373)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2,073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3,828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35,412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6,269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41,681</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(5,184)</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six months ended April 30,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42"/>
              <w:spacing w:after="0"/>
              <w:rPr>
                <w:sz w:val="20"/>
                <w:szCs w:val="20"/>
                <w:color w:val="auto"/>
              </w:rPr>
            </w:pPr>
            <w:r>
              <w:rPr>
                <w:rFonts w:ascii="Arial" w:cs="Arial" w:eastAsia="Arial" w:hAnsi="Arial"/>
                <w:sz w:val="13"/>
                <w:szCs w:val="13"/>
                <w:b w:val="1"/>
                <w:bCs w:val="1"/>
                <w:color w:val="auto"/>
              </w:rPr>
              <w:t>Fresh</w:t>
            </w:r>
          </w:p>
        </w:tc>
        <w:tc>
          <w:tcPr>
            <w:tcW w:w="200" w:type="dxa"/>
            <w:vAlign w:val="bottom"/>
          </w:tcPr>
          <w:p>
            <w:pPr>
              <w:spacing w:after="0"/>
              <w:rPr>
                <w:sz w:val="12"/>
                <w:szCs w:val="12"/>
                <w:color w:val="auto"/>
              </w:rPr>
            </w:pPr>
          </w:p>
        </w:tc>
        <w:tc>
          <w:tcPr>
            <w:tcW w:w="780" w:type="dxa"/>
            <w:vAlign w:val="bottom"/>
          </w:tcPr>
          <w:p>
            <w:pPr>
              <w:jc w:val="right"/>
              <w:ind w:right="182"/>
              <w:spacing w:after="0"/>
              <w:rPr>
                <w:sz w:val="20"/>
                <w:szCs w:val="20"/>
                <w:color w:val="auto"/>
              </w:rPr>
            </w:pPr>
            <w:r>
              <w:rPr>
                <w:rFonts w:ascii="Arial" w:cs="Arial" w:eastAsia="Arial" w:hAnsi="Arial"/>
                <w:sz w:val="13"/>
                <w:szCs w:val="13"/>
                <w:b w:val="1"/>
                <w:bCs w:val="1"/>
                <w:color w:val="auto"/>
              </w:rPr>
              <w:t>Lemon</w:t>
            </w:r>
          </w:p>
        </w:tc>
        <w:tc>
          <w:tcPr>
            <w:tcW w:w="180" w:type="dxa"/>
            <w:vAlign w:val="bottom"/>
          </w:tcPr>
          <w:p>
            <w:pPr>
              <w:spacing w:after="0"/>
              <w:rPr>
                <w:sz w:val="12"/>
                <w:szCs w:val="12"/>
                <w:color w:val="auto"/>
              </w:rPr>
            </w:pPr>
          </w:p>
        </w:tc>
        <w:tc>
          <w:tcPr>
            <w:tcW w:w="98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w w:val="98"/>
              </w:rPr>
              <w:t>Eliminations</w:t>
            </w:r>
          </w:p>
        </w:tc>
        <w:tc>
          <w:tcPr>
            <w:tcW w:w="180" w:type="dxa"/>
            <w:vAlign w:val="bottom"/>
          </w:tcPr>
          <w:p>
            <w:pPr>
              <w:spacing w:after="0"/>
              <w:rPr>
                <w:sz w:val="12"/>
                <w:szCs w:val="12"/>
                <w:color w:val="auto"/>
              </w:rPr>
            </w:pPr>
          </w:p>
        </w:tc>
        <w:tc>
          <w:tcPr>
            <w:tcW w:w="80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w w:val="93"/>
              </w:rPr>
              <w:t>Avocados</w:t>
            </w:r>
          </w:p>
        </w:tc>
        <w:tc>
          <w:tcPr>
            <w:tcW w:w="180" w:type="dxa"/>
            <w:vAlign w:val="bottom"/>
          </w:tcPr>
          <w:p>
            <w:pPr>
              <w:spacing w:after="0"/>
              <w:rPr>
                <w:sz w:val="12"/>
                <w:szCs w:val="12"/>
                <w:color w:val="auto"/>
              </w:rPr>
            </w:pPr>
          </w:p>
        </w:tc>
        <w:tc>
          <w:tcPr>
            <w:tcW w:w="940" w:type="dxa"/>
            <w:vAlign w:val="bottom"/>
          </w:tcPr>
          <w:p>
            <w:pPr>
              <w:jc w:val="right"/>
              <w:ind w:right="282"/>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2"/>
                <w:szCs w:val="12"/>
                <w:color w:val="auto"/>
              </w:rPr>
            </w:pPr>
          </w:p>
        </w:tc>
        <w:tc>
          <w:tcPr>
            <w:tcW w:w="940" w:type="dxa"/>
            <w:vAlign w:val="bottom"/>
          </w:tcPr>
          <w:p>
            <w:pPr>
              <w:jc w:val="right"/>
              <w:ind w:right="302"/>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2"/>
                <w:szCs w:val="12"/>
                <w:color w:val="auto"/>
              </w:rPr>
            </w:pPr>
          </w:p>
        </w:tc>
        <w:tc>
          <w:tcPr>
            <w:tcW w:w="860" w:type="dxa"/>
            <w:vAlign w:val="bottom"/>
          </w:tcPr>
          <w:p>
            <w:pPr>
              <w:jc w:val="right"/>
              <w:ind w:right="122"/>
              <w:spacing w:after="0"/>
              <w:rPr>
                <w:sz w:val="20"/>
                <w:szCs w:val="20"/>
                <w:color w:val="auto"/>
              </w:rPr>
            </w:pPr>
            <w:r>
              <w:rPr>
                <w:rFonts w:ascii="Arial" w:cs="Arial" w:eastAsia="Arial" w:hAnsi="Arial"/>
                <w:sz w:val="13"/>
                <w:szCs w:val="13"/>
                <w:b w:val="1"/>
                <w:bCs w:val="1"/>
                <w:color w:val="auto"/>
              </w:rPr>
              <w:t>Corporate</w:t>
            </w:r>
          </w:p>
        </w:tc>
        <w:tc>
          <w:tcPr>
            <w:tcW w:w="220" w:type="dxa"/>
            <w:vAlign w:val="bottom"/>
          </w:tcPr>
          <w:p>
            <w:pPr>
              <w:spacing w:after="0"/>
              <w:rPr>
                <w:sz w:val="12"/>
                <w:szCs w:val="12"/>
                <w:color w:val="auto"/>
              </w:rPr>
            </w:pPr>
          </w:p>
        </w:tc>
        <w:tc>
          <w:tcPr>
            <w:tcW w:w="780" w:type="dxa"/>
            <w:vAlign w:val="bottom"/>
            <w:vMerge w:val="restart"/>
          </w:tcPr>
          <w:p>
            <w:pPr>
              <w:jc w:val="right"/>
              <w:ind w:right="28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Lemons</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Packing</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b w:val="1"/>
                <w:bCs w:val="1"/>
                <w:color w:val="auto"/>
                <w:w w:val="92"/>
              </w:rPr>
              <w:t>Agribusiness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w w:val="94"/>
              </w:rPr>
              <w:t>Agribusiness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61,328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83,204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2,767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85,971</w:t>
            </w:r>
          </w:p>
        </w:tc>
        <w:tc>
          <w:tcPr>
            <w:tcW w:w="0" w:type="dxa"/>
            <w:vAlign w:val="bottom"/>
          </w:tcPr>
          <w:p>
            <w:pPr>
              <w:spacing w:after="0"/>
              <w:rPr>
                <w:sz w:val="1"/>
                <w:szCs w:val="1"/>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17,672</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(17,672)</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61,328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29,743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83,204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2,767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85,971</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Arial" w:cs="Arial" w:eastAsia="Arial" w:hAnsi="Arial"/>
                <w:sz w:val="16"/>
                <w:szCs w:val="16"/>
                <w:color w:val="auto"/>
              </w:rPr>
              <w:t>Costs and expenses (gains)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63,277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23,428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(17,672)</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5,499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75,555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(16,097)</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59,458</w:t>
            </w: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3,875</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616</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4,491</w:t>
            </w: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18,248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six months ended April 30, 2022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42"/>
              <w:spacing w:after="0"/>
              <w:rPr>
                <w:sz w:val="20"/>
                <w:szCs w:val="20"/>
                <w:color w:val="auto"/>
              </w:rPr>
            </w:pPr>
            <w:r>
              <w:rPr>
                <w:rFonts w:ascii="Arial" w:cs="Arial" w:eastAsia="Arial" w:hAnsi="Arial"/>
                <w:sz w:val="13"/>
                <w:szCs w:val="13"/>
                <w:b w:val="1"/>
                <w:bCs w:val="1"/>
                <w:color w:val="auto"/>
              </w:rPr>
              <w:t>Fresh</w:t>
            </w:r>
          </w:p>
        </w:tc>
        <w:tc>
          <w:tcPr>
            <w:tcW w:w="200" w:type="dxa"/>
            <w:vAlign w:val="bottom"/>
          </w:tcPr>
          <w:p>
            <w:pPr>
              <w:spacing w:after="0"/>
              <w:rPr>
                <w:sz w:val="12"/>
                <w:szCs w:val="12"/>
                <w:color w:val="auto"/>
              </w:rPr>
            </w:pPr>
          </w:p>
        </w:tc>
        <w:tc>
          <w:tcPr>
            <w:tcW w:w="800" w:type="dxa"/>
            <w:vAlign w:val="bottom"/>
          </w:tcPr>
          <w:p>
            <w:pPr>
              <w:jc w:val="right"/>
              <w:ind w:right="202"/>
              <w:spacing w:after="0"/>
              <w:rPr>
                <w:sz w:val="20"/>
                <w:szCs w:val="20"/>
                <w:color w:val="auto"/>
              </w:rPr>
            </w:pPr>
            <w:r>
              <w:rPr>
                <w:rFonts w:ascii="Arial" w:cs="Arial" w:eastAsia="Arial" w:hAnsi="Arial"/>
                <w:sz w:val="13"/>
                <w:szCs w:val="13"/>
                <w:b w:val="1"/>
                <w:bCs w:val="1"/>
                <w:color w:val="auto"/>
              </w:rPr>
              <w:t>Lemon</w:t>
            </w:r>
          </w:p>
        </w:tc>
        <w:tc>
          <w:tcPr>
            <w:tcW w:w="160" w:type="dxa"/>
            <w:vAlign w:val="bottom"/>
          </w:tcPr>
          <w:p>
            <w:pPr>
              <w:spacing w:after="0"/>
              <w:rPr>
                <w:sz w:val="12"/>
                <w:szCs w:val="12"/>
                <w:color w:val="auto"/>
              </w:rPr>
            </w:pPr>
          </w:p>
        </w:tc>
        <w:tc>
          <w:tcPr>
            <w:tcW w:w="980" w:type="dxa"/>
            <w:vAlign w:val="bottom"/>
            <w:vMerge w:val="restart"/>
          </w:tcPr>
          <w:p>
            <w:pPr>
              <w:jc w:val="right"/>
              <w:ind w:right="101"/>
              <w:spacing w:after="0"/>
              <w:rPr>
                <w:sz w:val="20"/>
                <w:szCs w:val="20"/>
                <w:color w:val="auto"/>
              </w:rPr>
            </w:pPr>
            <w:r>
              <w:rPr>
                <w:rFonts w:ascii="Arial" w:cs="Arial" w:eastAsia="Arial" w:hAnsi="Arial"/>
                <w:sz w:val="13"/>
                <w:szCs w:val="13"/>
                <w:b w:val="1"/>
                <w:bCs w:val="1"/>
                <w:color w:val="auto"/>
              </w:rPr>
              <w:t>Eliminations</w:t>
            </w:r>
          </w:p>
        </w:tc>
        <w:tc>
          <w:tcPr>
            <w:tcW w:w="180" w:type="dxa"/>
            <w:vAlign w:val="bottom"/>
          </w:tcPr>
          <w:p>
            <w:pPr>
              <w:spacing w:after="0"/>
              <w:rPr>
                <w:sz w:val="12"/>
                <w:szCs w:val="12"/>
                <w:color w:val="auto"/>
              </w:rPr>
            </w:pPr>
          </w:p>
        </w:tc>
        <w:tc>
          <w:tcPr>
            <w:tcW w:w="80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w w:val="93"/>
              </w:rPr>
              <w:t>Avocados</w:t>
            </w:r>
          </w:p>
        </w:tc>
        <w:tc>
          <w:tcPr>
            <w:tcW w:w="180" w:type="dxa"/>
            <w:vAlign w:val="bottom"/>
          </w:tcPr>
          <w:p>
            <w:pPr>
              <w:spacing w:after="0"/>
              <w:rPr>
                <w:sz w:val="12"/>
                <w:szCs w:val="12"/>
                <w:color w:val="auto"/>
              </w:rPr>
            </w:pPr>
          </w:p>
        </w:tc>
        <w:tc>
          <w:tcPr>
            <w:tcW w:w="960" w:type="dxa"/>
            <w:vAlign w:val="bottom"/>
          </w:tcPr>
          <w:p>
            <w:pPr>
              <w:jc w:val="right"/>
              <w:ind w:right="302"/>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960" w:type="dxa"/>
            <w:vAlign w:val="bottom"/>
          </w:tcPr>
          <w:p>
            <w:pPr>
              <w:jc w:val="right"/>
              <w:ind w:right="302"/>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60" w:type="dxa"/>
            <w:vAlign w:val="bottom"/>
          </w:tcPr>
          <w:p>
            <w:pPr>
              <w:jc w:val="right"/>
              <w:ind w:right="122"/>
              <w:spacing w:after="0"/>
              <w:rPr>
                <w:sz w:val="20"/>
                <w:szCs w:val="20"/>
                <w:color w:val="auto"/>
              </w:rPr>
            </w:pPr>
            <w:r>
              <w:rPr>
                <w:rFonts w:ascii="Arial" w:cs="Arial" w:eastAsia="Arial" w:hAnsi="Arial"/>
                <w:sz w:val="13"/>
                <w:szCs w:val="13"/>
                <w:b w:val="1"/>
                <w:bCs w:val="1"/>
                <w:color w:val="auto"/>
              </w:rPr>
              <w:t>Corporate</w:t>
            </w:r>
          </w:p>
        </w:tc>
        <w:tc>
          <w:tcPr>
            <w:tcW w:w="220" w:type="dxa"/>
            <w:vAlign w:val="bottom"/>
          </w:tcPr>
          <w:p>
            <w:pPr>
              <w:spacing w:after="0"/>
              <w:rPr>
                <w:sz w:val="12"/>
                <w:szCs w:val="12"/>
                <w:color w:val="auto"/>
              </w:rPr>
            </w:pPr>
          </w:p>
        </w:tc>
        <w:tc>
          <w:tcPr>
            <w:tcW w:w="780" w:type="dxa"/>
            <w:vAlign w:val="bottom"/>
            <w:vMerge w:val="restart"/>
          </w:tcPr>
          <w:p>
            <w:pPr>
              <w:jc w:val="right"/>
              <w:ind w:right="28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Lemons</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Packing</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w w:val="92"/>
              </w:rPr>
              <w:t>Agribusiness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b w:val="1"/>
                <w:bCs w:val="1"/>
                <w:color w:val="auto"/>
                <w:w w:val="94"/>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and Other</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60,592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83,452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86,024</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15,962</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(15,962)</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60,592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83,452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86,024</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59,383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22,218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(15,962)</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2,394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6,438</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74,471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13,562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88,033</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4,372</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evaluated events subsequent to April 30, 2023 through the date of this filing, to assess the need for potential recognition or disclosure in this Quarterly Report on Form 10-Q. Based upon this evaluation, except as described in the notes to the interim consolidated financial statements, it was determined that no other subsequent events occurred that require recognition or disclosure in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ind w:right="4000"/>
        <w:spacing w:after="0" w:line="414" w:lineRule="auto"/>
        <w:rPr>
          <w:sz w:val="20"/>
          <w:szCs w:val="20"/>
          <w:color w:val="auto"/>
        </w:rPr>
      </w:pPr>
      <w:r>
        <w:rPr>
          <w:rFonts w:ascii="Arial" w:cs="Arial" w:eastAsia="Arial" w:hAnsi="Arial"/>
          <w:sz w:val="18"/>
          <w:szCs w:val="18"/>
          <w:b w:val="1"/>
          <w:bCs w:val="1"/>
          <w:i w:val="1"/>
          <w:iCs w:val="1"/>
          <w:color w:val="auto"/>
        </w:rPr>
        <w:t xml:space="preserve">Item 2. Management’s Discussion and Analysis of Financial Condition and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11,100 acres of land, water resources and other assets to maximize long-term stockholder value. Our current operations consist of fruit production, sales and marketing, rental operations, real estate and capital investment activities.</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other crops. We have agricultural plantings throughout Ventura, San Luis Obispo and San Bernardino Counties in California, Yuma County in Arizona, La Serena, Chile and Jujuy, Argentina, which collectively consist of approximately 3,900 acres of lemons, 1,000 acres of avocados, 100 acres of oranges and 300 acres of other crops. We also operate our own packinghouses in Santa Paula,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a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used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and single-family homes of approximately 900 units in various stages of planning and development.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other crops and farm management services.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 on Form 10-Q.</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Summary</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market and sell citrus directly to our food service, wholesale and retail customers throughout the United States, Canada, Asia, Australia, Europe and certain other international markets. We sell the majority of our avocados and oranges, and sold the majority of our specialty citrus, to third-party packinghouses. Additionally, we sold our pistachios to a roaster, packager and marketer of nuts, and sell our wine grapes to various wine producers.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agribusiness division has been seasonal in nature with quarterly revenue fluctuating depending on the timing and variety of crops being harvested. Cultural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5" w:name="page26"/>
    <w:bookmarkEnd w:id="25"/>
    <w:p>
      <w:pPr>
        <w:jc w:val="both"/>
        <w:spacing w:after="0" w:line="291" w:lineRule="auto"/>
        <w:rPr>
          <w:sz w:val="20"/>
          <w:szCs w:val="20"/>
          <w:color w:val="auto"/>
        </w:rPr>
      </w:pPr>
      <w:r>
        <w:rPr>
          <w:rFonts w:ascii="Arial" w:cs="Arial" w:eastAsia="Arial" w:hAnsi="Arial"/>
          <w:sz w:val="16"/>
          <w:szCs w:val="16"/>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avocado producing business is important to us, yet it faces constraints on growth. We are currently assessing all of our farmland in Ventura County for opportunities to expand our plantings of avocados. While avocado production is cyclical as avocados typically bear fruit on a bi-annual basis, the profitability and cash flow realized from our avocados helps to diversify our fruit production base.</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growing lemons and avocados, we grow oranges and other crops typically utilizing land not suitable for growing high quality lemons. We regularly monitor the demand for the fruit we grow in the current marketplace to identify trends.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Summary</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rental operations include our residential and commercial rentals, leased land operations and organic recycling. Our residential rental units generate reliable cash flows that we use to partially fund the operating costs of our business and provide affordable housing to many of our employees, including our agribusiness employees. This unique employment benefit helps us maintain a dependable, long-term employee base. In addition, our leased land business provides us with a typically profitable diversification. Revenue from rental operations is generally level throughout the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Summary</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invest in real estate investment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and Mineral Rights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8,600 acre-feet of adjudicated water rights in the Santa Paula Basin (aquifer) and the un-adjudicated Fillmore Basin (aquifer). We used ground water provided by wells that derive water from the Cadiz Valley Basin at the Cadiz Ranch in San Bernardino County, California. Our Windfall Farms property located in San Luis Obispo County, California obtains water from wells that derive water from the Paso Robles Basin (aquifer). Our Associated farming operations in Yuma, Arizona source water from the Colorado River through the YMIDD, where we have access to approximately 11,700 acre feet of Class 3 Colorado River water rights. We use ground water provided by wells and surface water for our PDA and San Pablo farming operations in La Serena, Chile and our Trapani Fresh farming operations in Argentina.</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California experienced above average precipitation during the first eight months of the 2022 - 2023 rainfall season after experiencing the three driest years on record. The above average precipitation this season helped to alleviate the drought conditions in California. Currently, the state is free from severe drought conditions and Ventura County was free from any drought conditions as of May 31, 2023. We continue to assess the impact drought conditions may have on our California orchards.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6" w:name="page27"/>
    <w:bookmarkEnd w:id="26"/>
    <w:p>
      <w:pPr>
        <w:jc w:val="both"/>
        <w:spacing w:after="0" w:line="273" w:lineRule="auto"/>
        <w:rPr>
          <w:sz w:val="20"/>
          <w:szCs w:val="20"/>
          <w:color w:val="auto"/>
        </w:rPr>
      </w:pPr>
      <w:r>
        <w:rPr>
          <w:rFonts w:ascii="Arial" w:cs="Arial" w:eastAsia="Arial" w:hAnsi="Arial"/>
          <w:sz w:val="17"/>
          <w:szCs w:val="17"/>
          <w:color w:val="auto"/>
        </w:rPr>
        <w:t>In August 2021, the U.S. Bureau of Reclamation (the “Bureau”) declared a Level 1 Shortage Condition at Lake Mead in the Lower Colorado River Basin for the first time ever, requiring shortage reductions and water savings contributions for states in the southwest. In August 2022, the Bureau announced Lake Mead to operate in a Tier 2 shortage, which further increased water restrictions. As a result, in January 2023, Arizona forfeited approximately 21% of the state's yearly allotment of water from Lake Mead. The Federal Government responded in April 2023 by proposing options for managing the Colorado River water shortage and a final decision is anticipated later this year. In response to these water shortages, we entered into a fallowing agreement in fiscal year 2022 and continue to assess the impact these reductions may have on our Arizona orchards.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10, 2022, we entered into a Purchase and Sale Agreement, as amended (the “Agreement”), with PGIM Real Estate Finance, LLC (“PGIM”) to sell 3,537 acres of land and citrus orchards in Tulare County, California (the “Northern Properties”) for an adjusted purchase price of approximately $100.0 million. The agreement became effective on On January 25, 2023, when the Board of Directors approved the Agreement, binding us to sell the Northern Properties and the transaction closed on January 31, 2023. We received net cash proceeds of approximately $98.4 million and recorded a gain of approximately $40.0 million. The proceeds were used primarily to pay down debt.</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2023, we entered into a Farm Management Agreement (the “FMA”) with an affiliate of PGIM to provide farming, management and operations services related to the Northern Properties. The FMA has an initial term expiring March 31, 2024, and thereafter continuing from year to year unless earlier terminated under the terms of the FMA. Further, on January 31, 2023, we entered into a Grower Packing and Marketing Agreement to provide packing, marketing and selling services for lemons harvested on the Northern Properties for a minimum five-year term, subject to certain benchmarking standards.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January 31, 2023, the Company made funding contributions of $2.6 million to fully fund and settle the plan obligations of the Limoneira Company Retirement Plan. Lump sum payments were made to a portion of the active and vested terminated participants and annuities were purchased for all remaining participants from an insurance company. There are no remaining benefit obligations or plan assets and the remaining accumulated other comprehensive loss was fully recognized.</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30, 2022, we sold our Sevilla property, received net proceeds of $2.6 million and recorded an immaterial loss in the first quarter of fiscal year 2023.</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21, 2023, we declared a cash dividend of $0.075 per common share paid on April 14, 2023, in the aggregate amount of $1.3 million to stockholders of record as of April 4, 2023.</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18, 2023, we entered into a Confidential Settlement Agreement and Release (the “Settlement Agreement”) with Southern California Edison and Edison International to formally resolve any and all claims related to the Thomas Fire in fiscal year 2018. Under the terms of the Settlement Agreement, the Company was awarded a total settlement of $9.0 million. On May 19, 2023, the Company received approximately $6.1 million, net of legal and related costs.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2023, we determined that citrus farming operations were economically unviable on 670 acres of leased agricultural land at the Cadiz Ranch. As a result, we ceased farming operations, disposed of the related property, plant and equipment and recorded a loss on disposal of assets of $9,012,000 as of April 30, 2023.</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COVID-19 pandemic has had an adverse impact on the industries and markets in which we conduct business. In particular, the United States lemon market saw a significant decline in volume, with lemon demand falling since widespread shelter in place orders were issued in March 2020, resulting in a significant market oversupply. The export market for fresh produce also significantly declined due to the COVID-19 pandemic impacts. As of April 30, 2023, the demand within both markets is recovering but has not yet returned to pre-pandemic levels.</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decline in demand for the Company's products beginning the second quarter of fiscal year 2020, has negatively impacted our sales and profitability for the last four fiscal years. The COVID-19 pandemic may continue to impact our sales and profitability in future periods. The duration of these trends and the magnitude of such impacts are uncertain and therefore cannot be estimated at this time, as they are influenced by a number of factors, many of which are outside management’s control, including, but not limited, to those presented in Item 1A. Risk Factors of our Annual Report on Form 10-K for the year ended October 31, 2022. Notwithstanding the adverse impacts and subject to unforeseen changes that may arise as the COVID-19 pandemic continues, we currently expect improvement in fiscal year 2023 compared to fiscal year 2022.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Given the economic uncertainty as a result of the COVID-19 pandemic over the past four fiscal years, we have taken actions to improve our current liquidity position, including strategically selling certain assets, temporarily postponing capital expenditures and substantially reducing discretionary spending.</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continued uncertainty around the breadth and duration of our business disruptions related to the COVID-19 pandemic, as well as its impact on the U.S. economy and the ongoing business operations of our customers. The ongoing impact of the COVID-19 pandemic on our results of operations, financial condition, or liquidity for fiscal year 2023 and beyond cannot be estimated at this time. The following discussions are subject to the future effects of the COVID-19 pandemic on our ongoing business operations.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5"/>
        </w:trPr>
        <w:tc>
          <w:tcPr>
            <w:tcW w:w="5180" w:type="dxa"/>
            <w:vAlign w:val="bottom"/>
          </w:tcPr>
          <w:p>
            <w:pPr>
              <w:spacing w:after="0"/>
              <w:rPr>
                <w:sz w:val="20"/>
                <w:szCs w:val="20"/>
                <w:color w:val="auto"/>
              </w:rPr>
            </w:pPr>
            <w:r>
              <w:rPr>
                <w:rFonts w:ascii="Arial" w:cs="Arial" w:eastAsia="Arial" w:hAnsi="Arial"/>
                <w:sz w:val="18"/>
                <w:szCs w:val="18"/>
                <w:color w:val="auto"/>
                <w:w w:val="97"/>
              </w:rPr>
              <w:t>The following table shows the results of operations (in thousands):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1"/>
        </w:trPr>
        <w:tc>
          <w:tcPr>
            <w:tcW w:w="5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5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940" w:type="dxa"/>
            <w:vAlign w:val="bottom"/>
            <w:tcBorders>
              <w:bottom w:val="single" w:sz="8" w:color="auto"/>
            </w:tcBorders>
          </w:tcPr>
          <w:p>
            <w:pPr>
              <w:spacing w:after="0"/>
              <w:rPr>
                <w:sz w:val="19"/>
                <w:szCs w:val="19"/>
                <w:color w:val="auto"/>
              </w:rPr>
            </w:pPr>
          </w:p>
        </w:tc>
      </w:tr>
      <w:tr>
        <w:trPr>
          <w:trHeight w:val="232"/>
        </w:trPr>
        <w:tc>
          <w:tcPr>
            <w:tcW w:w="518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Agribusiness</w:t>
            </w: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46,676</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45,369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83,204</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83,452</w:t>
            </w:r>
          </w:p>
        </w:tc>
      </w:tr>
      <w:tr>
        <w:trPr>
          <w:trHeight w:val="229"/>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5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48,070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85,971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86,024</w:t>
            </w: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Agribusiness</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78,843</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Loss (gain) on disposal of assets, net</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8,998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(30,744)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3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legal settlement</w:t>
            </w: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11,725</w:t>
            </w:r>
          </w:p>
        </w:tc>
      </w:tr>
      <w:tr>
        <w:trPr>
          <w:trHeight w:val="23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92,996</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Agribusiness</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w:t>
            </w: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Other operations</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3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disposal of assets, net</w:t>
            </w: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Gain on legal settlement</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(11,725)</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(6,972)</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patronage dividends</w:t>
            </w: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Equity in earnings of investments, net</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5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w:t>
            </w:r>
          </w:p>
        </w:tc>
        <w:tc>
          <w:tcPr>
            <w:tcW w:w="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income tax benefit (provision)</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w:t>
            </w:r>
          </w:p>
        </w:tc>
      </w:tr>
      <w:tr>
        <w:trPr>
          <w:trHeight w:val="24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(provision)</w:t>
            </w:r>
          </w:p>
        </w:tc>
        <w:tc>
          <w:tcPr>
            <w:tcW w:w="5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loss (income) attributable to noncontrolling interest</w:t>
            </w:r>
          </w:p>
        </w:tc>
        <w:tc>
          <w:tcPr>
            <w:tcW w:w="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56"/>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Limoneira Company</w:t>
            </w:r>
          </w:p>
        </w:tc>
        <w:tc>
          <w:tcPr>
            <w:tcW w:w="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w:t>
            </w:r>
          </w:p>
        </w:tc>
      </w:tr>
      <w:tr>
        <w:trPr>
          <w:trHeight w:val="20"/>
        </w:trPr>
        <w:tc>
          <w:tcPr>
            <w:tcW w:w="5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973"/>
        </w:trPr>
        <w:tc>
          <w:tcPr>
            <w:tcW w:w="5180" w:type="dxa"/>
            <w:vAlign w:val="bottom"/>
          </w:tcPr>
          <w:p>
            <w:pPr>
              <w:spacing w:after="0"/>
              <w:rPr>
                <w:sz w:val="24"/>
                <w:szCs w:val="24"/>
                <w:color w:val="auto"/>
              </w:rPr>
            </w:pPr>
          </w:p>
        </w:tc>
        <w:tc>
          <w:tcPr>
            <w:tcW w:w="800" w:type="dxa"/>
            <w:vAlign w:val="bottom"/>
            <w:gridSpan w:val="2"/>
          </w:tcPr>
          <w:p>
            <w:pPr>
              <w:jc w:val="right"/>
              <w:ind w:right="170"/>
              <w:spacing w:after="0"/>
              <w:rPr>
                <w:sz w:val="20"/>
                <w:szCs w:val="20"/>
                <w:color w:val="auto"/>
              </w:rPr>
            </w:pPr>
            <w:r>
              <w:rPr>
                <w:rFonts w:ascii="Arial" w:cs="Arial" w:eastAsia="Arial" w:hAnsi="Arial"/>
                <w:sz w:val="18"/>
                <w:szCs w:val="18"/>
                <w:color w:val="auto"/>
              </w:rPr>
              <w:t>28</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named executive officer cash severance, pension settlement cost, loss (gain) on disposal of assets, net, cash bonus related to the sale of assets and gain on legal settlement are important measures to evaluate our results of operations between periods on a more comparable basis. Adjusted EBITDA in previous periods did not exclude stock-based compensation which has now been excluded as management believes this is a better representation of cash generated by operations and is consistent with peer company reporting. Adjusted EBITDA for prior periods has been restated to conform to the current presentation.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10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EBITDA and adjusted EBITDA are summarized and reconciled to net (loss) income attributable to Limoneira Company which management considers to be the most directly comparable financial measure calculated and presented in accordance with GAAP,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5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April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w:t>
            </w:r>
          </w:p>
        </w:tc>
        <w:tc>
          <w:tcPr>
            <w:tcW w:w="940" w:type="dxa"/>
            <w:vAlign w:val="bottom"/>
            <w:tcBorders>
              <w:bottom w:val="single" w:sz="8" w:color="auto"/>
            </w:tcBorders>
          </w:tcPr>
          <w:p>
            <w:pPr>
              <w:spacing w:after="0"/>
              <w:rPr>
                <w:sz w:val="20"/>
                <w:szCs w:val="20"/>
                <w:color w:val="auto"/>
              </w:rPr>
            </w:pPr>
          </w:p>
        </w:tc>
      </w:tr>
      <w:tr>
        <w:trPr>
          <w:trHeight w:val="227"/>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Limoneira Company</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1,561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patronage dividends)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(1,928)</w:t>
            </w: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8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2,483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(1,539)</w:t>
            </w:r>
          </w:p>
        </w:tc>
        <w:tc>
          <w:tcPr>
            <w:tcW w:w="80" w:type="dxa"/>
            <w:vAlign w:val="bottom"/>
          </w:tcPr>
          <w:p>
            <w:pPr>
              <w:spacing w:after="0"/>
              <w:rPr>
                <w:sz w:val="19"/>
                <w:szCs w:val="19"/>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5,435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24,530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(1,489)</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Named executive officer cash severance</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settlement cost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Loss (gain) on disposal of assets,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8,998</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bonus related to sale of assets</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legal settlement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6,159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340"/>
        <w:spacing w:after="0" w:line="417" w:lineRule="auto"/>
        <w:rPr>
          <w:sz w:val="20"/>
          <w:szCs w:val="20"/>
          <w:color w:val="auto"/>
        </w:rPr>
      </w:pPr>
      <w:r>
        <w:rPr>
          <w:rFonts w:ascii="Arial" w:cs="Arial" w:eastAsia="Arial" w:hAnsi="Arial"/>
          <w:sz w:val="18"/>
          <w:szCs w:val="18"/>
          <w:b w:val="1"/>
          <w:bCs w:val="1"/>
          <w:color w:val="auto"/>
        </w:rPr>
        <w:t xml:space="preserve">Three Months Ended April 30, 2023 Compared to the Three Months Ended April 30, 2022 </w:t>
      </w:r>
      <w:r>
        <w:rPr>
          <w:rFonts w:ascii="Arial" w:cs="Arial" w:eastAsia="Arial" w:hAnsi="Arial"/>
          <w:sz w:val="18"/>
          <w:szCs w:val="18"/>
          <w:b w:val="1"/>
          <w:bCs w:val="1"/>
          <w:i w:val="1"/>
          <w:iCs w:val="1"/>
          <w:color w:val="auto"/>
        </w:rPr>
        <w:t>Revenues</w:t>
      </w:r>
    </w:p>
    <w:p>
      <w:pPr>
        <w:spacing w:after="0"/>
        <w:rPr>
          <w:sz w:val="20"/>
          <w:szCs w:val="20"/>
          <w:color w:val="auto"/>
        </w:rPr>
      </w:pPr>
      <w:r>
        <w:rPr>
          <w:rFonts w:ascii="Arial" w:cs="Arial" w:eastAsia="Arial" w:hAnsi="Arial"/>
          <w:sz w:val="16"/>
          <w:szCs w:val="16"/>
          <w:color w:val="auto"/>
        </w:rPr>
        <w:t>Total net revenues for the three months ended April 30, 2023 were $48.1 million, compared to $46.8 million for the three months ended April 30,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Agribusiness revenues are similar, as detailed below ($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1"/>
              </w:rPr>
              <w:t>Agribusiness Revenues for the Three Months Ended April 30,</w:t>
            </w:r>
          </w:p>
        </w:tc>
        <w:tc>
          <w:tcPr>
            <w:tcW w:w="1180" w:type="dxa"/>
            <w:vAlign w:val="bottom"/>
            <w:tcBorders>
              <w:bottom w:val="single" w:sz="8" w:color="auto"/>
            </w:tcBorders>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18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39,270</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37,735</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1,535</w:t>
            </w:r>
          </w:p>
        </w:tc>
        <w:tc>
          <w:tcPr>
            <w:tcW w:w="1180" w:type="dxa"/>
            <w:vAlign w:val="bottom"/>
            <w:shd w:val="clear" w:color="auto" w:fill="CCEEFF"/>
          </w:tcPr>
          <w:p>
            <w:pPr>
              <w:jc w:val="center"/>
              <w:ind w:right="490"/>
              <w:spacing w:after="0"/>
              <w:rPr>
                <w:sz w:val="20"/>
                <w:szCs w:val="20"/>
                <w:color w:val="auto"/>
              </w:rPr>
            </w:pPr>
            <w:r>
              <w:rPr>
                <w:rFonts w:ascii="Arial" w:cs="Arial" w:eastAsia="Arial" w:hAnsi="Arial"/>
                <w:sz w:val="18"/>
                <w:szCs w:val="18"/>
                <w:color w:val="auto"/>
                <w:w w:val="92"/>
              </w:rPr>
              <w:t>4%</w:t>
            </w: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Avocados</w:t>
            </w: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color w:val="auto"/>
              </w:rPr>
              <w:t>27</w:t>
            </w:r>
          </w:p>
        </w:tc>
        <w:tc>
          <w:tcPr>
            <w:tcW w:w="1180" w:type="dxa"/>
            <w:vAlign w:val="bottom"/>
          </w:tcPr>
          <w:p>
            <w:pPr>
              <w:jc w:val="center"/>
              <w:ind w:right="490"/>
              <w:spacing w:after="0"/>
              <w:rPr>
                <w:sz w:val="20"/>
                <w:szCs w:val="20"/>
                <w:color w:val="auto"/>
              </w:rPr>
            </w:pPr>
            <w:r>
              <w:rPr>
                <w:rFonts w:ascii="Arial" w:cs="Arial" w:eastAsia="Arial" w:hAnsi="Arial"/>
                <w:sz w:val="18"/>
                <w:szCs w:val="18"/>
                <w:color w:val="auto"/>
                <w:w w:val="92"/>
              </w:rPr>
              <w:t>1%</w:t>
            </w: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Oranges</w:t>
            </w:r>
          </w:p>
        </w:tc>
        <w:tc>
          <w:tcPr>
            <w:tcW w:w="1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(1,234)</w:t>
            </w:r>
          </w:p>
        </w:tc>
        <w:tc>
          <w:tcPr>
            <w:tcW w:w="1180" w:type="dxa"/>
            <w:vAlign w:val="bottom"/>
            <w:shd w:val="clear" w:color="auto" w:fill="CCEEFF"/>
          </w:tcPr>
          <w:p>
            <w:pPr>
              <w:jc w:val="center"/>
              <w:ind w:right="490"/>
              <w:spacing w:after="0"/>
              <w:rPr>
                <w:sz w:val="20"/>
                <w:szCs w:val="20"/>
                <w:color w:val="auto"/>
              </w:rPr>
            </w:pPr>
            <w:r>
              <w:rPr>
                <w:rFonts w:ascii="Arial" w:cs="Arial" w:eastAsia="Arial" w:hAnsi="Arial"/>
                <w:sz w:val="18"/>
                <w:szCs w:val="18"/>
                <w:color w:val="auto"/>
                <w:w w:val="91"/>
              </w:rPr>
              <w:t>(47)%</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Specialty citrus and other</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979</w:t>
            </w:r>
          </w:p>
        </w:tc>
        <w:tc>
          <w:tcPr>
            <w:tcW w:w="118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88"/>
              </w:rPr>
              <w:t>68%</w:t>
            </w: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Agribusiness revenues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46,676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45,369</w:t>
            </w:r>
          </w:p>
        </w:tc>
        <w:tc>
          <w:tcPr>
            <w:tcW w:w="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1,307</w:t>
            </w:r>
          </w:p>
        </w:tc>
        <w:tc>
          <w:tcPr>
            <w:tcW w:w="1180" w:type="dxa"/>
            <w:vAlign w:val="bottom"/>
            <w:shd w:val="clear" w:color="auto" w:fill="CCEEFF"/>
          </w:tcPr>
          <w:p>
            <w:pPr>
              <w:jc w:val="center"/>
              <w:ind w:right="490"/>
              <w:spacing w:after="0"/>
              <w:rPr>
                <w:sz w:val="20"/>
                <w:szCs w:val="20"/>
                <w:color w:val="auto"/>
              </w:rPr>
            </w:pPr>
            <w:r>
              <w:rPr>
                <w:rFonts w:ascii="Arial" w:cs="Arial" w:eastAsia="Arial" w:hAnsi="Arial"/>
                <w:sz w:val="18"/>
                <w:szCs w:val="18"/>
                <w:color w:val="auto"/>
                <w:w w:val="92"/>
              </w:rPr>
              <w:t>3%</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jc w:val="both"/>
        <w:ind w:left="340" w:hanging="332"/>
        <w:spacing w:after="0" w:line="273"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Lemons: The increase in the second quarter of fiscal year 2023, compared to the same period of fiscal year 2022, was primarily the result of proceeds awarded from the Settlement Agreement in fiscal year 2023. During the second quarter of fiscal years 2023 and 2022, fresh lemon sales were $26.6 million and $27.3 million, in aggregate, on 1,547,000 and 1,552,000 cartons of lemons sold at average per carton prices of $17.23 and $17.57, respectively. Lemon revenues in the second quarter of fiscal years 2023 and 2022 included shipping and handling of $6.4 million and $6.7 million, brokered fruit and other lemon sales of $3.4 million and $2.7 million, and lemon by-product sales of $1.3 million and $1.1 million, respectively and included settlement proceeds of $1.4 million allocated to lemons in fiscal year 2023.</w:t>
      </w:r>
    </w:p>
    <w:p>
      <w:pPr>
        <w:spacing w:after="0" w:line="29"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Avocados: Revenues in the second quarter of fiscal year 2023 were similar to the same period of fiscal year 2022. During the second quarter of fiscal years 2023 and 2022, 941,000 and 1,877,000 pounds of avocados were sold at an average per pound price of $1.30 and $1.90, respectively. In addition, avocado revenues included settlement proceeds of $2.4 million allocated to avocados in fiscal year 2023.</w:t>
      </w:r>
    </w:p>
    <w:p>
      <w:pPr>
        <w:spacing w:after="0" w:line="30"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Oranges: The decrease in the second quarter of fiscal year 2023, compared to the same period of fiscal year 2022, was primarily the result of decreased volume due to the sale of the Northern Properties. During the second quarter of fiscal years 2023 and 2022, 88,000 and 328,000 cartons of oranges sold at an average per carton price of $15.72 and $7.98, respectively.</w:t>
      </w:r>
    </w:p>
    <w:p>
      <w:pPr>
        <w:spacing w:after="0" w:line="3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Specialty citrus and other: The increase in the second quarter of fiscal year 2023 was primarily the result of $1.4 million of farm management revenues. There were no farm management revenues in the second quarter of fiscal year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revenue in the second quarter of fiscal years 2023 and 2022 were $1.4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total costs and expenses in the second quarter of fiscal year 2023 were $51.9 million, compared to $44.2 million in the same period of fiscal year 2022. The 18% increase of $7.8 million was primarily the result of the loss on disposal of Cadiz Ranch assets. Costs and expenses associated with our agribusiness division are detailed below ($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160" w:type="dxa"/>
            <w:vAlign w:val="bottom"/>
            <w:tcBorders>
              <w:bottom w:val="single" w:sz="8" w:color="auto"/>
            </w:tcBorders>
            <w:gridSpan w:val="9"/>
          </w:tcPr>
          <w:p>
            <w:pPr>
              <w:ind w:left="840"/>
              <w:spacing w:after="0"/>
              <w:rPr>
                <w:sz w:val="20"/>
                <w:szCs w:val="20"/>
                <w:color w:val="auto"/>
              </w:rPr>
            </w:pPr>
            <w:r>
              <w:rPr>
                <w:rFonts w:ascii="Arial" w:cs="Arial" w:eastAsia="Arial" w:hAnsi="Arial"/>
                <w:sz w:val="18"/>
                <w:szCs w:val="18"/>
                <w:b w:val="1"/>
                <w:bCs w:val="1"/>
                <w:color w:val="auto"/>
              </w:rPr>
              <w:t>Agribusiness Costs and Expenses for the Three Months Ended April 30,</w:t>
            </w:r>
          </w:p>
        </w:tc>
      </w:tr>
      <w:tr>
        <w:trPr>
          <w:trHeight w:val="223"/>
        </w:trPr>
        <w:tc>
          <w:tcPr>
            <w:tcW w:w="40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280" w:type="dxa"/>
            <w:vAlign w:val="bottom"/>
            <w:tcBorders>
              <w:bottom w:val="single" w:sz="8" w:color="auto"/>
            </w:tcBorders>
          </w:tcPr>
          <w:p>
            <w:pPr>
              <w:spacing w:after="0"/>
              <w:rPr>
                <w:sz w:val="19"/>
                <w:szCs w:val="19"/>
                <w:color w:val="auto"/>
              </w:rPr>
            </w:pPr>
          </w:p>
        </w:tc>
      </w:tr>
      <w:tr>
        <w:trPr>
          <w:trHeight w:val="23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Packing costs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12,833</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7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556</w:t>
            </w:r>
          </w:p>
        </w:tc>
        <w:tc>
          <w:tcPr>
            <w:tcW w:w="128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2"/>
              </w:rPr>
              <w:t>5%</w:t>
            </w: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Harvest costs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5,566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60" w:type="dxa"/>
            <w:vAlign w:val="bottom"/>
          </w:tcPr>
          <w:p>
            <w:pPr>
              <w:jc w:val="right"/>
              <w:ind w:right="450"/>
              <w:spacing w:after="0"/>
              <w:rPr>
                <w:sz w:val="20"/>
                <w:szCs w:val="20"/>
                <w:color w:val="auto"/>
              </w:rPr>
            </w:pPr>
            <w:r>
              <w:rPr>
                <w:rFonts w:ascii="Arial" w:cs="Arial" w:eastAsia="Arial" w:hAnsi="Arial"/>
                <w:sz w:val="18"/>
                <w:szCs w:val="18"/>
                <w:color w:val="auto"/>
              </w:rPr>
              <w:t>741</w:t>
            </w:r>
          </w:p>
        </w:tc>
        <w:tc>
          <w:tcPr>
            <w:tcW w:w="1280" w:type="dxa"/>
            <w:vAlign w:val="bottom"/>
          </w:tcPr>
          <w:p>
            <w:pPr>
              <w:jc w:val="center"/>
              <w:ind w:right="370"/>
              <w:spacing w:after="0"/>
              <w:rPr>
                <w:sz w:val="20"/>
                <w:szCs w:val="20"/>
                <w:color w:val="auto"/>
              </w:rPr>
            </w:pPr>
            <w:r>
              <w:rPr>
                <w:rFonts w:ascii="Arial" w:cs="Arial" w:eastAsia="Arial" w:hAnsi="Arial"/>
                <w:sz w:val="18"/>
                <w:szCs w:val="18"/>
                <w:color w:val="auto"/>
                <w:w w:val="94"/>
              </w:rPr>
              <w:t>13%</w:t>
            </w: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Growing costs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(2,048)</w:t>
            </w:r>
          </w:p>
        </w:tc>
        <w:tc>
          <w:tcPr>
            <w:tcW w:w="1280" w:type="dxa"/>
            <w:vAlign w:val="bottom"/>
            <w:shd w:val="clear" w:color="auto" w:fill="CCEEFF"/>
          </w:tcPr>
          <w:p>
            <w:pPr>
              <w:jc w:val="center"/>
              <w:ind w:right="370"/>
              <w:spacing w:after="0"/>
              <w:rPr>
                <w:sz w:val="20"/>
                <w:szCs w:val="20"/>
                <w:color w:val="auto"/>
              </w:rPr>
            </w:pPr>
            <w:r>
              <w:rPr>
                <w:rFonts w:ascii="Arial" w:cs="Arial" w:eastAsia="Arial" w:hAnsi="Arial"/>
                <w:sz w:val="18"/>
                <w:szCs w:val="18"/>
                <w:color w:val="auto"/>
                <w:w w:val="95"/>
              </w:rPr>
              <w:t>(26)%</w:t>
            </w: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Third-party grower and supplier costs</w:t>
            </w: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11,360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9,572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60" w:type="dxa"/>
            <w:vAlign w:val="bottom"/>
          </w:tcPr>
          <w:p>
            <w:pPr>
              <w:jc w:val="right"/>
              <w:ind w:right="450"/>
              <w:spacing w:after="0"/>
              <w:rPr>
                <w:sz w:val="20"/>
                <w:szCs w:val="20"/>
                <w:color w:val="auto"/>
              </w:rPr>
            </w:pPr>
            <w:r>
              <w:rPr>
                <w:rFonts w:ascii="Arial" w:cs="Arial" w:eastAsia="Arial" w:hAnsi="Arial"/>
                <w:sz w:val="18"/>
                <w:szCs w:val="18"/>
                <w:color w:val="auto"/>
              </w:rPr>
              <w:t>1,788</w:t>
            </w:r>
          </w:p>
        </w:tc>
        <w:tc>
          <w:tcPr>
            <w:tcW w:w="1280" w:type="dxa"/>
            <w:vAlign w:val="bottom"/>
          </w:tcPr>
          <w:p>
            <w:pPr>
              <w:jc w:val="center"/>
              <w:ind w:right="370"/>
              <w:spacing w:after="0"/>
              <w:rPr>
                <w:sz w:val="20"/>
                <w:szCs w:val="20"/>
                <w:color w:val="auto"/>
              </w:rPr>
            </w:pPr>
            <w:r>
              <w:rPr>
                <w:rFonts w:ascii="Arial" w:cs="Arial" w:eastAsia="Arial" w:hAnsi="Arial"/>
                <w:sz w:val="18"/>
                <w:szCs w:val="18"/>
                <w:color w:val="auto"/>
                <w:w w:val="94"/>
              </w:rPr>
              <w:t>19%</w:t>
            </w:r>
          </w:p>
        </w:tc>
      </w:tr>
      <w:tr>
        <w:trPr>
          <w:trHeight w:val="23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(447)</w:t>
            </w:r>
          </w:p>
        </w:tc>
        <w:tc>
          <w:tcPr>
            <w:tcW w:w="1280" w:type="dxa"/>
            <w:vAlign w:val="bottom"/>
            <w:tcBorders>
              <w:bottom w:val="single" w:sz="8" w:color="auto"/>
            </w:tcBorders>
            <w:shd w:val="clear" w:color="auto" w:fill="CCEEFF"/>
          </w:tcPr>
          <w:p>
            <w:pPr>
              <w:jc w:val="center"/>
              <w:ind w:right="370"/>
              <w:spacing w:after="0"/>
              <w:rPr>
                <w:sz w:val="20"/>
                <w:szCs w:val="20"/>
                <w:color w:val="auto"/>
              </w:rPr>
            </w:pPr>
            <w:r>
              <w:rPr>
                <w:rFonts w:ascii="Arial" w:cs="Arial" w:eastAsia="Arial" w:hAnsi="Arial"/>
                <w:sz w:val="18"/>
                <w:szCs w:val="18"/>
                <w:color w:val="auto"/>
                <w:w w:val="95"/>
              </w:rPr>
              <w:t>(20)%</w:t>
            </w: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Agribusiness costs and expenses</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38,189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37,599</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590</w:t>
            </w:r>
          </w:p>
        </w:tc>
        <w:tc>
          <w:tcPr>
            <w:tcW w:w="128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2"/>
              </w:rPr>
              <w:t>2%</w:t>
            </w:r>
          </w:p>
        </w:tc>
      </w:tr>
      <w:tr>
        <w:trPr>
          <w:trHeight w:val="20"/>
        </w:trPr>
        <w:tc>
          <w:tcPr>
            <w:tcW w:w="4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Packing costs: Packing costs consist primarily of the costs to pack lemons for sale such as labor and benefits, cardboard cartons, fruit treatments, packing and shipping supplies and facility operating costs. In the second quarter of fiscal years 2023 and 2022, lemon packing costs were $12.1 million and $11.7 million, respectively. During the second quarter of fiscal years 2023 and 2022, we packed and sold 1,547,000 and 1,552,000 cartons of lemons at average per carton costs of $7.81 and $7.51, respectively. Additionally, in the second quarter of fiscal years 2023 and 2022, packing costs included $0.8 million and $0.6 million of shipping costs, respectively.</w:t>
      </w:r>
    </w:p>
    <w:p>
      <w:pPr>
        <w:spacing w:after="0" w:line="3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Harvest costs: The increase in the second quarter of fiscal year 2023 was primarily the result of increased volume of lemons harvested compared to the same period in fiscal year 2022.</w:t>
      </w:r>
    </w:p>
    <w:p>
      <w:pPr>
        <w:spacing w:after="0" w:line="21"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Growing costs: Growing costs, also referred to as cultural costs, consist of orchard maintenance costs such as cultivation, fertilization and soil amendments, pest control, pruning and irrigation. The decrease in the second quarter of fiscal year 2023 was primarily the result of farm management decisions based on weather, harvest timing, crop conditions and decreased amortization of cultural costs due to the Northern Properties sale.</w:t>
      </w:r>
    </w:p>
    <w:p>
      <w:pPr>
        <w:spacing w:after="0" w:line="13" w:lineRule="exact"/>
        <w:rPr>
          <w:rFonts w:ascii="Arial" w:cs="Arial" w:eastAsia="Arial" w:hAnsi="Arial"/>
          <w:sz w:val="16"/>
          <w:szCs w:val="16"/>
          <w:color w:val="auto"/>
        </w:rPr>
      </w:pPr>
    </w:p>
    <w:p>
      <w:pPr>
        <w:jc w:val="both"/>
        <w:ind w:left="340" w:hanging="332"/>
        <w:spacing w:after="0" w:line="29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Third-party grower and supplier costs: We sell fruit that we grow and fruit that we procure from other growers and suppliers. The cost of procuring fruit from other growers is referred to as third-party grower and supplier costs. The increase in the second quarter of fiscal year 2023 was primarily the result of higher prices partially offset by decreased volume of third-party grower fruit sold, compared to the same period of fiscal year 2022. Of the 1,547,000 and 1,552,000 cartons of lemons packed and sold during the second quarter of fiscal years 2023 and 2022, 765,000 (49%) and 795,000 (51%), respectively, were procured from third-party growers at average per carton prices of $11.46 and $10.13. Additionally, in the second quarter of fiscal years 2023 and 2022, we incurred $2.6 million and $1.5 million, respectively, of costs for purchased, packed fruit for resale.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0" w:name="page31"/>
    <w:bookmarkEnd w:id="30"/>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 for the second quarter of fiscal years 2023 and 2022 was $1.7 million and $2.2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expenses were $1.0 million and $1.1 million in the second quarter of fiscal years 2023 and 2022, respectively.</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Loss on disposal of assets, net was $9.0 million and $0.3 million in the second quarter of fiscal years 2023 and 2022, respectively. The increase is primarily related to the disposal of Cadiz Ranch assets in fiscal year 2023.</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Gain on legal settlement was $2.3 million in the second quarter of fiscal year 2023 due to the Settlement Agreement related to the Thomas fire.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costs and expenses were $6.0 million and $5.1 million in the second quarter of fiscal years 2023 and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17% increase of $0.9 million was primarily the result of:</w:t>
      </w:r>
    </w:p>
    <w:p>
      <w:pPr>
        <w:spacing w:after="0" w:line="13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$0.5 million net increase in salaries, benefits and incentive compensation;</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$0.3 million increase in selling expenses; and</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$0.1 million net increase in other selling, general and administrative expenses, primarily associated with our strategic initiatives.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income (expense) was $1.3 million and $(0.3) million in the second quarter of fiscal years 2023 and 2022, respectively. The change of $1.6 million in other income was primarily the result of:</w:t>
      </w:r>
    </w:p>
    <w:p>
      <w:pPr>
        <w:spacing w:after="0" w:line="10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7"/>
          <w:szCs w:val="17"/>
          <w:b w:val="1"/>
          <w:bCs w:val="1"/>
          <w:i w:val="1"/>
          <w:iCs w:val="1"/>
          <w:color w:val="auto"/>
        </w:rPr>
      </w:pPr>
      <w:r>
        <w:rPr>
          <w:rFonts w:ascii="Arial" w:cs="Arial" w:eastAsia="Arial" w:hAnsi="Arial"/>
          <w:sz w:val="17"/>
          <w:szCs w:val="17"/>
          <w:color w:val="auto"/>
        </w:rPr>
        <w:t>$1.7 million decrease in interest expense as a result of a $1.4 million patronage dividend recorded in the second quarter of fiscal year 2023;</w:t>
      </w:r>
    </w:p>
    <w:p>
      <w:pPr>
        <w:spacing w:after="0" w:line="88" w:lineRule="exact"/>
        <w:rPr>
          <w:rFonts w:ascii="Arial" w:cs="Arial" w:eastAsia="Arial" w:hAnsi="Arial"/>
          <w:sz w:val="17"/>
          <w:szCs w:val="17"/>
          <w:b w:val="1"/>
          <w:bCs w:val="1"/>
          <w:i w:val="1"/>
          <w:iCs w:val="1"/>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$0.2 million decrease of equity in earnings of investments; and</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$0.1 million increase of other income, net.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an estimated income tax benefit (provision) of $0.9 million and $(0.7) million in the second quarter of fiscal years 2023 and 2022 on pre-tax (loss) income of $(2.5) million and $2.3 million, respectively. The tax benefit recorded for the second quarter of fiscal year 2023 differs from the U.S. federal statutory tax rate of 21.0% due primarily to foreign jurisdictions which are taxed at different rates, state taxes, tax impact of executive compensation, and nondeductible tax items. Our projected annual effective blended tax rate for fiscal year 2023, excluding discrete items, is approximately 30.4%.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Attributable to Noncontrolling Interest</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(income) attributable to noncontrolling interest represents 10% and 49% of PDA and Trapani Fresh, respectively, of the net loss (income) in the second quarter of fiscal years 2023 and 2022,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April 30, 2023 Compared to the Six Months Ended April 30,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Total net revenues for the six months ended April 30, 2023 and 2022 were $86.0 million. Agribusiness revenues are detailed below ($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w w:val="93"/>
              </w:rPr>
              <w:t>Agribusiness Revenues for the Six Months Ended April 30,</w:t>
            </w:r>
          </w:p>
        </w:tc>
        <w:tc>
          <w:tcPr>
            <w:tcW w:w="1220" w:type="dxa"/>
            <w:vAlign w:val="bottom"/>
            <w:tcBorders>
              <w:bottom w:val="single" w:sz="8" w:color="auto"/>
            </w:tcBorders>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220" w:type="dxa"/>
            <w:vAlign w:val="bottom"/>
            <w:tcBorders>
              <w:bottom w:val="single" w:sz="8" w:color="auto"/>
            </w:tcBorders>
          </w:tcPr>
          <w:p>
            <w:pPr>
              <w:spacing w:after="0"/>
              <w:rPr>
                <w:sz w:val="19"/>
                <w:szCs w:val="19"/>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73,399</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73,303</w:t>
            </w:r>
          </w:p>
        </w:tc>
        <w:tc>
          <w:tcPr>
            <w:tcW w:w="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96</w:t>
            </w:r>
          </w:p>
        </w:tc>
        <w:tc>
          <w:tcPr>
            <w:tcW w:w="1220" w:type="dxa"/>
            <w:vAlign w:val="bottom"/>
            <w:shd w:val="clear" w:color="auto" w:fill="CCEEFF"/>
          </w:tcPr>
          <w:p>
            <w:pPr>
              <w:jc w:val="center"/>
              <w:ind w:right="450"/>
              <w:spacing w:after="0"/>
              <w:rPr>
                <w:sz w:val="20"/>
                <w:szCs w:val="20"/>
                <w:color w:val="auto"/>
              </w:rPr>
            </w:pPr>
            <w:r>
              <w:rPr>
                <w:rFonts w:ascii="Arial" w:cs="Arial" w:eastAsia="Arial" w:hAnsi="Arial"/>
                <w:sz w:val="18"/>
                <w:szCs w:val="18"/>
                <w:color w:val="auto"/>
                <w:w w:val="93"/>
              </w:rPr>
              <w:t>—%</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Avocados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jc w:val="right"/>
              <w:ind w:right="470"/>
              <w:spacing w:after="0"/>
              <w:rPr>
                <w:sz w:val="20"/>
                <w:szCs w:val="20"/>
                <w:color w:val="auto"/>
              </w:rPr>
            </w:pPr>
            <w:r>
              <w:rPr>
                <w:rFonts w:ascii="Arial" w:cs="Arial" w:eastAsia="Arial" w:hAnsi="Arial"/>
                <w:sz w:val="18"/>
                <w:szCs w:val="18"/>
                <w:color w:val="auto"/>
              </w:rPr>
              <w:t>(739)</w:t>
            </w:r>
          </w:p>
        </w:tc>
        <w:tc>
          <w:tcPr>
            <w:tcW w:w="1220" w:type="dxa"/>
            <w:vAlign w:val="bottom"/>
          </w:tcPr>
          <w:p>
            <w:pPr>
              <w:jc w:val="center"/>
              <w:ind w:right="450"/>
              <w:spacing w:after="0"/>
              <w:rPr>
                <w:sz w:val="20"/>
                <w:szCs w:val="20"/>
                <w:color w:val="auto"/>
              </w:rPr>
            </w:pPr>
            <w:r>
              <w:rPr>
                <w:rFonts w:ascii="Arial" w:cs="Arial" w:eastAsia="Arial" w:hAnsi="Arial"/>
                <w:sz w:val="18"/>
                <w:szCs w:val="18"/>
                <w:color w:val="auto"/>
                <w:w w:val="91"/>
              </w:rPr>
              <w:t>(17)%</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Oranges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(955)</w:t>
            </w:r>
          </w:p>
        </w:tc>
        <w:tc>
          <w:tcPr>
            <w:tcW w:w="1220" w:type="dxa"/>
            <w:vAlign w:val="bottom"/>
            <w:shd w:val="clear" w:color="auto" w:fill="CCEEFF"/>
          </w:tcPr>
          <w:p>
            <w:pPr>
              <w:jc w:val="center"/>
              <w:ind w:right="450"/>
              <w:spacing w:after="0"/>
              <w:rPr>
                <w:sz w:val="20"/>
                <w:szCs w:val="20"/>
                <w:color w:val="auto"/>
              </w:rPr>
            </w:pPr>
            <w:r>
              <w:rPr>
                <w:rFonts w:ascii="Arial" w:cs="Arial" w:eastAsia="Arial" w:hAnsi="Arial"/>
                <w:sz w:val="18"/>
                <w:szCs w:val="18"/>
                <w:color w:val="auto"/>
                <w:w w:val="91"/>
              </w:rPr>
              <w:t>(27)%</w:t>
            </w:r>
          </w:p>
        </w:tc>
      </w:tr>
      <w:tr>
        <w:trPr>
          <w:trHeight w:val="24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Specialty citrus and other</w:t>
            </w: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1,350</w:t>
            </w:r>
          </w:p>
        </w:tc>
        <w:tc>
          <w:tcPr>
            <w:tcW w:w="122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88"/>
              </w:rPr>
              <w:t>58%</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Agribusiness revenues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83,204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(248)</w:t>
            </w:r>
          </w:p>
        </w:tc>
        <w:tc>
          <w:tcPr>
            <w:tcW w:w="1220" w:type="dxa"/>
            <w:vAlign w:val="bottom"/>
            <w:tcBorders>
              <w:bottom w:val="single" w:sz="8" w:color="auto"/>
            </w:tcBorders>
            <w:shd w:val="clear" w:color="auto" w:fill="CCEEFF"/>
          </w:tcPr>
          <w:p>
            <w:pPr>
              <w:jc w:val="center"/>
              <w:ind w:right="450"/>
              <w:spacing w:after="0"/>
              <w:rPr>
                <w:sz w:val="20"/>
                <w:szCs w:val="20"/>
                <w:color w:val="auto"/>
              </w:rPr>
            </w:pPr>
            <w:r>
              <w:rPr>
                <w:rFonts w:ascii="Arial" w:cs="Arial" w:eastAsia="Arial" w:hAnsi="Arial"/>
                <w:sz w:val="18"/>
                <w:szCs w:val="18"/>
                <w:color w:val="auto"/>
                <w:w w:val="93"/>
              </w:rPr>
              <w:t>—%</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1" w:name="page32"/>
    <w:bookmarkEnd w:id="31"/>
    <w:p>
      <w:pPr>
        <w:jc w:val="both"/>
        <w:ind w:left="340" w:hanging="332"/>
        <w:spacing w:after="0" w:line="25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Lemons: Revenues in the first six months of fiscal year 2023 were similar compared to the same period of fiscal year 2022, primarily due to proceeds awarded from the Settlement Agreement in fiscal year 2023, partially offset by decreased brokered fruit and other lemon sales. During the first six months of fiscal years 2023 and 2022, fresh lemon sales were $51.3 million and $52.0 million, in aggregate, on 2,855,000 and 2,759,000 cartons of lemons sold at average per carton prices of $17.98 and $18.85, respectively. Lemon revenues in the first six months of fiscal years 2023 and 2022 included shipping and handling of $12.1 million and $12.7 million, brokered fruit and other lemon sales of $6.0 million and $6.5 million, and lemon by-product sales of $2.6 million and $2.1 million, respectively and included settlement proceeds of $1.4 million allocated to lemons in fiscal year 2023.</w:t>
      </w:r>
    </w:p>
    <w:p>
      <w:pPr>
        <w:spacing w:after="0" w:line="46"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Avocados: The decrease in the first six months of fiscal year 2023, compared to the same period in fiscal year 2022, was primarily the result of decreased volume and lower prices of avocados sold, partially offset by proceeds awarded from the Settlement Agreement in fiscal year 2023. During the first six months of fiscal years 2023 and 2022, 941,000 and 2,242,000 pounds of avocados were sold at an average per pound price of $1.30 and $1.94, respectively. In addition, avocado revenues included settlement proceeds of $2.4 million allocated to avocados in fiscal year 2023.</w:t>
      </w:r>
    </w:p>
    <w:p>
      <w:pPr>
        <w:spacing w:after="0" w:line="22"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Oranges: The decrease in the first six months of fiscal year 2023, compared to the same period of fiscal year 2022, was primarily the result of decreased volume due to the sale of the Northern Properties. During the first six months of fiscal years 2023 and 2022, 152,000 and 381,000 cartons of oranges were sold at an average per carton price of $16.68 and $9.16, respectively.</w:t>
      </w:r>
    </w:p>
    <w:p>
      <w:pPr>
        <w:spacing w:after="0" w:line="35"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Specialty citrus and other: The increase in the first six months of fiscal year 2023, compared to the same period of fiscal year 2022 was primarily the result of $1.4 million of farm management revenues. There were no farm management revenues in the first six months of fiscal year 2022.</w:t>
      </w:r>
    </w:p>
    <w:p>
      <w:pPr>
        <w:spacing w:after="0" w:line="79" w:lineRule="exact"/>
        <w:rPr>
          <w:sz w:val="20"/>
          <w:szCs w:val="20"/>
          <w:color w:val="auto"/>
        </w:rPr>
      </w:pPr>
    </w:p>
    <w:p>
      <w:pPr>
        <w:ind w:right="2160"/>
        <w:spacing w:after="0" w:line="414" w:lineRule="auto"/>
        <w:rPr>
          <w:sz w:val="20"/>
          <w:szCs w:val="20"/>
          <w:color w:val="auto"/>
        </w:rPr>
      </w:pPr>
      <w:r>
        <w:rPr>
          <w:rFonts w:ascii="Arial" w:cs="Arial" w:eastAsia="Arial" w:hAnsi="Arial"/>
          <w:sz w:val="18"/>
          <w:szCs w:val="18"/>
          <w:color w:val="auto"/>
        </w:rPr>
        <w:t xml:space="preserve">Other operations revenue in the first six months of fiscal years 2023 and 2022 was $2.8 million and $2.6 million, respectively. </w:t>
      </w:r>
      <w:r>
        <w:rPr>
          <w:rFonts w:ascii="Arial" w:cs="Arial" w:eastAsia="Arial" w:hAnsi="Arial"/>
          <w:sz w:val="18"/>
          <w:szCs w:val="18"/>
          <w:b w:val="1"/>
          <w:bCs w:val="1"/>
          <w:i w:val="1"/>
          <w:iCs w:val="1"/>
          <w:color w:val="auto"/>
        </w:rPr>
        <w:t>Costs and Expenses</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total costs and expenses in the first six months of fiscal year 2023 were $63.9 million, compared to $93.0 million in the same period of fiscal year 2022. The 31% decrease of $29.0 million was primarily the result of increased gain on disposal of assets, primarily related to the Northern Properties sale partially offset by the disposal of Cadiz Ranch assets. Costs and expenses associated with our agribusiness division are detailed below ($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180" w:type="dxa"/>
            <w:vAlign w:val="bottom"/>
            <w:tcBorders>
              <w:bottom w:val="single" w:sz="8" w:color="auto"/>
            </w:tcBorders>
            <w:gridSpan w:val="9"/>
          </w:tcPr>
          <w:p>
            <w:pPr>
              <w:ind w:left="940"/>
              <w:spacing w:after="0"/>
              <w:rPr>
                <w:sz w:val="20"/>
                <w:szCs w:val="20"/>
                <w:color w:val="auto"/>
              </w:rPr>
            </w:pPr>
            <w:r>
              <w:rPr>
                <w:rFonts w:ascii="Arial" w:cs="Arial" w:eastAsia="Arial" w:hAnsi="Arial"/>
                <w:sz w:val="18"/>
                <w:szCs w:val="18"/>
                <w:b w:val="1"/>
                <w:bCs w:val="1"/>
                <w:color w:val="auto"/>
              </w:rPr>
              <w:t>Agribusiness Costs and Expenses for the Six Months Ended April 30,</w:t>
            </w:r>
          </w:p>
        </w:tc>
      </w:tr>
      <w:tr>
        <w:trPr>
          <w:trHeight w:val="223"/>
        </w:trPr>
        <w:tc>
          <w:tcPr>
            <w:tcW w:w="40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280" w:type="dxa"/>
            <w:vAlign w:val="bottom"/>
            <w:tcBorders>
              <w:bottom w:val="single" w:sz="8" w:color="auto"/>
            </w:tcBorders>
          </w:tcPr>
          <w:p>
            <w:pPr>
              <w:spacing w:after="0"/>
              <w:rPr>
                <w:sz w:val="19"/>
                <w:szCs w:val="19"/>
                <w:color w:val="auto"/>
              </w:rPr>
            </w:pPr>
          </w:p>
        </w:tc>
      </w:tr>
      <w:tr>
        <w:trPr>
          <w:trHeight w:val="23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Packing costs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25,172</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23,557</w:t>
            </w:r>
          </w:p>
        </w:tc>
        <w:tc>
          <w:tcPr>
            <w:tcW w:w="7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1,615</w:t>
            </w:r>
          </w:p>
        </w:tc>
        <w:tc>
          <w:tcPr>
            <w:tcW w:w="128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2"/>
              </w:rPr>
              <w:t>7%</w:t>
            </w:r>
          </w:p>
        </w:tc>
      </w:tr>
      <w:tr>
        <w:trPr>
          <w:trHeight w:val="229"/>
        </w:trPr>
        <w:tc>
          <w:tcPr>
            <w:tcW w:w="4060" w:type="dxa"/>
            <w:vAlign w:val="bottom"/>
          </w:tcPr>
          <w:p>
            <w:pPr>
              <w:ind w:left="20"/>
              <w:spacing w:after="0"/>
              <w:rPr>
                <w:sz w:val="20"/>
                <w:szCs w:val="20"/>
                <w:color w:val="auto"/>
              </w:rPr>
            </w:pPr>
            <w:r>
              <w:rPr>
                <w:rFonts w:ascii="Arial" w:cs="Arial" w:eastAsia="Arial" w:hAnsi="Arial"/>
                <w:sz w:val="18"/>
                <w:szCs w:val="18"/>
                <w:color w:val="auto"/>
              </w:rPr>
              <w:t>Harvest costs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10,385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10,812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color w:val="auto"/>
              </w:rPr>
              <w:t>(427)</w:t>
            </w:r>
          </w:p>
        </w:tc>
        <w:tc>
          <w:tcPr>
            <w:tcW w:w="1280" w:type="dxa"/>
            <w:vAlign w:val="bottom"/>
          </w:tcPr>
          <w:p>
            <w:pPr>
              <w:jc w:val="center"/>
              <w:ind w:right="390"/>
              <w:spacing w:after="0"/>
              <w:rPr>
                <w:sz w:val="20"/>
                <w:szCs w:val="20"/>
                <w:color w:val="auto"/>
              </w:rPr>
            </w:pPr>
            <w:r>
              <w:rPr>
                <w:rFonts w:ascii="Arial" w:cs="Arial" w:eastAsia="Arial" w:hAnsi="Arial"/>
                <w:sz w:val="18"/>
                <w:szCs w:val="18"/>
                <w:color w:val="auto"/>
                <w:w w:val="94"/>
              </w:rPr>
              <w:t>(4)%</w:t>
            </w: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Growing costs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(2,655)</w:t>
            </w:r>
          </w:p>
        </w:tc>
        <w:tc>
          <w:tcPr>
            <w:tcW w:w="128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1"/>
              </w:rPr>
              <w:t>(16)%</w:t>
            </w: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Third-party grower and supplier costs</w:t>
            </w:r>
          </w:p>
        </w:tc>
        <w:tc>
          <w:tcPr>
            <w:tcW w:w="1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26,378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23,827</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60" w:type="dxa"/>
            <w:vAlign w:val="bottom"/>
          </w:tcPr>
          <w:p>
            <w:pPr>
              <w:jc w:val="right"/>
              <w:ind w:right="450"/>
              <w:spacing w:after="0"/>
              <w:rPr>
                <w:sz w:val="20"/>
                <w:szCs w:val="20"/>
                <w:color w:val="auto"/>
              </w:rPr>
            </w:pPr>
            <w:r>
              <w:rPr>
                <w:rFonts w:ascii="Arial" w:cs="Arial" w:eastAsia="Arial" w:hAnsi="Arial"/>
                <w:sz w:val="18"/>
                <w:szCs w:val="18"/>
                <w:color w:val="auto"/>
              </w:rPr>
              <w:t>2,551</w:t>
            </w:r>
          </w:p>
        </w:tc>
        <w:tc>
          <w:tcPr>
            <w:tcW w:w="1280" w:type="dxa"/>
            <w:vAlign w:val="bottom"/>
          </w:tcPr>
          <w:p>
            <w:pPr>
              <w:jc w:val="center"/>
              <w:ind w:right="390"/>
              <w:spacing w:after="0"/>
              <w:rPr>
                <w:sz w:val="20"/>
                <w:szCs w:val="20"/>
                <w:color w:val="auto"/>
              </w:rPr>
            </w:pPr>
            <w:r>
              <w:rPr>
                <w:rFonts w:ascii="Arial" w:cs="Arial" w:eastAsia="Arial" w:hAnsi="Arial"/>
                <w:sz w:val="18"/>
                <w:szCs w:val="18"/>
                <w:color w:val="auto"/>
                <w:w w:val="88"/>
              </w:rPr>
              <w:t>11%</w:t>
            </w:r>
          </w:p>
        </w:tc>
      </w:tr>
      <w:tr>
        <w:trPr>
          <w:trHeight w:val="236"/>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(497)</w:t>
            </w:r>
          </w:p>
        </w:tc>
        <w:tc>
          <w:tcPr>
            <w:tcW w:w="1280" w:type="dxa"/>
            <w:vAlign w:val="bottom"/>
            <w:tcBorders>
              <w:bottom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w w:val="91"/>
              </w:rPr>
              <w:t>(11)%</w:t>
            </w: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Agribusiness costs and expenses</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79,430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78,843</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587</w:t>
            </w:r>
          </w:p>
        </w:tc>
        <w:tc>
          <w:tcPr>
            <w:tcW w:w="128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2"/>
              </w:rPr>
              <w:t>1%</w:t>
            </w:r>
          </w:p>
        </w:tc>
      </w:tr>
      <w:tr>
        <w:trPr>
          <w:trHeight w:val="21"/>
        </w:trPr>
        <w:tc>
          <w:tcPr>
            <w:tcW w:w="4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7"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Packing costs: Packing costs consist primarily of the costs to pack lemons for sale such as labor and benefits, cardboard cartons, fruit treatments, packing and shipping supplies and facility operating costs. In the first six months of fiscal years 2023 and 2022, lemon packing costs were $23.4 million and $22.2 million, respectively. During the first six months of fiscal years 2023 and 2022, we packed and sold 2,855,000 and 2,759,000 cartons of lemons at average per carton costs of $8.21 and $8.05, respectively. Additionally, in the first six months of fiscal years 2023 and 2022, packing costs included $1.7 million and $1.3 million of shipping costs, respectively.</w:t>
      </w:r>
    </w:p>
    <w:p>
      <w:pPr>
        <w:spacing w:after="0" w:line="39" w:lineRule="exact"/>
        <w:rPr>
          <w:rFonts w:ascii="Arial" w:cs="Arial" w:eastAsia="Arial" w:hAnsi="Arial"/>
          <w:sz w:val="18"/>
          <w:szCs w:val="18"/>
          <w:i w:val="1"/>
          <w:iCs w:val="1"/>
          <w:color w:val="auto"/>
        </w:rPr>
      </w:pPr>
    </w:p>
    <w:p>
      <w:pPr>
        <w:ind w:left="340" w:hanging="332"/>
        <w:spacing w:after="0" w:line="277"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Harvest costs: The decrease in the first six months of fiscal year 2023 was primarily the result of decreased volume of avocados, oranges and specialty citrus compared to the same period in fiscal year 2022.</w:t>
      </w:r>
    </w:p>
    <w:p>
      <w:pPr>
        <w:spacing w:after="0" w:line="21" w:lineRule="exact"/>
        <w:rPr>
          <w:rFonts w:ascii="Arial" w:cs="Arial" w:eastAsia="Arial" w:hAnsi="Arial"/>
          <w:sz w:val="18"/>
          <w:szCs w:val="18"/>
          <w:i w:val="1"/>
          <w:iCs w:val="1"/>
          <w:color w:val="auto"/>
        </w:rPr>
      </w:pPr>
    </w:p>
    <w:p>
      <w:pPr>
        <w:jc w:val="both"/>
        <w:ind w:left="340" w:hanging="332"/>
        <w:spacing w:after="0" w:line="311" w:lineRule="auto"/>
        <w:tabs>
          <w:tab w:leader="none" w:pos="340" w:val="left"/>
        </w:tabs>
        <w:numPr>
          <w:ilvl w:val="0"/>
          <w:numId w:val="18"/>
        </w:numPr>
        <w:rPr>
          <w:rFonts w:ascii="Arial" w:cs="Arial" w:eastAsia="Arial" w:hAnsi="Arial"/>
          <w:sz w:val="16"/>
          <w:szCs w:val="16"/>
          <w:i w:val="1"/>
          <w:iCs w:val="1"/>
          <w:color w:val="auto"/>
        </w:rPr>
      </w:pPr>
      <w:r>
        <w:rPr>
          <w:rFonts w:ascii="Arial" w:cs="Arial" w:eastAsia="Arial" w:hAnsi="Arial"/>
          <w:sz w:val="16"/>
          <w:szCs w:val="16"/>
          <w:color w:val="auto"/>
        </w:rPr>
        <w:t>Growing costs: Growing costs, also referred to as cultural costs, consist of orchard maintenance costs such as cultivation, fertilization and soil amendments, pest control, pruning and irrigation. The decrease in the first six months of fiscal year 2023 was primarily the result of farm management decisions based on weather, harvest timing, crop conditions and decreased amortization of cultural costs due to the Northern Properties sale.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2" w:name="page33"/>
    <w:bookmarkEnd w:id="32"/>
    <w:p>
      <w:pPr>
        <w:jc w:val="both"/>
        <w:ind w:left="340" w:hanging="332"/>
        <w:spacing w:after="0" w:line="293" w:lineRule="auto"/>
        <w:tabs>
          <w:tab w:leader="none" w:pos="340" w:val="left"/>
        </w:tabs>
        <w:numPr>
          <w:ilvl w:val="0"/>
          <w:numId w:val="19"/>
        </w:numPr>
        <w:rPr>
          <w:rFonts w:ascii="Arial" w:cs="Arial" w:eastAsia="Arial" w:hAnsi="Arial"/>
          <w:sz w:val="16"/>
          <w:szCs w:val="16"/>
          <w:i w:val="1"/>
          <w:iCs w:val="1"/>
          <w:color w:val="auto"/>
        </w:rPr>
      </w:pPr>
      <w:r>
        <w:rPr>
          <w:rFonts w:ascii="Arial" w:cs="Arial" w:eastAsia="Arial" w:hAnsi="Arial"/>
          <w:sz w:val="16"/>
          <w:szCs w:val="16"/>
          <w:color w:val="auto"/>
        </w:rPr>
        <w:t>Third-party grower and supplier costs: We sell fruit that we grow and fruit that we procure from other growers and suppliers. The cost of procuring fruit from other growers is referred to as third-party grower and supplier costs. The increase in the first six months of fiscal year 2023 was primarily the result of increased volume, partially offset by lower prices of third-party grower fruit sold, compared to the same period of fiscal year 2022. Of the 2,855,000 and 2,759,000 cartons of lemons packed and sold during the first six months of fiscal years 2023 and 2022, 1,630,000 (57%) and 1,488,000 (54%), respectively, were procured from third-party growers at average per carton prices of $12.60 and $13.00. Additionally, in the first six months of fiscal years 2023 and 2022, we incurred $5.8 million and $4.5 million, respectively, of costs for purchased, packed fruit for resale.</w:t>
      </w:r>
    </w:p>
    <w:p>
      <w:pPr>
        <w:spacing w:after="0" w:line="15" w:lineRule="exact"/>
        <w:rPr>
          <w:rFonts w:ascii="Arial" w:cs="Arial" w:eastAsia="Arial" w:hAnsi="Arial"/>
          <w:sz w:val="16"/>
          <w:szCs w:val="16"/>
          <w:i w:val="1"/>
          <w:iCs w:val="1"/>
          <w:color w:val="auto"/>
        </w:rPr>
      </w:pPr>
    </w:p>
    <w:p>
      <w:pPr>
        <w:ind w:left="340" w:hanging="332"/>
        <w:spacing w:after="0" w:line="277"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Depreciation and amortization: Depreciation and amortization expense for the first six months of fiscal years 2023 and 2022 was $3.9 million and $4.4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expenses were $2.2 million in the first six months of fiscal years 2023 and 2022.</w:t>
      </w:r>
    </w:p>
    <w:p>
      <w:pPr>
        <w:spacing w:after="0" w:line="15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(Gain) loss on disposal of assets, net was $(30.7) million and $0.3 million in the first six months of fiscal years 2023 and 2022, respectively. The change is primarily related to the sale of our Northern Properties in fiscal year 2023, partially offset by the disposal of Cadiz Ranch assets.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Gain on legal settlement was $2.3 million in the second quarter of fiscal year 2023 due to the Settlement Agreement related to the Thomas fire.</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Selling, general and administrative costs and expenses were $15.3 million and $11.7 million in the first six months of fiscal years 2023 and 2022, respectively. The 30% increase of $3.6 million was primarily the result of:</w:t>
      </w:r>
    </w:p>
    <w:p>
      <w:pPr>
        <w:spacing w:after="0" w:line="10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$2.6 million net increase in salaries, benefits and incentive compensation;</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$0.4 million increase in selling expenses; and</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$0.6 million net increase in other selling, general and administrative expenses, primarily associated with our strategic initiatives.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(expense) income was $(2.2) million and immaterial in the first six months of fiscal years 2023 and 2022, respectively. The change of $(2.2) million in other expense was primarily the result of:</w:t>
      </w:r>
    </w:p>
    <w:p>
      <w:pPr>
        <w:spacing w:after="0" w:line="8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color w:val="auto"/>
        </w:rPr>
        <w:t>$0.3 million decrease of interest expense, and</w:t>
      </w:r>
    </w:p>
    <w:p>
      <w:pPr>
        <w:spacing w:after="0" w:line="90"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 million increase of other expense, net; primarily as a result of pension settlement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an estimated income tax (provision) benefit of $(5.9) million and $1.9 million in the first six months of fiscal years 2023 and 2022 on pre-tax income (loss) of $19.8 million and $(7.0) million, respectively. The tax provision recorded for the first six months of fiscal year 2023 differs from the U.S. federal statutory tax rate of 21.0% due primarily to foreign jurisdictions which are taxed at different rates, state taxes, tax impact of executive compensation, and nondeductible tax items. Our projected annual effective blended tax rate for fiscal year 2023, excluding discrete items, is approximately 30.4%.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attributable to noncontrolling interest represents 10% and 49% of PDA and Trapani Fresh, respectively, of the net loss in the first six months of fiscal years 2023 and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19 - Segment Information for additional information regarding our operating segments.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Three Months Ended April 30, 2023, Compared to the Three Months Ended April 30,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April 30, 2023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800" w:type="dxa"/>
            <w:vAlign w:val="bottom"/>
          </w:tcPr>
          <w:p>
            <w:pPr>
              <w:jc w:val="right"/>
              <w:ind w:right="181"/>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8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89"/>
              </w:rPr>
              <w:t>Avocados</w:t>
            </w:r>
          </w:p>
        </w:tc>
        <w:tc>
          <w:tcPr>
            <w:tcW w:w="160" w:type="dxa"/>
            <w:vAlign w:val="bottom"/>
          </w:tcPr>
          <w:p>
            <w:pPr>
              <w:spacing w:after="0"/>
              <w:rPr>
                <w:sz w:val="14"/>
                <w:szCs w:val="14"/>
                <w:color w:val="auto"/>
              </w:rPr>
            </w:pPr>
          </w:p>
        </w:tc>
        <w:tc>
          <w:tcPr>
            <w:tcW w:w="960" w:type="dxa"/>
            <w:vAlign w:val="bottom"/>
          </w:tcPr>
          <w:p>
            <w:pPr>
              <w:jc w:val="right"/>
              <w:ind w:right="28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4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2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61"/>
              <w:spacing w:after="0"/>
              <w:rPr>
                <w:sz w:val="20"/>
                <w:szCs w:val="20"/>
                <w:color w:val="auto"/>
              </w:rPr>
            </w:pPr>
            <w:r>
              <w:rPr>
                <w:rFonts w:ascii="Arial" w:cs="Arial" w:eastAsia="Arial" w:hAnsi="Arial"/>
                <w:sz w:val="14"/>
                <w:szCs w:val="14"/>
                <w:b w:val="1"/>
                <w:bCs w:val="1"/>
                <w:color w:val="auto"/>
              </w:rPr>
              <w:t>Lemons</w:t>
            </w:r>
          </w:p>
        </w:tc>
        <w:tc>
          <w:tcPr>
            <w:tcW w:w="200" w:type="dxa"/>
            <w:vAlign w:val="bottom"/>
          </w:tcPr>
          <w:p>
            <w:pPr>
              <w:spacing w:after="0"/>
              <w:rPr>
                <w:sz w:val="16"/>
                <w:szCs w:val="16"/>
                <w:color w:val="auto"/>
              </w:rPr>
            </w:pPr>
          </w:p>
        </w:tc>
        <w:tc>
          <w:tcPr>
            <w:tcW w:w="800" w:type="dxa"/>
            <w:vAlign w:val="bottom"/>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4"/>
                <w:szCs w:val="14"/>
                <w:b w:val="1"/>
                <w:bCs w:val="1"/>
                <w:color w:val="auto"/>
                <w:w w:val="90"/>
              </w:rPr>
              <w:t>Agribusiness</w:t>
            </w:r>
          </w:p>
        </w:tc>
        <w:tc>
          <w:tcPr>
            <w:tcW w:w="180" w:type="dxa"/>
            <w:vAlign w:val="bottom"/>
          </w:tcPr>
          <w:p>
            <w:pPr>
              <w:spacing w:after="0"/>
              <w:rPr>
                <w:sz w:val="16"/>
                <w:szCs w:val="16"/>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46,676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48,070</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10,309</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(10,309)</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46,676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48,070</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29,977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12,075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(10,309)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3,683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36,449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13,439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49,888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1,740</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(12,349)</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(3,862)</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April 30, 2022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800" w:type="dxa"/>
            <w:vAlign w:val="bottom"/>
          </w:tcPr>
          <w:p>
            <w:pPr>
              <w:jc w:val="right"/>
              <w:ind w:right="181"/>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8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89"/>
              </w:rPr>
              <w:t>Avocados</w:t>
            </w:r>
          </w:p>
        </w:tc>
        <w:tc>
          <w:tcPr>
            <w:tcW w:w="160" w:type="dxa"/>
            <w:vAlign w:val="bottom"/>
          </w:tcPr>
          <w:p>
            <w:pPr>
              <w:spacing w:after="0"/>
              <w:rPr>
                <w:sz w:val="14"/>
                <w:szCs w:val="14"/>
                <w:color w:val="auto"/>
              </w:rPr>
            </w:pPr>
          </w:p>
        </w:tc>
        <w:tc>
          <w:tcPr>
            <w:tcW w:w="960" w:type="dxa"/>
            <w:vAlign w:val="bottom"/>
          </w:tcPr>
          <w:p>
            <w:pPr>
              <w:jc w:val="right"/>
              <w:ind w:right="28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4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2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Lemons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0"/>
              </w:rPr>
              <w:t>Agribusiness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46,750</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9,373</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(9,373)</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46,750</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27,222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11,662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(9,373)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2,073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3,828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35,412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6,269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41,681</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2,187</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(5,184)</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3740"/>
        <w:spacing w:after="0" w:line="422" w:lineRule="auto"/>
        <w:rPr>
          <w:sz w:val="20"/>
          <w:szCs w:val="20"/>
          <w:color w:val="auto"/>
        </w:rPr>
      </w:pPr>
      <w:r>
        <w:rPr>
          <w:rFonts w:ascii="Arial" w:cs="Arial" w:eastAsia="Arial" w:hAnsi="Arial"/>
          <w:sz w:val="18"/>
          <w:szCs w:val="18"/>
          <w:i w:val="1"/>
          <w:iCs w:val="1"/>
          <w:color w:val="auto"/>
        </w:rPr>
        <w:t xml:space="preserve">The following analysis should be read in conjunction with the previous section “Results of Operations.” </w:t>
      </w:r>
      <w:r>
        <w:rPr>
          <w:rFonts w:ascii="Arial" w:cs="Arial" w:eastAsia="Arial" w:hAnsi="Arial"/>
          <w:sz w:val="18"/>
          <w:szCs w:val="18"/>
          <w:b w:val="1"/>
          <w:bCs w:val="1"/>
          <w:i w:val="1"/>
          <w:iCs w:val="1"/>
          <w:color w:val="auto"/>
        </w:rPr>
        <w:t>Fresh Lemons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Fresh lemons segment revenue is comprised of sales of fresh lemons, lemon by-products, brokered fruit and other lemon revenue. For the second quarter of fiscal years 2023 and 2022, our fresh lemons segment total net revenues were $32.8 million and $31.0 million, respectively. The 6% increase of $1.9 million was primarily the result of proceeds awarded from the Settlement Agreement allocated to fresh lemons in fiscal year 2023.</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fresh lemons segment include growing costs, harvest costs, cost of lemons we procure from third-party growers and suppliers, transportation costs and packing service charges incurred from the lemon packing segment to pack lemons for sale. For the second quarter of fiscal years 2023 and 2022, our fresh lemons segment costs and expenses were $30.0 million and $27.2 million, respectively. The 10% increase of $2.8 million was primarily the result of:</w:t>
      </w:r>
    </w:p>
    <w:p>
      <w:pPr>
        <w:spacing w:after="0" w:line="11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Harvest costs for the second quarter of fiscal year 2023 were $1.7 million higher than the same period of fiscal year 2022.</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Growing costs for the second quarter of fiscal year 2023 were $0.1 million higher than the same period of fiscal year 2022.</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Third-party grower and supplier costs for the second quarter of fiscal year 2023 were $0.2 million lower than the same period of fiscal year 2022.</w:t>
      </w:r>
    </w:p>
    <w:p>
      <w:pPr>
        <w:spacing w:after="0" w:line="88" w:lineRule="exact"/>
        <w:rPr>
          <w:rFonts w:ascii="Arial" w:cs="Arial" w:eastAsia="Arial" w:hAnsi="Arial"/>
          <w:sz w:val="17"/>
          <w:szCs w:val="17"/>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Transportation costs for the second quarter of fiscal year 2023 were $0.1 million higher than the same period of fiscal year 2022.</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Intersegment costs and expenses for the second quarter of fiscal year 2023 were $0.9 million higher than the same period of fiscal year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Lemon Packing</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Lemon packing segment revenue is comprised of packing revenue, intersegment packing revenue and shipping and handling revenue. For the second quarter of fiscal years 2023 and 2022, our lemon packing segment total net revenues were $16.7 million and $16.1 million, respectively. The 4% increase of $0.6 million was primarily the result of increased intersegment packing revenue.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second quarter of fiscal years 2023 and 2022, our lemon packing costs and expenses were $12.1 million and $11.7 million, respectively. The 4% increase of $0.4 million was primarily the result of increased labor and benefit costs.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For the second quarter of fiscal years 2023 and 2022, lemon packing segment operating income per carton sold was $3.01 and $2.87, respectively.</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second quarter of fiscal years 2023 and 2022, the lemon packing segment included $10.3 million and $9.4 million, respectively, of intersegment revenues that were charged to the fresh lemons segment to pack lemons for sale. Such intersegment revenues and expenses are eliminated in our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Avocados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of fiscal years 2023 and 2022, our avocados segment had revenues of $3.6 million.</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Costs and expenses associated with our avocados segment include growing and harvest costs. For the second quarter of fiscal years 2023 and 2022, our avocados segment costs and expenses were $1.0 million and $2.1 million, respectively. The decrease of $1.1 million primarily consisted of the following:</w:t>
      </w:r>
    </w:p>
    <w:p>
      <w:pPr>
        <w:spacing w:after="0" w:line="4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Harvest costs for the first six months of fiscal year 2023 were $0.2 million lower than the same period of fiscal year 2022.</w:t>
      </w:r>
    </w:p>
    <w:p>
      <w:pPr>
        <w:spacing w:after="0" w:line="90"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Growing costs for the first six months of fiscal year 2023 were $0.8 million lower than the same period of fiscal year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Agribusiness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quarter of fiscal years 2023 and 2022, our other agribusiness segment total net revenues were $3.8 million and $4.1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6% decrease of $0.3 million was primarily the result of:</w:t>
      </w:r>
    </w:p>
    <w:p>
      <w:pPr>
        <w:spacing w:after="0" w:line="14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Orange revenues for the second quarter of fiscal year 2023 were $1.2 million lower than the same period of fiscal year 2022.</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Specialty citrus and other revenues for the second quarter of fiscal year 2023 were $1.0 million higher than the same period of fiscal year 2022.</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other agribusiness segment include growing costs, harvest costs and purchased fruit costs. For the second quarter of fiscal years 2023 and 2022, our other agribusiness costs and expenses were $3.7 million and $3.8 million, respectively. The 4% decrease of $0.1 million was primarily the result of:</w:t>
      </w:r>
    </w:p>
    <w:p>
      <w:pPr>
        <w:spacing w:after="0" w:line="10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Harvest costs for the second quarter of fiscal year 2023 were $0.8 million lower than the same period of fiscal year 2022.</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Growing costs for the second quarter of fiscal year 2023 were $1.3 million lower than the same period of fiscal year 2022.</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Purchased fruit costs for the second quarter of fiscal year 2023 were $2.0 million higher than the same period of fiscal year 2022.</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agribusiness depreciation and amortization expenses for the second quarter of fiscal years 2023 and 2022 were $1.7 million and $2.2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corporate and other operations had revenues of $1.4 million for the second quarter of fiscal years 2023 and 2022.</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in our corporate and other operations for the second quarter of fiscal years 2023 and 2022 were approximately $13.4 million and $6.3 million, respectively, and include selling, general and administrative costs and expenses, loss on disposal of assets and gain on legal settlement not allocated to the operating segments. Depreciation and amortization expenses for the second quarter of fiscal years 2023 and 2022 were similar at $0.3 million.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Six Months Ended April 30, 2023, Compared to the Six Months Ended April 30,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six months ended April 30, 2023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41"/>
              <w:spacing w:after="0"/>
              <w:rPr>
                <w:sz w:val="20"/>
                <w:szCs w:val="20"/>
                <w:color w:val="auto"/>
              </w:rPr>
            </w:pPr>
            <w:r>
              <w:rPr>
                <w:rFonts w:ascii="Arial" w:cs="Arial" w:eastAsia="Arial" w:hAnsi="Arial"/>
                <w:sz w:val="14"/>
                <w:szCs w:val="14"/>
                <w:b w:val="1"/>
                <w:bCs w:val="1"/>
                <w:color w:val="auto"/>
              </w:rPr>
              <w:t>Fresh</w:t>
            </w:r>
          </w:p>
        </w:tc>
        <w:tc>
          <w:tcPr>
            <w:tcW w:w="180" w:type="dxa"/>
            <w:vAlign w:val="bottom"/>
          </w:tcPr>
          <w:p>
            <w:pPr>
              <w:spacing w:after="0"/>
              <w:rPr>
                <w:sz w:val="14"/>
                <w:szCs w:val="14"/>
                <w:color w:val="auto"/>
              </w:rPr>
            </w:pPr>
          </w:p>
        </w:tc>
        <w:tc>
          <w:tcPr>
            <w:tcW w:w="800" w:type="dxa"/>
            <w:vAlign w:val="bottom"/>
          </w:tcPr>
          <w:p>
            <w:pPr>
              <w:jc w:val="right"/>
              <w:ind w:right="181"/>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8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Avocados</w:t>
            </w:r>
          </w:p>
        </w:tc>
        <w:tc>
          <w:tcPr>
            <w:tcW w:w="160" w:type="dxa"/>
            <w:vAlign w:val="bottom"/>
          </w:tcPr>
          <w:p>
            <w:pPr>
              <w:spacing w:after="0"/>
              <w:rPr>
                <w:sz w:val="14"/>
                <w:szCs w:val="14"/>
                <w:color w:val="auto"/>
              </w:rPr>
            </w:pPr>
          </w:p>
        </w:tc>
        <w:tc>
          <w:tcPr>
            <w:tcW w:w="960" w:type="dxa"/>
            <w:vAlign w:val="bottom"/>
          </w:tcPr>
          <w:p>
            <w:pPr>
              <w:jc w:val="right"/>
              <w:ind w:right="28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4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2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81"/>
              <w:spacing w:after="0"/>
              <w:rPr>
                <w:sz w:val="20"/>
                <w:szCs w:val="20"/>
                <w:color w:val="auto"/>
              </w:rPr>
            </w:pPr>
            <w:r>
              <w:rPr>
                <w:rFonts w:ascii="Arial" w:cs="Arial" w:eastAsia="Arial" w:hAnsi="Arial"/>
                <w:sz w:val="14"/>
                <w:szCs w:val="14"/>
                <w:b w:val="1"/>
                <w:bCs w:val="1"/>
                <w:color w:val="auto"/>
              </w:rPr>
              <w:t>Lemons</w:t>
            </w:r>
          </w:p>
        </w:tc>
        <w:tc>
          <w:tcPr>
            <w:tcW w:w="180" w:type="dxa"/>
            <w:vAlign w:val="bottom"/>
          </w:tcPr>
          <w:p>
            <w:pPr>
              <w:spacing w:after="0"/>
              <w:rPr>
                <w:sz w:val="16"/>
                <w:szCs w:val="16"/>
                <w:color w:val="auto"/>
              </w:rPr>
            </w:pPr>
          </w:p>
        </w:tc>
        <w:tc>
          <w:tcPr>
            <w:tcW w:w="800" w:type="dxa"/>
            <w:vAlign w:val="bottom"/>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4"/>
                <w:szCs w:val="14"/>
                <w:b w:val="1"/>
                <w:bCs w:val="1"/>
                <w:color w:val="auto"/>
                <w:w w:val="90"/>
              </w:rPr>
              <w:t>Agribusiness</w:t>
            </w:r>
          </w:p>
        </w:tc>
        <w:tc>
          <w:tcPr>
            <w:tcW w:w="180" w:type="dxa"/>
            <w:vAlign w:val="bottom"/>
          </w:tcPr>
          <w:p>
            <w:pPr>
              <w:spacing w:after="0"/>
              <w:rPr>
                <w:sz w:val="16"/>
                <w:szCs w:val="16"/>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61,328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83,204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85,971</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17,672</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(17,672)</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61,328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29,743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83,204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85,971</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Costs and expenses (gain)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63,277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23,428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(17,672)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5,499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75,555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(16,097)</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59,458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3,875</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4,491</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22,022</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six months ended April 30, 2022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4"/>
                <w:szCs w:val="14"/>
                <w:color w:val="auto"/>
              </w:rPr>
            </w:pPr>
          </w:p>
        </w:tc>
        <w:tc>
          <w:tcPr>
            <w:tcW w:w="800" w:type="dxa"/>
            <w:vAlign w:val="bottom"/>
          </w:tcPr>
          <w:p>
            <w:pPr>
              <w:jc w:val="right"/>
              <w:ind w:right="181"/>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8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Avocados</w:t>
            </w:r>
          </w:p>
        </w:tc>
        <w:tc>
          <w:tcPr>
            <w:tcW w:w="160" w:type="dxa"/>
            <w:vAlign w:val="bottom"/>
          </w:tcPr>
          <w:p>
            <w:pPr>
              <w:spacing w:after="0"/>
              <w:rPr>
                <w:sz w:val="14"/>
                <w:szCs w:val="14"/>
                <w:color w:val="auto"/>
              </w:rPr>
            </w:pPr>
          </w:p>
        </w:tc>
        <w:tc>
          <w:tcPr>
            <w:tcW w:w="980" w:type="dxa"/>
            <w:vAlign w:val="bottom"/>
          </w:tcPr>
          <w:p>
            <w:pPr>
              <w:jc w:val="right"/>
              <w:ind w:right="301"/>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96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20" w:type="dxa"/>
            <w:vAlign w:val="bottom"/>
          </w:tcPr>
          <w:p>
            <w:pPr>
              <w:spacing w:after="0"/>
              <w:rPr>
                <w:sz w:val="14"/>
                <w:szCs w:val="14"/>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Lemons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0"/>
              </w:rPr>
              <w:t>Agribusiness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60,592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83,452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86,024</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15,962</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(15,962)</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60,592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83,452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86,024</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59,383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22,218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(15,962)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6,438</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74,471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13,562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88,033</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4,372</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4,963</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(6,972)</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3740"/>
        <w:spacing w:after="0" w:line="422" w:lineRule="auto"/>
        <w:rPr>
          <w:sz w:val="20"/>
          <w:szCs w:val="20"/>
          <w:color w:val="auto"/>
        </w:rPr>
      </w:pPr>
      <w:r>
        <w:rPr>
          <w:rFonts w:ascii="Arial" w:cs="Arial" w:eastAsia="Arial" w:hAnsi="Arial"/>
          <w:sz w:val="18"/>
          <w:szCs w:val="18"/>
          <w:i w:val="1"/>
          <w:iCs w:val="1"/>
          <w:color w:val="auto"/>
        </w:rPr>
        <w:t xml:space="preserve">The following analysis should be read in conjunction with the previous section “Results of Operations.” </w:t>
      </w:r>
      <w:r>
        <w:rPr>
          <w:rFonts w:ascii="Arial" w:cs="Arial" w:eastAsia="Arial" w:hAnsi="Arial"/>
          <w:sz w:val="18"/>
          <w:szCs w:val="18"/>
          <w:b w:val="1"/>
          <w:bCs w:val="1"/>
          <w:i w:val="1"/>
          <w:iCs w:val="1"/>
          <w:color w:val="auto"/>
        </w:rPr>
        <w:t>Fresh Lemons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Fresh lemons segment revenue is comprised of sales of fresh lemons, lemon by-products, brokered fruit and other lemon revenue. For the first six months of fiscal years 2023 and 2022, our fresh lemons segment total net revenues were $61.3 million and $60.6 million, respectively. The 1% increase of $0.7 million was primarily the result of proceeds awarded from the Settlement Agreement allocated to fresh lemons in fiscal year 2023, partially offset by a net decrease in brokered fruit and other lemon sales.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fresh lemons segment include growing costs, harvest costs, cost of lemons we procure from third-party growers and suppliers, transportation costs and packing service charges incurred from the lemon packing segment to pack lemons for sale. For the first six months of fiscal years 2023 and 2022, our fresh lemons segment costs and expenses were $63.3 million and $59.4 million, respectively. The 7% increase of $3.9 million was primarily the result of:</w:t>
      </w:r>
    </w:p>
    <w:p>
      <w:pPr>
        <w:spacing w:after="0" w:line="11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color w:val="auto"/>
        </w:rPr>
        <w:t>Harvest costs for the first six months of fiscal year 2023 were $0.7 million higher than the same period of fiscal year 2022.</w:t>
      </w:r>
    </w:p>
    <w:p>
      <w:pPr>
        <w:spacing w:after="0" w:line="76"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color w:val="auto"/>
        </w:rPr>
        <w:t>Growing costs for the first six months of fiscal year 2023 were $1.2 million higher than the same period of fiscal year 2022.</w:t>
      </w:r>
    </w:p>
    <w:p>
      <w:pPr>
        <w:spacing w:after="0" w:line="90"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color w:val="auto"/>
        </w:rPr>
        <w:t>Third-party grower and supplier costs for the first six months of fiscal year 2023 were $0.1 million lower than the same period of fiscal year 2022.</w:t>
      </w:r>
    </w:p>
    <w:p>
      <w:pPr>
        <w:spacing w:after="0" w:line="88" w:lineRule="exact"/>
        <w:rPr>
          <w:rFonts w:ascii="Arial" w:cs="Arial" w:eastAsia="Arial" w:hAnsi="Arial"/>
          <w:sz w:val="17"/>
          <w:szCs w:val="17"/>
          <w:b w:val="1"/>
          <w:bCs w:val="1"/>
          <w:i w:val="1"/>
          <w:iCs w:val="1"/>
          <w:color w:val="auto"/>
        </w:rPr>
      </w:pPr>
    </w:p>
    <w:p>
      <w:pPr>
        <w:ind w:left="340" w:hanging="332"/>
        <w:spacing w:after="0"/>
        <w:tabs>
          <w:tab w:leader="none" w:pos="34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color w:val="auto"/>
        </w:rPr>
        <w:t>Transportation costs for the first six months of fiscal year 2023 were $0.4 million higher than the same period of fiscal year 2022.</w:t>
      </w:r>
    </w:p>
    <w:p>
      <w:pPr>
        <w:spacing w:after="0" w:line="76"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color w:val="auto"/>
        </w:rPr>
        <w:t>Intersegment costs and expenses for the first six months of fiscal year 2023 were $1.7 million higher than the same period of fiscal year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Lemon Packing</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Lemon packing segment revenue is comprised of packing revenue, intersegment packing revenue and shipping and handling revenue. For the first six months of fiscal years 2023 and 2022, our lemon packing segment total net revenues were $29.7 million and $28.7 million, respectively. The 4% increase of $1.1 million was primarily the result of increased volume of lemons packed and sold and increased intersegment packing revenue.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first six months of fiscal years 2023 and 2022, our lemon packing costs and expenses were $23.4 million and $22.2 million, respectively. The 5% increase of $1.2 million was primarily the result of increased volume of lemons packed and sold and increased labor and benefit costs.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For the first six months of fiscal years 2023 and 2022, lemon packing segment operating income per carton sold was $2.21 and $2.34, respectively.</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six months of fiscal years 2023 and 2022, the lemon packing segment included $17.7 million and $16.0 million, respectively, of intersegment revenues that were charged to the fresh lemons segment to pack lemons for sale. Such intersegment revenues and expenses are eliminated in our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Avocados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fiscal year 2023 and 2022, our avocados segment had revenues of $3.6 million and $4.3 million, respectively.</w:t>
      </w:r>
    </w:p>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Costs and expenses associated with our avocados segment include growing and harvest costs. For the first six months of fiscal years 2023 and 2022, our avocados segment costs and expenses were $1.0 million and $2.4 million, respectively. The decrease of $1.4 million primarily consisted of the following:</w:t>
      </w:r>
    </w:p>
    <w:p>
      <w:pPr>
        <w:spacing w:after="0" w:line="56"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color w:val="auto"/>
        </w:rPr>
        <w:t>Harvest costs for the first six months of fiscal year 2023 were $0.3 million lower than the same period of fiscal year 2022.</w:t>
      </w:r>
    </w:p>
    <w:p>
      <w:pPr>
        <w:spacing w:after="0" w:line="76"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color w:val="auto"/>
        </w:rPr>
        <w:t>Growing costs for the first six months of fiscal year 2023 were $1.1 million lower than the same period of fiscal year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Agribusiness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For the first six months of fiscal years 2023 and 2022, our other agribusiness segment total net revenues were $6.2 million and $5.8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7% increase of $0.4 million was primarily the result of:</w:t>
      </w:r>
    </w:p>
    <w:p>
      <w:pPr>
        <w:spacing w:after="0" w:line="130"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color w:val="auto"/>
        </w:rPr>
        <w:t>Orange revenues for the first six months of fiscal year 2023 were $1.0 million lower than the same period of fiscal year 2022.</w:t>
      </w:r>
    </w:p>
    <w:p>
      <w:pPr>
        <w:spacing w:after="0" w:line="90"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8"/>
        </w:numPr>
        <w:rPr>
          <w:rFonts w:ascii="Arial" w:cs="Arial" w:eastAsia="Arial" w:hAnsi="Arial"/>
          <w:sz w:val="17"/>
          <w:szCs w:val="17"/>
          <w:b w:val="1"/>
          <w:bCs w:val="1"/>
          <w:i w:val="1"/>
          <w:iCs w:val="1"/>
          <w:color w:val="auto"/>
        </w:rPr>
      </w:pPr>
      <w:r>
        <w:rPr>
          <w:rFonts w:ascii="Arial" w:cs="Arial" w:eastAsia="Arial" w:hAnsi="Arial"/>
          <w:sz w:val="17"/>
          <w:szCs w:val="17"/>
          <w:color w:val="auto"/>
        </w:rPr>
        <w:t>Specialty citrus and other revenues for the first six months of fiscal year 2023 were $1.4 million higher than the same period of fiscal year 2022.</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other agribusiness segment include growing costs, harvest costs and purchased fruit costs. For the first six months of fiscal years 2023 and 2022, our other agribusiness costs and expenses were $5.5 million and $6.4 million, respectively. The (15)% decrease of $0.9 million was primarily the result of:</w:t>
      </w:r>
    </w:p>
    <w:p>
      <w:pPr>
        <w:spacing w:after="0" w:line="11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Harvest costs for the first six months of fiscal year 2023 were $0.8 million lower than the same period of fiscal year 2022.</w:t>
      </w:r>
    </w:p>
    <w:p>
      <w:pPr>
        <w:spacing w:after="0" w:line="76"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Growing costs for the first six months of fiscal year 2023 were $2.7 million lower than the same period of fiscal year 2022.</w:t>
      </w:r>
    </w:p>
    <w:p>
      <w:pPr>
        <w:spacing w:after="0" w:line="90"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Purchased fruit costs for the first six months of fiscal year 2023 were $2.6 million higher than the same period of fiscal year 2022.</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agribusiness depreciation and amortization expenses for the first six months of fiscal years 2023 and 2022 were $3.9 million and $4.4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Our corporate and other operations had revenues of $2.8 million and $2.6 million for the first six months of fiscal years 2023 and 2022, respectively.</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in our corporate and other operations for the first six months of fiscal years 2023 and 2022 were approximately $(16.1) million and $13.6 million, respectively, and include selling, general and administrative costs and expenses, (gain) loss on disposal of assets and gain on legal settlement not allocated to the operating segments. Depreciation and amortization expenses for the first six months of fiscal years 2023 and 2022 were similar at $0.6 million.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Seasonal Operations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Trailing Twelve Months Ended April 30, 2023 and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unaudited results of operations (in thousands):</w:t>
      </w:r>
    </w:p>
    <w:p>
      <w:pPr>
        <w:spacing w:after="0" w:line="183" w:lineRule="exact"/>
        <w:rPr>
          <w:sz w:val="20"/>
          <w:szCs w:val="20"/>
          <w:color w:val="auto"/>
        </w:rPr>
      </w:pPr>
    </w:p>
    <w:p>
      <w:pPr>
        <w:jc w:val="center"/>
        <w:ind w:left="8480"/>
        <w:spacing w:after="0"/>
        <w:rPr>
          <w:sz w:val="20"/>
          <w:szCs w:val="20"/>
          <w:color w:val="auto"/>
        </w:rPr>
      </w:pPr>
      <w:r>
        <w:rPr>
          <w:rFonts w:ascii="Arial" w:cs="Arial" w:eastAsia="Arial" w:hAnsi="Arial"/>
          <w:sz w:val="18"/>
          <w:szCs w:val="18"/>
          <w:b w:val="1"/>
          <w:bCs w:val="1"/>
          <w:color w:val="auto"/>
        </w:rPr>
        <w:t>Trailing Twelve Months Ended</w:t>
      </w:r>
    </w:p>
    <w:p>
      <w:pPr>
        <w:jc w:val="center"/>
        <w:ind w:left="8480"/>
        <w:spacing w:after="0"/>
        <w:rPr>
          <w:sz w:val="20"/>
          <w:szCs w:val="20"/>
          <w:color w:val="auto"/>
        </w:rPr>
      </w:pPr>
      <w:r>
        <w:rPr>
          <w:rFonts w:ascii="Arial" w:cs="Arial" w:eastAsia="Arial" w:hAnsi="Arial"/>
          <w:sz w:val="18"/>
          <w:szCs w:val="18"/>
          <w:b w:val="1"/>
          <w:bCs w:val="1"/>
          <w:color w:val="auto"/>
        </w:rPr>
        <w:t>April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Borders>
              <w:bottom w:val="single" w:sz="8" w:color="CCEEFF"/>
            </w:tcBorders>
          </w:tcPr>
          <w:p>
            <w:pPr>
              <w:spacing w:after="0"/>
              <w:rPr>
                <w:sz w:val="20"/>
                <w:szCs w:val="20"/>
                <w:color w:val="auto"/>
              </w:rPr>
            </w:pPr>
          </w:p>
        </w:tc>
        <w:tc>
          <w:tcPr>
            <w:tcW w:w="37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Agribusiness</w:t>
            </w:r>
          </w:p>
        </w:tc>
        <w:tc>
          <w:tcPr>
            <w:tcW w:w="40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179,033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163,707</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operations</w:t>
            </w:r>
          </w:p>
        </w:tc>
        <w:tc>
          <w:tcPr>
            <w:tcW w:w="37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3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184,552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168,644</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140"/>
              <w:spacing w:after="0"/>
              <w:rPr>
                <w:sz w:val="20"/>
                <w:szCs w:val="20"/>
                <w:color w:val="auto"/>
              </w:rPr>
            </w:pPr>
            <w:r>
              <w:rPr>
                <w:rFonts w:ascii="Arial" w:cs="Arial" w:eastAsia="Arial" w:hAnsi="Arial"/>
                <w:sz w:val="18"/>
                <w:szCs w:val="18"/>
                <w:color w:val="auto"/>
              </w:rPr>
              <w:t>Agribusiness</w:t>
            </w:r>
          </w:p>
        </w:tc>
        <w:tc>
          <w:tcPr>
            <w:tcW w:w="3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161,238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153,955</w:t>
            </w: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operations</w:t>
            </w:r>
          </w:p>
        </w:tc>
        <w:tc>
          <w:tcPr>
            <w:tcW w:w="3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(Gain) loss on disposal of assets</w:t>
            </w:r>
          </w:p>
        </w:tc>
        <w:tc>
          <w:tcPr>
            <w:tcW w:w="3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legal settlement</w:t>
            </w:r>
          </w:p>
        </w:tc>
        <w:tc>
          <w:tcPr>
            <w:tcW w:w="3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20,041</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7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153,357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178,693</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(10,049)</w:t>
            </w: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 of patronage dividends</w:t>
            </w:r>
          </w:p>
        </w:tc>
        <w:tc>
          <w:tcPr>
            <w:tcW w:w="3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Equity in earnings of investments, net</w:t>
            </w:r>
          </w:p>
        </w:tc>
        <w:tc>
          <w:tcPr>
            <w:tcW w:w="3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37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w:t>
            </w:r>
          </w:p>
        </w:tc>
        <w:tc>
          <w:tcPr>
            <w:tcW w:w="37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(provision) benefit</w:t>
            </w:r>
          </w:p>
        </w:tc>
        <w:tc>
          <w:tcPr>
            <w:tcW w:w="3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attributable to noncontrolling interest</w:t>
            </w:r>
          </w:p>
        </w:tc>
        <w:tc>
          <w:tcPr>
            <w:tcW w:w="37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Limoneira Company</w:t>
            </w:r>
          </w:p>
        </w:tc>
        <w:tc>
          <w:tcPr>
            <w:tcW w:w="3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38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47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158" w:lineRule="exact"/>
        <w:rPr>
          <w:sz w:val="20"/>
          <w:szCs w:val="20"/>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revenues increased $15.9 million in the twelve months ended April 30, 2023, compared to the twelve months ended April 30, 2022, primarily related to increased agribusiness revenues, particularly increased avocado sales, oranges and specialty crops.</w:t>
      </w:r>
    </w:p>
    <w:p>
      <w:pPr>
        <w:spacing w:after="0" w:line="2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costs and expenses decreased $25.3 million in the twelve months ended April 30, 2023, compared to the twelve months ended April 30, 2022, primarily related to gain on disposal of assets and gain on legal settlement, partially offset by increased agribusiness costs and selling, general and administrative expenses.</w:t>
      </w:r>
    </w:p>
    <w:p>
      <w:pPr>
        <w:spacing w:after="0" w:line="35"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Total other expense increased $5.6 million in the twelve months ended April 30, 2023, compared to the twelve months ended April 30, 2022, primarily related to decreased equity in earnings of investments and increased other expense primarily due to pension settlement costs.</w:t>
      </w:r>
    </w:p>
    <w:p>
      <w:pPr>
        <w:spacing w:after="0" w:line="11"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Income tax provision increased $10.6 million in the twelve months ended April 30, 2023, compared to the twelve months ended April 30, 2022, primarily related to an increase in pre-tax income of $35.6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primary sources of liquidity are cash and cash flows generated from our operations and use of our revolving credit facility.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Material contractual obligations arising in the normal course of business consist primarily of purchase obligations, long-term fixed rate and variable rate debt and related interest payments and operating and finance leases. See Note 10 - Long-Term Debt and Note 12 - Leases for amounts outstanding as of April 30, 2023, related to debt and leases. Purchase obligations consist of contracts primarily related to packing supplies, the majority of which are due in the next three years.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next twelve months. In addition, we have the ability to control a portion of our investing cash flows to the extent necessary based on our liquidity demands.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six months ended April 30, 2023, net cash used in operating activities was $18.4 million, compared to net cash used in operating activities of $1.2 million for the six months ended April 30, 2022. The significant components of our cash flows used in operating activities were as follows:</w:t>
      </w:r>
    </w:p>
    <w:p>
      <w:pPr>
        <w:spacing w:after="0" w:line="79" w:lineRule="exact"/>
        <w:rPr>
          <w:sz w:val="20"/>
          <w:szCs w:val="20"/>
          <w:color w:val="auto"/>
        </w:rPr>
      </w:pPr>
    </w:p>
    <w:p>
      <w:pPr>
        <w:jc w:val="both"/>
        <w:ind w:left="340" w:hanging="332"/>
        <w:spacing w:after="0" w:line="286"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Net income (loss) for the six months ended April 30, 2023 and 2022 was $13.9 million and $(5.0) million, respectively. The components of net income in the six months ended April 30, 2023, compared to the net loss in the same period in fiscal year 2022 consisted of an increase in operating income of $29.0 million, an increase in total other expense of $2.2 million and an increase in income tax provision of $7.8 million.</w:t>
      </w:r>
    </w:p>
    <w:p>
      <w:pPr>
        <w:spacing w:after="0" w:line="16" w:lineRule="exact"/>
        <w:rPr>
          <w:rFonts w:ascii="Arial" w:cs="Arial" w:eastAsia="Arial" w:hAnsi="Arial"/>
          <w:sz w:val="17"/>
          <w:szCs w:val="17"/>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Adjustments to reconcile net income (loss) to net cash used in operating activities:</w:t>
      </w:r>
    </w:p>
    <w:p>
      <w:pPr>
        <w:spacing w:after="0" w:line="90" w:lineRule="exact"/>
        <w:rPr>
          <w:rFonts w:ascii="Arial" w:cs="Arial" w:eastAsia="Arial" w:hAnsi="Arial"/>
          <w:sz w:val="18"/>
          <w:szCs w:val="18"/>
          <w:color w:val="auto"/>
        </w:rPr>
      </w:pPr>
    </w:p>
    <w:p>
      <w:pPr>
        <w:ind w:left="980" w:hanging="324"/>
        <w:spacing w:after="0" w:line="306" w:lineRule="auto"/>
        <w:tabs>
          <w:tab w:leader="none" w:pos="983" w:val="left"/>
        </w:tabs>
        <w:numPr>
          <w:ilvl w:val="1"/>
          <w:numId w:val="31"/>
        </w:numPr>
        <w:rPr>
          <w:rFonts w:ascii="Arial" w:cs="Arial" w:eastAsia="Arial" w:hAnsi="Arial"/>
          <w:sz w:val="17"/>
          <w:szCs w:val="17"/>
          <w:color w:val="auto"/>
        </w:rPr>
      </w:pPr>
      <w:r>
        <w:rPr>
          <w:rFonts w:ascii="Arial" w:cs="Arial" w:eastAsia="Arial" w:hAnsi="Arial"/>
          <w:sz w:val="17"/>
          <w:szCs w:val="17"/>
          <w:color w:val="auto"/>
        </w:rPr>
        <w:t>Adjustments used $18.5 million and provided $5.0 million in the six months ended April 30, 2023 and 2022, respectively, primarily related to depreciation and amortization, gain on disposal of assets, stock compensation expense and deferred income taxes.</w:t>
      </w:r>
    </w:p>
    <w:p>
      <w:pPr>
        <w:spacing w:after="0" w:line="1" w:lineRule="exact"/>
        <w:rPr>
          <w:rFonts w:ascii="Arial" w:cs="Arial" w:eastAsia="Arial" w:hAnsi="Arial"/>
          <w:sz w:val="17"/>
          <w:szCs w:val="17"/>
          <w:color w:val="auto"/>
        </w:rPr>
      </w:pPr>
    </w:p>
    <w:p>
      <w:pPr>
        <w:jc w:val="both"/>
        <w:ind w:left="980" w:hanging="324"/>
        <w:spacing w:after="0" w:line="286" w:lineRule="auto"/>
        <w:tabs>
          <w:tab w:leader="none" w:pos="988" w:val="left"/>
        </w:tabs>
        <w:numPr>
          <w:ilvl w:val="1"/>
          <w:numId w:val="31"/>
        </w:numPr>
        <w:rPr>
          <w:rFonts w:ascii="Arial" w:cs="Arial" w:eastAsia="Arial" w:hAnsi="Arial"/>
          <w:sz w:val="17"/>
          <w:szCs w:val="17"/>
          <w:color w:val="auto"/>
        </w:rPr>
      </w:pPr>
      <w:r>
        <w:rPr>
          <w:rFonts w:ascii="Arial" w:cs="Arial" w:eastAsia="Arial" w:hAnsi="Arial"/>
          <w:sz w:val="17"/>
          <w:szCs w:val="17"/>
          <w:color w:val="auto"/>
        </w:rPr>
        <w:t>Changes in operating assets and liabilities used $13.8 million and $1.1 million of operating cash in the six months ended April 30, 2023 and 2022, respectively, primarily related to accounts receivables/other from related parties, cultural costs, prepaid expenses/other current assets, accounts payable/growers and suppliers payable and accrued liabilities/payables to related parties.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April 30, 2023 and 2022, net cash provided by (used in) investing activities was $95.4 million and $(0.4) million, respectively.</w:t>
      </w:r>
    </w:p>
    <w:p>
      <w:pPr>
        <w:spacing w:after="0" w:line="167" w:lineRule="exact"/>
        <w:rPr>
          <w:sz w:val="20"/>
          <w:szCs w:val="20"/>
          <w:color w:val="auto"/>
        </w:rPr>
      </w:pPr>
    </w:p>
    <w:p>
      <w:pPr>
        <w:jc w:val="both"/>
        <w:ind w:left="340" w:hanging="332"/>
        <w:spacing w:after="0" w:line="263" w:lineRule="auto"/>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$95.4 million of cash provided by investing activities during the six months ended April 30, 2023 was comprised primarily of net proceeds from sales of assets of $98.5 million, net proceeds from the sale of real estate development assets of $2.6 million, partially offset by capital expenditures of $5.4 million, primarily related to orchard and vineyard development.</w:t>
      </w:r>
    </w:p>
    <w:p>
      <w:pPr>
        <w:spacing w:after="0" w:line="48" w:lineRule="exact"/>
        <w:rPr>
          <w:rFonts w:ascii="Arial" w:cs="Arial" w:eastAsia="Arial" w:hAnsi="Arial"/>
          <w:sz w:val="18"/>
          <w:szCs w:val="18"/>
          <w:b w:val="1"/>
          <w:bCs w:val="1"/>
          <w:color w:val="auto"/>
        </w:rPr>
      </w:pPr>
    </w:p>
    <w:p>
      <w:pPr>
        <w:jc w:val="both"/>
        <w:ind w:left="340" w:hanging="332"/>
        <w:spacing w:after="0" w:line="263" w:lineRule="auto"/>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$0.4 million of cash used in investing activities during the six months ended April 30, 2022 was comprised primarily of capital expenditures of $4.1 million primarily related to orchard and vineyard development, partially offset by net proceeds from sales of assets of $1.1 million and collection of note receivable of $2.6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April 30, 2023 and 2022, net cash (used in) provided by financing activities was $(68.0) million and $2.3 million, respectively.</w:t>
      </w:r>
    </w:p>
    <w:p>
      <w:pPr>
        <w:spacing w:after="0" w:line="181" w:lineRule="exact"/>
        <w:rPr>
          <w:sz w:val="20"/>
          <w:szCs w:val="20"/>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$68.0 million of cash used in financing activities during the six months ended April 30, 2023 was comprised primarily of net repayments of long-term debt of $64.8 million and common and preferred stock dividends of $2.9 million.</w:t>
      </w:r>
    </w:p>
    <w:p>
      <w:pPr>
        <w:spacing w:after="0" w:line="21" w:lineRule="exact"/>
        <w:rPr>
          <w:rFonts w:ascii="Arial" w:cs="Arial" w:eastAsia="Arial" w:hAnsi="Arial"/>
          <w:sz w:val="18"/>
          <w:szCs w:val="18"/>
          <w:color w:val="auto"/>
        </w:rPr>
      </w:pPr>
    </w:p>
    <w:p>
      <w:pPr>
        <w:jc w:val="both"/>
        <w:ind w:left="340" w:hanging="332"/>
        <w:spacing w:after="0" w:line="34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$2.3 million of cash provided by financing activities during the six months ended April 30, 2022 was comprised primarily of net borrowings of long-term debt of $6.5 million, partially offset by common and preferred dividends of $2.9 million and the exchange of common stock of $1.1 million.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Affecting 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and Long-Term Debt</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finance our working capital and other liquidity requirements primarily through cash from operations and from our AgWest Farm Credit Facility, which includes the Master Loan Agreement (the "MLA") and Supplements. In addition, we have Banco de Chile term loans and COVID-19 loans. Additional information regarding these loans can be found in Note 10 - Long-Term Debt.</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June 2021, we entered into the MLA with AgWest Farm Credit, formerly known as Farm Credit West, PCA (the "Lender"), together with the Supplements and a Fixed Interest Rate Agreement, which extends the principal repayment to July 1, 2026. The MLA governs the terms of the Supplements.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Supplements provide aggregate borrowing capacity of $115.0 million, comprised of $75.0 million under the Revolving Credit Supplement and $40.0 million under the Non-Revolving Credit Supplement. As of April 30, 2023, our outstanding borrowings under the AgWest Farm Credit Facility were $40.0 million and we had $75.0 million of availability.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31, 2023, the Company sold the Northern Properties which resulted in total net proceeds of $98.4 million. The proceeds were used to pay down all of the Company's domestic debt except the Non-Revolving Credit Supplement.</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specified debt service coverage ratio greater than or equal to 1:25:1.0 on an annual basis. We were in compliance as of October 31, 2022.</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Lender declared an annual cash patronage dividend of 1.25% of average eligible loan balances and the Company received $1.4 million in the second quarter of fiscal year 2023. In the first quarter of fiscal year 2022, the Lender declared an annual patronage dividend of $1.6 million, which we received in the second quarter of fiscal year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holders of the Series B Convertible Preferred Stock (the “Series B Stock”) and the Series B-2 Preferred Stock (the “Series B-2 Preferred Stock”) are entitled to receive cumulative cash dividends. Such preferred dividends paid were $0.3 million in the six months ended April 30, 2023 and 2022.</w:t>
      </w:r>
    </w:p>
    <w:p>
      <w:pPr>
        <w:spacing w:after="0" w:line="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dividends declared in the six months ended April 30, 2023 and 2022 were $0.15 per common share and such dividends paid were $2.7 million in the six months ended April 30, 2023 and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 available in future periods. During the six months ended April 30, 2023, our critical accounting policies and estimates have not changed since the filing of our Annual Report on Form 10-K as of October 31, 2022. Please refer to that filing for a description of our 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material changes in the disclosures discussed in the section entitled “Quantitative and Qualitative Disclosures about Market Risk” in Part II, Item 7A of our Annual Report on Form 10-K for the fiscal year ended October 31, 2022, as filed with the SEC on December 22, 2022.</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Disclosure Controls and Procedures. </w:t>
      </w:r>
      <w:r>
        <w:rPr>
          <w:rFonts w:ascii="Arial" w:cs="Arial" w:eastAsia="Arial" w:hAnsi="Arial"/>
          <w:sz w:val="18"/>
          <w:szCs w:val="18"/>
          <w:color w:val="auto"/>
        </w:rPr>
        <w:t>As of April 30, 2023, we carried out an evaluation, under the supervision and with the participation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Quarterly Report on Form 10-Q.</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significant changes in our internal control over financial reporting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ended April 30, 2023, or, to our knowledge, in other factors that have materially affected, or are reasonably likely to materially affect, our internal control over financial reporting.</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Limitations on the Effectiveness of Controls. </w:t>
      </w:r>
      <w:r>
        <w:rPr>
          <w:rFonts w:ascii="Arial" w:cs="Arial" w:eastAsia="Arial" w:hAnsi="Arial"/>
          <w:sz w:val="16"/>
          <w:szCs w:val="16"/>
          <w:color w:val="auto"/>
        </w:rPr>
        <w:t>Control systems, no matter how well conceived and operated, are designed to provide a reasonable,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17 - Commitments and Contingencies of the Notes to the Consolidated Financial Statements in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disclosures discussed in the section entitled “Risk Factors” in Part I, Item 1A of our Annual Report on Form 10-K for the fiscal year ended October 31, 2022, as filed with the SEC on December 22, 2022.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fiscal year 2023, we purchased shares of our common stock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5"/>
              </w:rPr>
              <w:t>Maximum Number (or</w:t>
            </w: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5"/>
              </w:rPr>
              <w:t>Shares Purchased as</w:t>
            </w:r>
          </w:p>
        </w:tc>
        <w:tc>
          <w:tcPr>
            <w:tcW w:w="186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9"/>
              </w:rPr>
              <w:t>Value) of Shares that</w:t>
            </w: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14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Total Number of</w:t>
            </w:r>
          </w:p>
        </w:tc>
        <w:tc>
          <w:tcPr>
            <w:tcW w:w="160" w:type="dxa"/>
            <w:vAlign w:val="bottom"/>
          </w:tcPr>
          <w:p>
            <w:pPr>
              <w:spacing w:after="0"/>
              <w:rPr>
                <w:sz w:val="15"/>
                <w:szCs w:val="15"/>
                <w:color w:val="auto"/>
              </w:rPr>
            </w:pPr>
          </w:p>
        </w:tc>
        <w:tc>
          <w:tcPr>
            <w:tcW w:w="16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89"/>
              </w:rPr>
              <w:t>Weighted Average</w:t>
            </w:r>
          </w:p>
        </w:tc>
        <w:tc>
          <w:tcPr>
            <w:tcW w:w="18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Part of Publicly</w:t>
            </w:r>
          </w:p>
        </w:tc>
        <w:tc>
          <w:tcPr>
            <w:tcW w:w="18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175"/>
        </w:trPr>
        <w:tc>
          <w:tcPr>
            <w:tcW w:w="4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Announced Plans or</w:t>
            </w:r>
          </w:p>
        </w:tc>
        <w:tc>
          <w:tcPr>
            <w:tcW w:w="1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39"/>
        </w:trPr>
        <w:tc>
          <w:tcPr>
            <w:tcW w:w="428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Purchased(1)</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Price Paid per Share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1, 2023 - February 28, 2023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March 1, 2023 - March 31, 2023</w:t>
            </w:r>
          </w:p>
        </w:tc>
        <w:tc>
          <w:tcPr>
            <w:tcW w:w="1480" w:type="dxa"/>
            <w:vAlign w:val="bottom"/>
          </w:tcPr>
          <w:p>
            <w:pPr>
              <w:jc w:val="right"/>
              <w:spacing w:after="0"/>
              <w:rPr>
                <w:sz w:val="20"/>
                <w:szCs w:val="20"/>
                <w:color w:val="auto"/>
              </w:rPr>
            </w:pPr>
            <w:r>
              <w:rPr>
                <w:rFonts w:ascii="Arial" w:cs="Arial" w:eastAsia="Arial" w:hAnsi="Arial"/>
                <w:sz w:val="18"/>
                <w:szCs w:val="18"/>
                <w:color w:val="auto"/>
              </w:rPr>
              <w:t>1,594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16.03</w:t>
            </w:r>
          </w:p>
        </w:tc>
        <w:tc>
          <w:tcPr>
            <w:tcW w:w="1860" w:type="dxa"/>
            <w:vAlign w:val="bottom"/>
          </w:tcPr>
          <w:p>
            <w:pPr>
              <w:ind w:left="1620"/>
              <w:spacing w:after="0"/>
              <w:rPr>
                <w:sz w:val="20"/>
                <w:szCs w:val="20"/>
                <w:color w:val="auto"/>
              </w:rPr>
            </w:pPr>
            <w:r>
              <w:rPr>
                <w:rFonts w:ascii="Arial" w:cs="Arial" w:eastAsia="Arial" w:hAnsi="Arial"/>
                <w:sz w:val="18"/>
                <w:szCs w:val="18"/>
                <w:color w:val="auto"/>
              </w:rPr>
              <w:t>—</w:t>
            </w:r>
          </w:p>
        </w:tc>
        <w:tc>
          <w:tcPr>
            <w:tcW w:w="1860" w:type="dxa"/>
            <w:vAlign w:val="bottom"/>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 April 30, 2023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1,594</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6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8"/>
                <w:szCs w:val="18"/>
                <w:b w:val="1"/>
                <w:bCs w:val="1"/>
                <w:color w:val="auto"/>
              </w:rPr>
              <w:t>—</w:t>
            </w:r>
          </w:p>
        </w:tc>
        <w:tc>
          <w:tcPr>
            <w:tcW w:w="1860" w:type="dxa"/>
            <w:vAlign w:val="bottom"/>
            <w:tcBorders>
              <w:top w:val="single" w:sz="8" w:color="auto"/>
              <w:bottom w:val="single" w:sz="8" w:color="auto"/>
            </w:tcBorders>
          </w:tcPr>
          <w:p>
            <w:pPr>
              <w:ind w:left="16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8"/>
        <w:spacing w:after="0" w:line="277" w:lineRule="auto"/>
        <w:tabs>
          <w:tab w:leader="none" w:pos="2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Shares were acquired from an employee in accordance with our stock-based compensation plan as a result of share withholdings to pay income tax related to the vesting and distribution of a restricted stock award.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b w:val="1"/>
                <w:bCs w:val="1"/>
                <w:i w:val="1"/>
                <w:iCs w:val="1"/>
                <w:color w:val="auto"/>
                <w:w w:val="90"/>
              </w:rPr>
              <w:t>Item 6. Exhibits</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Exhibit</w:t>
            </w:r>
          </w:p>
        </w:tc>
        <w:tc>
          <w:tcPr>
            <w:tcW w:w="1002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39"/>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10020" w:type="dxa"/>
            <w:vAlign w:val="bottom"/>
            <w:tcBorders>
              <w:bottom w:val="single" w:sz="8" w:color="auto"/>
            </w:tcBorders>
            <w:gridSpan w:val="10"/>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3.1</w:t>
            </w:r>
          </w:p>
        </w:tc>
        <w:tc>
          <w:tcPr>
            <w:tcW w:w="10020" w:type="dxa"/>
            <w:vAlign w:val="bottom"/>
            <w:gridSpan w:val="10"/>
          </w:tcPr>
          <w:p>
            <w:pPr>
              <w:spacing w:after="0" w:line="187"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Restated Certificate of Incorporation of Limoneira Company, dated July 5, 1990 (Incorporated by reference to Exhibit 3.1 to the</w:t>
              </w:r>
            </w:hyperlink>
          </w:p>
        </w:tc>
        <w:tc>
          <w:tcPr>
            <w:tcW w:w="0" w:type="dxa"/>
            <w:vAlign w:val="bottom"/>
          </w:tcPr>
          <w:p>
            <w:pPr>
              <w:spacing w:after="0"/>
              <w:rPr>
                <w:sz w:val="1"/>
                <w:szCs w:val="1"/>
                <w:color w:val="auto"/>
              </w:rPr>
            </w:pPr>
          </w:p>
        </w:tc>
      </w:tr>
      <w:tr>
        <w:trPr>
          <w:trHeight w:val="155"/>
        </w:trPr>
        <w:tc>
          <w:tcPr>
            <w:tcW w:w="1220" w:type="dxa"/>
            <w:vAlign w:val="bottom"/>
            <w:vMerge w:val="continue"/>
          </w:tcPr>
          <w:p>
            <w:pPr>
              <w:spacing w:after="0"/>
              <w:rPr>
                <w:sz w:val="13"/>
                <w:szCs w:val="13"/>
                <w:color w:val="auto"/>
              </w:rPr>
            </w:pPr>
          </w:p>
        </w:tc>
        <w:tc>
          <w:tcPr>
            <w:tcW w:w="93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6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4"/>
                <w:szCs w:val="24"/>
                <w:color w:val="auto"/>
              </w:rPr>
            </w:pPr>
          </w:p>
        </w:tc>
        <w:tc>
          <w:tcPr>
            <w:tcW w:w="10020" w:type="dxa"/>
            <w:vAlign w:val="bottom"/>
            <w:gridSpan w:val="10"/>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Agreement of Merger Between Ronald Michaelis Ranches, Inc. and Limoneira Company, dated June 24, 1997 (Incorporated by reference</w:t>
              </w:r>
            </w:hyperlink>
          </w:p>
        </w:tc>
        <w:tc>
          <w:tcPr>
            <w:tcW w:w="0" w:type="dxa"/>
            <w:vAlign w:val="bottom"/>
          </w:tcPr>
          <w:p>
            <w:pPr>
              <w:spacing w:after="0"/>
              <w:rPr>
                <w:sz w:val="1"/>
                <w:szCs w:val="1"/>
                <w:color w:val="auto"/>
              </w:rPr>
            </w:pPr>
          </w:p>
        </w:tc>
      </w:tr>
      <w:tr>
        <w:trPr>
          <w:trHeight w:val="156"/>
        </w:trPr>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00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to Exhibit 3.6 to the Company’s Registration Statement on Form 10, and amendments thereto, declared effective April 13, 2010 (File No.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vMerge w:val="continue"/>
          </w:tcPr>
          <w:p>
            <w:pPr>
              <w:spacing w:after="0"/>
              <w:rPr>
                <w:sz w:val="14"/>
                <w:szCs w:val="14"/>
                <w:color w:val="auto"/>
              </w:rPr>
            </w:pPr>
          </w:p>
        </w:tc>
        <w:tc>
          <w:tcPr>
            <w:tcW w:w="900" w:type="dxa"/>
            <w:vAlign w:val="bottom"/>
            <w:tcBorders>
              <w:bottom w:val="single" w:sz="8" w:color="0000FF"/>
            </w:tcBorders>
          </w:tcPr>
          <w:p>
            <w:pPr>
              <w:spacing w:after="0" w:line="169"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000-53885))</w:t>
              </w:r>
            </w:hyperlink>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4"/>
                <w:szCs w:val="24"/>
                <w:color w:val="auto"/>
              </w:rPr>
            </w:pPr>
          </w:p>
        </w:tc>
        <w:tc>
          <w:tcPr>
            <w:tcW w:w="10020" w:type="dxa"/>
            <w:vAlign w:val="bottom"/>
            <w:gridSpan w:val="10"/>
          </w:tcPr>
          <w:p>
            <w:pPr>
              <w:spacing w:after="0"/>
              <w:rPr>
                <w:rFonts w:ascii="Arial" w:cs="Arial" w:eastAsia="Arial" w:hAnsi="Arial"/>
                <w:sz w:val="18"/>
                <w:szCs w:val="18"/>
                <w:color w:val="0000FF"/>
                <w:w w:val="96"/>
              </w:rPr>
            </w:pPr>
            <w:hyperlink r:id="rId65">
              <w:r>
                <w:rPr>
                  <w:rFonts w:ascii="Arial" w:cs="Arial" w:eastAsia="Arial" w:hAnsi="Arial"/>
                  <w:sz w:val="18"/>
                  <w:szCs w:val="18"/>
                  <w:color w:val="0000FF"/>
                  <w:w w:val="96"/>
                </w:rPr>
                <w:t>Certificate of Amendment of Certificate of Incorporation of Limoneira Company, dated April 22, 2003 (Incorporated by reference to</w:t>
              </w:r>
            </w:hyperlink>
          </w:p>
        </w:tc>
        <w:tc>
          <w:tcPr>
            <w:tcW w:w="0" w:type="dxa"/>
            <w:vAlign w:val="bottom"/>
          </w:tcPr>
          <w:p>
            <w:pPr>
              <w:spacing w:after="0"/>
              <w:rPr>
                <w:sz w:val="1"/>
                <w:szCs w:val="1"/>
                <w:color w:val="auto"/>
              </w:rPr>
            </w:pPr>
          </w:p>
        </w:tc>
      </w:tr>
      <w:tr>
        <w:trPr>
          <w:trHeight w:val="156"/>
        </w:trPr>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3.3</w:t>
            </w:r>
          </w:p>
        </w:tc>
        <w:tc>
          <w:tcPr>
            <w:tcW w:w="100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3"/>
              </w:rPr>
            </w:pPr>
            <w:hyperlink r:id="rId65">
              <w:r>
                <w:rPr>
                  <w:rFonts w:ascii="Arial" w:cs="Arial" w:eastAsia="Arial" w:hAnsi="Arial"/>
                  <w:sz w:val="18"/>
                  <w:szCs w:val="18"/>
                  <w:color w:val="0000FF"/>
                  <w:w w:val="93"/>
                </w:rPr>
                <w:t>Exhibit 3.7 to the Company’s Registration Statement on Form 10, and amendments thereto, declared effective April 13, 2010 (File No.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90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000-53885))</w:t>
              </w:r>
            </w:hyperlink>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4"/>
                <w:szCs w:val="24"/>
                <w:color w:val="auto"/>
              </w:rPr>
            </w:pPr>
          </w:p>
        </w:tc>
        <w:tc>
          <w:tcPr>
            <w:tcW w:w="10020" w:type="dxa"/>
            <w:vAlign w:val="bottom"/>
            <w:gridSpan w:val="10"/>
          </w:tcPr>
          <w:p>
            <w:pPr>
              <w:spacing w:after="0"/>
              <w:rPr>
                <w:rFonts w:ascii="Arial" w:cs="Arial" w:eastAsia="Arial" w:hAnsi="Arial"/>
                <w:sz w:val="18"/>
                <w:szCs w:val="18"/>
                <w:color w:val="0000FF"/>
                <w:w w:val="95"/>
              </w:rPr>
            </w:pPr>
            <w:hyperlink r:id="rId66">
              <w:r>
                <w:rPr>
                  <w:rFonts w:ascii="Arial" w:cs="Arial" w:eastAsia="Arial" w:hAnsi="Arial"/>
                  <w:sz w:val="18"/>
                  <w:szCs w:val="18"/>
                  <w:color w:val="0000FF"/>
                  <w:w w:val="95"/>
                </w:rPr>
                <w:t>Certificate of Amendment of Certificate of Incorporation of Limoneira Company, dated March 24, 2010 (Incorporated by reference to</w:t>
              </w:r>
            </w:hyperlink>
          </w:p>
        </w:tc>
        <w:tc>
          <w:tcPr>
            <w:tcW w:w="0" w:type="dxa"/>
            <w:vAlign w:val="bottom"/>
          </w:tcPr>
          <w:p>
            <w:pPr>
              <w:spacing w:after="0"/>
              <w:rPr>
                <w:sz w:val="1"/>
                <w:szCs w:val="1"/>
                <w:color w:val="auto"/>
              </w:rPr>
            </w:pPr>
          </w:p>
        </w:tc>
      </w:tr>
      <w:tr>
        <w:trPr>
          <w:trHeight w:val="169"/>
        </w:trPr>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3.4</w:t>
            </w:r>
          </w:p>
        </w:tc>
        <w:tc>
          <w:tcPr>
            <w:tcW w:w="1000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Exhibit 3.9 to the Company’s Registration Statement on Form 10, and amendments thereto, declared effective April 13, 2010 (File No.</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900" w:type="dxa"/>
            <w:vAlign w:val="bottom"/>
            <w:tcBorders>
              <w:bottom w:val="single" w:sz="8" w:color="0000FF"/>
            </w:tcBorders>
          </w:tcPr>
          <w:p>
            <w:pPr>
              <w:spacing w:after="0" w:line="156"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000-53885))</w:t>
              </w:r>
            </w:hyperlink>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3.5</w:t>
            </w:r>
          </w:p>
        </w:tc>
        <w:tc>
          <w:tcPr>
            <w:tcW w:w="10020" w:type="dxa"/>
            <w:vAlign w:val="bottom"/>
            <w:gridSpan w:val="10"/>
          </w:tcPr>
          <w:p>
            <w:pPr>
              <w:spacing w:after="0"/>
              <w:rPr>
                <w:rFonts w:ascii="Arial" w:cs="Arial" w:eastAsia="Arial" w:hAnsi="Arial"/>
                <w:sz w:val="18"/>
                <w:szCs w:val="18"/>
                <w:color w:val="0000FF"/>
                <w:w w:val="95"/>
              </w:rPr>
            </w:pPr>
            <w:hyperlink r:id="rId67">
              <w:r>
                <w:rPr>
                  <w:rFonts w:ascii="Arial" w:cs="Arial" w:eastAsia="Arial" w:hAnsi="Arial"/>
                  <w:sz w:val="18"/>
                  <w:szCs w:val="18"/>
                  <w:color w:val="0000FF"/>
                  <w:w w:val="95"/>
                </w:rPr>
                <w:t>Certificate of Amendment of Certificate of Incorporation of Limoneira Company, dated March 29, 2017 (Incorporated by reference to</w:t>
              </w:r>
            </w:hyperlink>
          </w:p>
        </w:tc>
        <w:tc>
          <w:tcPr>
            <w:tcW w:w="0" w:type="dxa"/>
            <w:vAlign w:val="bottom"/>
          </w:tcPr>
          <w:p>
            <w:pPr>
              <w:spacing w:after="0"/>
              <w:rPr>
                <w:sz w:val="1"/>
                <w:szCs w:val="1"/>
                <w:color w:val="auto"/>
              </w:rPr>
            </w:pPr>
          </w:p>
        </w:tc>
      </w:tr>
      <w:tr>
        <w:trPr>
          <w:trHeight w:val="155"/>
        </w:trPr>
        <w:tc>
          <w:tcPr>
            <w:tcW w:w="1220" w:type="dxa"/>
            <w:vAlign w:val="bottom"/>
            <w:vMerge w:val="continue"/>
          </w:tcPr>
          <w:p>
            <w:pPr>
              <w:spacing w:after="0"/>
              <w:rPr>
                <w:sz w:val="13"/>
                <w:szCs w:val="13"/>
                <w:color w:val="auto"/>
              </w:rPr>
            </w:pPr>
          </w:p>
        </w:tc>
        <w:tc>
          <w:tcPr>
            <w:tcW w:w="100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Exhibit 3.1 to the Company’s Current Report on Form 8-K, filed March 31, 2017 (File No. 001-34755))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3.6</w:t>
            </w:r>
          </w:p>
        </w:tc>
        <w:tc>
          <w:tcPr>
            <w:tcW w:w="10020" w:type="dxa"/>
            <w:vAlign w:val="bottom"/>
            <w:gridSpan w:val="10"/>
          </w:tcPr>
          <w:p>
            <w:pPr>
              <w:spacing w:after="0"/>
              <w:rPr>
                <w:rFonts w:ascii="Arial" w:cs="Arial" w:eastAsia="Arial" w:hAnsi="Arial"/>
                <w:sz w:val="18"/>
                <w:szCs w:val="18"/>
                <w:color w:val="0000FF"/>
                <w:w w:val="94"/>
              </w:rPr>
            </w:pPr>
            <w:hyperlink r:id="rId68">
              <w:r>
                <w:rPr>
                  <w:rFonts w:ascii="Arial" w:cs="Arial" w:eastAsia="Arial" w:hAnsi="Arial"/>
                  <w:sz w:val="18"/>
                  <w:szCs w:val="18"/>
                  <w:color w:val="0000FF"/>
                  <w:w w:val="94"/>
                </w:rPr>
                <w:t>Amended and Restated Bylaws of Limoneira Company (Incorporated by reference to Exhibit 3.1 to the Company's Current Report on</w:t>
              </w:r>
            </w:hyperlink>
          </w:p>
        </w:tc>
        <w:tc>
          <w:tcPr>
            <w:tcW w:w="0" w:type="dxa"/>
            <w:vAlign w:val="bottom"/>
          </w:tcPr>
          <w:p>
            <w:pPr>
              <w:spacing w:after="0"/>
              <w:rPr>
                <w:sz w:val="1"/>
                <w:szCs w:val="1"/>
                <w:color w:val="auto"/>
              </w:rPr>
            </w:pPr>
          </w:p>
        </w:tc>
      </w:tr>
      <w:tr>
        <w:trPr>
          <w:trHeight w:val="169"/>
        </w:trPr>
        <w:tc>
          <w:tcPr>
            <w:tcW w:w="1220" w:type="dxa"/>
            <w:vAlign w:val="bottom"/>
            <w:vMerge w:val="continue"/>
          </w:tcPr>
          <w:p>
            <w:pPr>
              <w:spacing w:after="0"/>
              <w:rPr>
                <w:sz w:val="14"/>
                <w:szCs w:val="14"/>
                <w:color w:val="auto"/>
              </w:rPr>
            </w:pPr>
          </w:p>
        </w:tc>
        <w:tc>
          <w:tcPr>
            <w:tcW w:w="1000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r:id="rId68">
              <w:r>
                <w:rPr>
                  <w:rFonts w:ascii="Arial" w:cs="Arial" w:eastAsia="Arial" w:hAnsi="Arial"/>
                  <w:sz w:val="18"/>
                  <w:szCs w:val="18"/>
                  <w:color w:val="0000FF"/>
                </w:rPr>
                <w:t>Form 8-K, filed October 27, 2021 (File No. 001-34755))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tcPr>
          <w:p>
            <w:pPr>
              <w:spacing w:after="0"/>
              <w:rPr>
                <w:sz w:val="24"/>
                <w:szCs w:val="24"/>
                <w:color w:val="auto"/>
              </w:rPr>
            </w:pPr>
          </w:p>
        </w:tc>
        <w:tc>
          <w:tcPr>
            <w:tcW w:w="10020" w:type="dxa"/>
            <w:vAlign w:val="bottom"/>
            <w:gridSpan w:val="10"/>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Rights Agreement dated December 20, 2006 between Limoneira Company and The Bank of New York, as Rights Agent (Incorporated by</w:t>
              </w:r>
            </w:hyperlink>
          </w:p>
        </w:tc>
        <w:tc>
          <w:tcPr>
            <w:tcW w:w="0" w:type="dxa"/>
            <w:vAlign w:val="bottom"/>
          </w:tcPr>
          <w:p>
            <w:pPr>
              <w:spacing w:after="0"/>
              <w:rPr>
                <w:sz w:val="1"/>
                <w:szCs w:val="1"/>
                <w:color w:val="auto"/>
              </w:rPr>
            </w:pPr>
          </w:p>
        </w:tc>
      </w:tr>
      <w:tr>
        <w:trPr>
          <w:trHeight w:val="156"/>
        </w:trPr>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100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reference to Exhibit 4.2 to the Company’s Registration Statement on Form 10, and amendments thereto, declared effective April 13, 2010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10000" w:type="dxa"/>
            <w:vAlign w:val="bottom"/>
            <w:gridSpan w:val="9"/>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(File No. 000-53885))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tcPr>
          <w:p>
            <w:pPr>
              <w:spacing w:after="0"/>
              <w:rPr>
                <w:sz w:val="24"/>
                <w:szCs w:val="24"/>
                <w:color w:val="auto"/>
              </w:rPr>
            </w:pPr>
          </w:p>
        </w:tc>
        <w:tc>
          <w:tcPr>
            <w:tcW w:w="10020" w:type="dxa"/>
            <w:vAlign w:val="bottom"/>
            <w:gridSpan w:val="10"/>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 xml:space="preserve">Certificate of Designation, Preferences and Rights of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 xml:space="preserve">8.75 Voting Preferred Stock,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100.00 Par Value, Series B of Limoneira Company,</w:t>
              </w:r>
            </w:hyperlink>
          </w:p>
        </w:tc>
        <w:tc>
          <w:tcPr>
            <w:tcW w:w="0" w:type="dxa"/>
            <w:vAlign w:val="bottom"/>
          </w:tcPr>
          <w:p>
            <w:pPr>
              <w:spacing w:after="0"/>
              <w:rPr>
                <w:sz w:val="1"/>
                <w:szCs w:val="1"/>
                <w:color w:val="auto"/>
              </w:rPr>
            </w:pPr>
          </w:p>
        </w:tc>
      </w:tr>
      <w:tr>
        <w:trPr>
          <w:trHeight w:val="155"/>
        </w:trPr>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100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dated May 21, 1997 (Incorporated by reference to Exhibit 3.4 to the Company’s Registration Statement on Form 10, and amendments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vMerge w:val="continue"/>
          </w:tcPr>
          <w:p>
            <w:pPr>
              <w:spacing w:after="0"/>
              <w:rPr>
                <w:sz w:val="14"/>
                <w:szCs w:val="14"/>
                <w:color w:val="auto"/>
              </w:rPr>
            </w:pPr>
          </w:p>
        </w:tc>
        <w:tc>
          <w:tcPr>
            <w:tcW w:w="10000" w:type="dxa"/>
            <w:vAlign w:val="bottom"/>
            <w:gridSpan w:val="9"/>
          </w:tcPr>
          <w:p>
            <w:pPr>
              <w:spacing w:after="0" w:line="169" w:lineRule="exact"/>
              <w:rPr>
                <w:rFonts w:ascii="Arial" w:cs="Arial" w:eastAsia="Arial" w:hAnsi="Arial"/>
                <w:sz w:val="18"/>
                <w:szCs w:val="18"/>
                <w:color w:val="0000FF"/>
              </w:rPr>
            </w:pPr>
            <w:hyperlink r:id="rId70">
              <w:r>
                <w:rPr>
                  <w:rFonts w:ascii="Arial" w:cs="Arial" w:eastAsia="Arial" w:hAnsi="Arial"/>
                  <w:sz w:val="18"/>
                  <w:szCs w:val="18"/>
                  <w:color w:val="0000FF"/>
                </w:rPr>
                <w:t>thereto, declared effective April 13, 2010 (File No. 000-53885))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tcPr>
          <w:p>
            <w:pPr>
              <w:spacing w:after="0"/>
              <w:rPr>
                <w:sz w:val="24"/>
                <w:szCs w:val="24"/>
                <w:color w:val="auto"/>
              </w:rPr>
            </w:pPr>
          </w:p>
        </w:tc>
        <w:tc>
          <w:tcPr>
            <w:tcW w:w="10020" w:type="dxa"/>
            <w:vAlign w:val="bottom"/>
            <w:gridSpan w:val="10"/>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 xml:space="preserve">Amended Certificate of Designation, Preferences and Rights of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 xml:space="preserve">8.75 Voting Preferred Stock,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100.00 Par Value, Series B of Limoneira</w:t>
              </w:r>
            </w:hyperlink>
          </w:p>
        </w:tc>
        <w:tc>
          <w:tcPr>
            <w:tcW w:w="0" w:type="dxa"/>
            <w:vAlign w:val="bottom"/>
          </w:tcPr>
          <w:p>
            <w:pPr>
              <w:spacing w:after="0"/>
              <w:rPr>
                <w:sz w:val="1"/>
                <w:szCs w:val="1"/>
                <w:color w:val="auto"/>
              </w:rPr>
            </w:pPr>
          </w:p>
        </w:tc>
      </w:tr>
      <w:tr>
        <w:trPr>
          <w:trHeight w:val="155"/>
        </w:trPr>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100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5"/>
              </w:rPr>
            </w:pPr>
            <w:hyperlink r:id="rId71">
              <w:r>
                <w:rPr>
                  <w:rFonts w:ascii="Arial" w:cs="Arial" w:eastAsia="Arial" w:hAnsi="Arial"/>
                  <w:sz w:val="18"/>
                  <w:szCs w:val="18"/>
                  <w:color w:val="0000FF"/>
                  <w:w w:val="95"/>
                </w:rPr>
                <w:t>Company, dated May 21, 1997 (Incorporated by reference to Exhibit 3.5 to the Company’s Registration Statement on Form 10,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vMerge w:val="continue"/>
          </w:tcPr>
          <w:p>
            <w:pPr>
              <w:spacing w:after="0"/>
              <w:rPr>
                <w:sz w:val="14"/>
                <w:szCs w:val="14"/>
                <w:color w:val="auto"/>
              </w:rPr>
            </w:pPr>
          </w:p>
        </w:tc>
        <w:tc>
          <w:tcPr>
            <w:tcW w:w="10000" w:type="dxa"/>
            <w:vAlign w:val="bottom"/>
            <w:gridSpan w:val="9"/>
          </w:tcPr>
          <w:p>
            <w:pPr>
              <w:spacing w:after="0" w:line="169" w:lineRule="exact"/>
              <w:rPr>
                <w:rFonts w:ascii="Arial" w:cs="Arial" w:eastAsia="Arial" w:hAnsi="Arial"/>
                <w:sz w:val="18"/>
                <w:szCs w:val="18"/>
                <w:color w:val="0000FF"/>
              </w:rPr>
            </w:pPr>
            <w:hyperlink r:id="rId71">
              <w:r>
                <w:rPr>
                  <w:rFonts w:ascii="Arial" w:cs="Arial" w:eastAsia="Arial" w:hAnsi="Arial"/>
                  <w:sz w:val="18"/>
                  <w:szCs w:val="18"/>
                  <w:color w:val="0000FF"/>
                </w:rPr>
                <w:t>amendments thereto, declared effective April 13, 2010 (File No. 000-53885))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tcPr>
          <w:p>
            <w:pPr>
              <w:spacing w:after="0"/>
              <w:rPr>
                <w:sz w:val="24"/>
                <w:szCs w:val="24"/>
                <w:color w:val="auto"/>
              </w:rPr>
            </w:pPr>
          </w:p>
        </w:tc>
        <w:tc>
          <w:tcPr>
            <w:tcW w:w="10020" w:type="dxa"/>
            <w:vAlign w:val="bottom"/>
            <w:gridSpan w:val="10"/>
          </w:tcPr>
          <w:p>
            <w:pPr>
              <w:spacing w:after="0"/>
              <w:rPr>
                <w:rFonts w:ascii="Arial" w:cs="Arial" w:eastAsia="Arial" w:hAnsi="Arial"/>
                <w:sz w:val="18"/>
                <w:szCs w:val="18"/>
                <w:color w:val="0000FF"/>
                <w:w w:val="98"/>
              </w:rPr>
            </w:pPr>
            <w:hyperlink r:id="rId72">
              <w:r>
                <w:rPr>
                  <w:rFonts w:ascii="Arial" w:cs="Arial" w:eastAsia="Arial" w:hAnsi="Arial"/>
                  <w:sz w:val="18"/>
                  <w:szCs w:val="18"/>
                  <w:color w:val="0000FF"/>
                  <w:w w:val="98"/>
                </w:rPr>
                <w:t>Certificate of Designation, Preferences and Rights of Series A Junior Participating Preferred Stock, $.01 Par Value, of Limoneira</w:t>
              </w:r>
            </w:hyperlink>
          </w:p>
        </w:tc>
        <w:tc>
          <w:tcPr>
            <w:tcW w:w="0" w:type="dxa"/>
            <w:vAlign w:val="bottom"/>
          </w:tcPr>
          <w:p>
            <w:pPr>
              <w:spacing w:after="0"/>
              <w:rPr>
                <w:sz w:val="1"/>
                <w:szCs w:val="1"/>
                <w:color w:val="auto"/>
              </w:rPr>
            </w:pPr>
          </w:p>
        </w:tc>
      </w:tr>
      <w:tr>
        <w:trPr>
          <w:trHeight w:val="155"/>
        </w:trPr>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4.4</w:t>
            </w:r>
          </w:p>
        </w:tc>
        <w:tc>
          <w:tcPr>
            <w:tcW w:w="100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Company, dated November 21, 2006 (Incorporated by reference to Exhibit 3.8 to the Company’s Registration Statement on Form 10,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vMerge w:val="continue"/>
          </w:tcPr>
          <w:p>
            <w:pPr>
              <w:spacing w:after="0"/>
              <w:rPr>
                <w:sz w:val="13"/>
                <w:szCs w:val="13"/>
                <w:color w:val="auto"/>
              </w:rPr>
            </w:pPr>
          </w:p>
        </w:tc>
        <w:tc>
          <w:tcPr>
            <w:tcW w:w="10000" w:type="dxa"/>
            <w:vAlign w:val="bottom"/>
            <w:gridSpan w:val="9"/>
          </w:tcPr>
          <w:p>
            <w:pPr>
              <w:spacing w:after="0" w:line="156" w:lineRule="exact"/>
              <w:rPr>
                <w:rFonts w:ascii="Arial" w:cs="Arial" w:eastAsia="Arial" w:hAnsi="Arial"/>
                <w:sz w:val="18"/>
                <w:szCs w:val="18"/>
                <w:color w:val="0000FF"/>
              </w:rPr>
            </w:pPr>
            <w:hyperlink r:id="rId72">
              <w:r>
                <w:rPr>
                  <w:rFonts w:ascii="Arial" w:cs="Arial" w:eastAsia="Arial" w:hAnsi="Arial"/>
                  <w:sz w:val="18"/>
                  <w:szCs w:val="18"/>
                  <w:color w:val="0000FF"/>
                </w:rPr>
                <w:t>amendments thereto, declared effective April 13, 2010 (File No. 000-53885))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tcPr>
          <w:p>
            <w:pPr>
              <w:spacing w:after="0"/>
              <w:rPr>
                <w:sz w:val="24"/>
                <w:szCs w:val="24"/>
                <w:color w:val="auto"/>
              </w:rPr>
            </w:pPr>
          </w:p>
        </w:tc>
        <w:tc>
          <w:tcPr>
            <w:tcW w:w="10020" w:type="dxa"/>
            <w:vAlign w:val="bottom"/>
            <w:gridSpan w:val="10"/>
          </w:tcPr>
          <w:p>
            <w:pPr>
              <w:spacing w:after="0"/>
              <w:rPr>
                <w:rFonts w:ascii="Arial" w:cs="Arial" w:eastAsia="Arial" w:hAnsi="Arial"/>
                <w:sz w:val="18"/>
                <w:szCs w:val="18"/>
                <w:color w:val="0000FF"/>
                <w:w w:val="92"/>
              </w:rPr>
            </w:pPr>
            <w:hyperlink r:id="rId73">
              <w:r>
                <w:rPr>
                  <w:rFonts w:ascii="Arial" w:cs="Arial" w:eastAsia="Arial" w:hAnsi="Arial"/>
                  <w:sz w:val="18"/>
                  <w:szCs w:val="18"/>
                  <w:color w:val="0000FF"/>
                  <w:w w:val="92"/>
                </w:rPr>
                <w:t xml:space="preserve">Certificate of Designation, Preferences and Rights of 4% Voting Preferred Stock,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100.00 Par Value, Series B-2 of Limoneira Company,</w:t>
              </w:r>
            </w:hyperlink>
          </w:p>
        </w:tc>
        <w:tc>
          <w:tcPr>
            <w:tcW w:w="0" w:type="dxa"/>
            <w:vAlign w:val="bottom"/>
          </w:tcPr>
          <w:p>
            <w:pPr>
              <w:spacing w:after="0"/>
              <w:rPr>
                <w:sz w:val="1"/>
                <w:szCs w:val="1"/>
                <w:color w:val="auto"/>
              </w:rPr>
            </w:pPr>
          </w:p>
        </w:tc>
      </w:tr>
      <w:tr>
        <w:trPr>
          <w:trHeight w:val="169"/>
        </w:trPr>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4.5</w:t>
            </w:r>
          </w:p>
        </w:tc>
        <w:tc>
          <w:tcPr>
            <w:tcW w:w="1000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dated March 20, 2014 (Incorporated by reference to Exhibit 3.1 to the Company’s Current Report on Form 8-K, filed March 24, 2014 (File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20" w:type="dxa"/>
            <w:vAlign w:val="bottom"/>
            <w:vMerge w:val="continue"/>
          </w:tcPr>
          <w:p>
            <w:pPr>
              <w:spacing w:after="0"/>
              <w:rPr>
                <w:sz w:val="13"/>
                <w:szCs w:val="13"/>
                <w:color w:val="auto"/>
              </w:rPr>
            </w:pPr>
          </w:p>
        </w:tc>
        <w:tc>
          <w:tcPr>
            <w:tcW w:w="1200" w:type="dxa"/>
            <w:vAlign w:val="bottom"/>
            <w:tcBorders>
              <w:bottom w:val="single" w:sz="8" w:color="0000FF"/>
            </w:tcBorders>
            <w:gridSpan w:val="2"/>
          </w:tcPr>
          <w:p>
            <w:pPr>
              <w:spacing w:after="0" w:line="156" w:lineRule="exact"/>
              <w:rPr>
                <w:rFonts w:ascii="Arial" w:cs="Arial" w:eastAsia="Arial" w:hAnsi="Arial"/>
                <w:sz w:val="18"/>
                <w:szCs w:val="18"/>
                <w:color w:val="0000FF"/>
                <w:w w:val="89"/>
              </w:rPr>
            </w:pPr>
            <w:hyperlink r:id="rId73">
              <w:r>
                <w:rPr>
                  <w:rFonts w:ascii="Arial" w:cs="Arial" w:eastAsia="Arial" w:hAnsi="Arial"/>
                  <w:sz w:val="18"/>
                  <w:szCs w:val="18"/>
                  <w:color w:val="0000FF"/>
                  <w:w w:val="89"/>
                </w:rPr>
                <w:t>No. 001-34755))</w:t>
              </w:r>
            </w:hyperlink>
          </w:p>
        </w:tc>
        <w:tc>
          <w:tcPr>
            <w:tcW w:w="88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5"/>
        </w:trPr>
        <w:tc>
          <w:tcPr>
            <w:tcW w:w="1220" w:type="dxa"/>
            <w:vAlign w:val="bottom"/>
          </w:tcPr>
          <w:p>
            <w:pPr>
              <w:spacing w:after="0"/>
              <w:rPr>
                <w:sz w:val="24"/>
                <w:szCs w:val="24"/>
                <w:color w:val="auto"/>
              </w:rPr>
            </w:pPr>
          </w:p>
        </w:tc>
        <w:tc>
          <w:tcPr>
            <w:tcW w:w="4580" w:type="dxa"/>
            <w:vAlign w:val="bottom"/>
            <w:gridSpan w:val="5"/>
          </w:tcPr>
          <w:p>
            <w:pPr>
              <w:ind w:left="4320"/>
              <w:spacing w:after="0"/>
              <w:rPr>
                <w:sz w:val="20"/>
                <w:szCs w:val="20"/>
                <w:color w:val="auto"/>
              </w:rPr>
            </w:pPr>
            <w:r>
              <w:rPr>
                <w:rFonts w:ascii="Arial" w:cs="Arial" w:eastAsia="Arial" w:hAnsi="Arial"/>
                <w:sz w:val="18"/>
                <w:szCs w:val="18"/>
                <w:color w:val="auto"/>
              </w:rPr>
              <w:t>44</w:t>
            </w:r>
          </w:p>
        </w:tc>
        <w:tc>
          <w:tcPr>
            <w:tcW w:w="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2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020" w:type="dxa"/>
            <w:vAlign w:val="bottom"/>
            <w:gridSpan w:val="10"/>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17"/>
                <w:szCs w:val="17"/>
                <w:color w:val="auto"/>
              </w:rPr>
            </w:pPr>
          </w:p>
        </w:tc>
        <w:tc>
          <w:tcPr>
            <w:tcW w:w="10020" w:type="dxa"/>
            <w:vAlign w:val="bottom"/>
            <w:gridSpan w:val="10"/>
          </w:tcPr>
          <w:p>
            <w:pPr>
              <w:spacing w:after="0" w:line="198" w:lineRule="exact"/>
              <w:rPr>
                <w:rFonts w:ascii="Arial" w:cs="Arial" w:eastAsia="Arial" w:hAnsi="Arial"/>
                <w:sz w:val="18"/>
                <w:szCs w:val="18"/>
                <w:color w:val="0000FF"/>
                <w:w w:val="93"/>
              </w:rPr>
            </w:pPr>
            <w:hyperlink r:id="rId76">
              <w:r>
                <w:rPr>
                  <w:rFonts w:ascii="Arial" w:cs="Arial" w:eastAsia="Arial" w:hAnsi="Arial"/>
                  <w:sz w:val="18"/>
                  <w:szCs w:val="18"/>
                  <w:color w:val="0000FF"/>
                  <w:w w:val="93"/>
                </w:rPr>
                <w:t>Purchase and Sale Agreement and Joint Escrow Instructions, dated October 10, 2022, by and between Limoneira Company and PGIM</w:t>
              </w:r>
            </w:hyperlink>
          </w:p>
        </w:tc>
        <w:tc>
          <w:tcPr>
            <w:tcW w:w="0" w:type="dxa"/>
            <w:vAlign w:val="bottom"/>
          </w:tcPr>
          <w:p>
            <w:pPr>
              <w:spacing w:after="0"/>
              <w:rPr>
                <w:sz w:val="1"/>
                <w:szCs w:val="1"/>
                <w:color w:val="auto"/>
              </w:rPr>
            </w:pPr>
          </w:p>
        </w:tc>
      </w:tr>
      <w:tr>
        <w:trPr>
          <w:trHeight w:val="156"/>
        </w:trPr>
        <w:tc>
          <w:tcPr>
            <w:tcW w:w="120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100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4"/>
              </w:rPr>
            </w:pPr>
            <w:hyperlink r:id="rId76">
              <w:r>
                <w:rPr>
                  <w:rFonts w:ascii="Arial" w:cs="Arial" w:eastAsia="Arial" w:hAnsi="Arial"/>
                  <w:sz w:val="18"/>
                  <w:szCs w:val="18"/>
                  <w:color w:val="0000FF"/>
                  <w:w w:val="94"/>
                </w:rPr>
                <w:t>Real Estate Finance, LLC (Incorporated by reference to Exhibit 10.1 to the Company’s Current Report on Form 8-K, filed January 31,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vMerge w:val="continue"/>
          </w:tcPr>
          <w:p>
            <w:pPr>
              <w:spacing w:after="0"/>
              <w:rPr>
                <w:sz w:val="13"/>
                <w:szCs w:val="13"/>
                <w:color w:val="auto"/>
              </w:rPr>
            </w:pPr>
          </w:p>
        </w:tc>
        <w:tc>
          <w:tcPr>
            <w:tcW w:w="42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76">
              <w:r>
                <w:rPr>
                  <w:rFonts w:ascii="Arial" w:cs="Arial" w:eastAsia="Arial" w:hAnsi="Arial"/>
                  <w:sz w:val="18"/>
                  <w:szCs w:val="18"/>
                  <w:color w:val="0000FF"/>
                  <w:w w:val="86"/>
                </w:rPr>
                <w:t>2023)</w:t>
              </w:r>
            </w:hyperlink>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20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10020" w:type="dxa"/>
            <w:vAlign w:val="bottom"/>
            <w:gridSpan w:val="10"/>
          </w:tcPr>
          <w:p>
            <w:pPr>
              <w:spacing w:after="0"/>
              <w:rPr>
                <w:rFonts w:ascii="Arial" w:cs="Arial" w:eastAsia="Arial" w:hAnsi="Arial"/>
                <w:sz w:val="18"/>
                <w:szCs w:val="18"/>
                <w:color w:val="0000FF"/>
                <w:w w:val="92"/>
              </w:rPr>
            </w:pPr>
            <w:hyperlink r:id="rId77">
              <w:r>
                <w:rPr>
                  <w:rFonts w:ascii="Arial" w:cs="Arial" w:eastAsia="Arial" w:hAnsi="Arial"/>
                  <w:sz w:val="18"/>
                  <w:szCs w:val="18"/>
                  <w:color w:val="0000FF"/>
                  <w:w w:val="92"/>
                </w:rPr>
                <w:t>First Amendment to Purchase and Sale Agreement and Joint Escrow Instructions, dated January 17, 2023 (Incorporated by reference to</w:t>
              </w:r>
            </w:hyperlink>
          </w:p>
        </w:tc>
        <w:tc>
          <w:tcPr>
            <w:tcW w:w="0" w:type="dxa"/>
            <w:vAlign w:val="bottom"/>
          </w:tcPr>
          <w:p>
            <w:pPr>
              <w:spacing w:after="0"/>
              <w:rPr>
                <w:sz w:val="1"/>
                <w:szCs w:val="1"/>
                <w:color w:val="auto"/>
              </w:rPr>
            </w:pPr>
          </w:p>
        </w:tc>
      </w:tr>
      <w:tr>
        <w:trPr>
          <w:trHeight w:val="169"/>
        </w:trPr>
        <w:tc>
          <w:tcPr>
            <w:tcW w:w="1200" w:type="dxa"/>
            <w:vAlign w:val="bottom"/>
            <w:vMerge w:val="continue"/>
          </w:tcPr>
          <w:p>
            <w:pPr>
              <w:spacing w:after="0"/>
              <w:rPr>
                <w:sz w:val="14"/>
                <w:szCs w:val="14"/>
                <w:color w:val="auto"/>
              </w:rPr>
            </w:pPr>
          </w:p>
        </w:tc>
        <w:tc>
          <w:tcPr>
            <w:tcW w:w="1000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r:id="rId77">
              <w:r>
                <w:rPr>
                  <w:rFonts w:ascii="Arial" w:cs="Arial" w:eastAsia="Arial" w:hAnsi="Arial"/>
                  <w:sz w:val="18"/>
                  <w:szCs w:val="18"/>
                  <w:color w:val="0000FF"/>
                </w:rPr>
                <w:t>Exhibit 10.2 to the Company’s Current Report on Form 8-K, filed January 31, 2023)</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10020" w:type="dxa"/>
            <w:vAlign w:val="bottom"/>
            <w:gridSpan w:val="10"/>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Second Amendment to Purchase and Sale Agreement and Joint Escrow Instructions, dated January 24, 2023 (Incorporated by reference to</w:t>
              </w:r>
            </w:hyperlink>
          </w:p>
        </w:tc>
        <w:tc>
          <w:tcPr>
            <w:tcW w:w="0" w:type="dxa"/>
            <w:vAlign w:val="bottom"/>
          </w:tcPr>
          <w:p>
            <w:pPr>
              <w:spacing w:after="0"/>
              <w:rPr>
                <w:sz w:val="1"/>
                <w:szCs w:val="1"/>
                <w:color w:val="auto"/>
              </w:rPr>
            </w:pPr>
          </w:p>
        </w:tc>
      </w:tr>
      <w:tr>
        <w:trPr>
          <w:trHeight w:val="156"/>
        </w:trPr>
        <w:tc>
          <w:tcPr>
            <w:tcW w:w="1200" w:type="dxa"/>
            <w:vAlign w:val="bottom"/>
            <w:vMerge w:val="continue"/>
          </w:tcPr>
          <w:p>
            <w:pPr>
              <w:spacing w:after="0"/>
              <w:rPr>
                <w:sz w:val="13"/>
                <w:szCs w:val="13"/>
                <w:color w:val="auto"/>
              </w:rPr>
            </w:pPr>
          </w:p>
        </w:tc>
        <w:tc>
          <w:tcPr>
            <w:tcW w:w="100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Exhibit 10.3 to the Company’s Current Report on Form 8-K, filed January 31,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10020" w:type="dxa"/>
            <w:vAlign w:val="bottom"/>
            <w:tcBorders>
              <w:bottom w:val="single" w:sz="8" w:color="0000FF"/>
            </w:tcBorders>
            <w:gridSpan w:val="10"/>
          </w:tcPr>
          <w:p>
            <w:pPr>
              <w:spacing w:after="0"/>
              <w:rPr>
                <w:rFonts w:ascii="Arial" w:cs="Arial" w:eastAsia="Arial" w:hAnsi="Arial"/>
                <w:sz w:val="18"/>
                <w:szCs w:val="18"/>
                <w:color w:val="0000FF"/>
                <w:w w:val="95"/>
              </w:rPr>
            </w:pPr>
            <w:hyperlink r:id="rId79">
              <w:r>
                <w:rPr>
                  <w:rFonts w:ascii="Arial" w:cs="Arial" w:eastAsia="Arial" w:hAnsi="Arial"/>
                  <w:sz w:val="18"/>
                  <w:szCs w:val="18"/>
                  <w:color w:val="0000FF"/>
                  <w:w w:val="95"/>
                </w:rPr>
                <w:t>Farm Management Agreement, dated January 31, 2023, by and between Capital Agricultural Property Services, Inc. and Limoneira</w:t>
              </w:r>
            </w:hyperlink>
          </w:p>
        </w:tc>
        <w:tc>
          <w:tcPr>
            <w:tcW w:w="0" w:type="dxa"/>
            <w:vAlign w:val="bottom"/>
          </w:tcPr>
          <w:p>
            <w:pPr>
              <w:spacing w:after="0"/>
              <w:rPr>
                <w:sz w:val="1"/>
                <w:szCs w:val="1"/>
                <w:color w:val="auto"/>
              </w:rPr>
            </w:pPr>
          </w:p>
        </w:tc>
      </w:tr>
      <w:tr>
        <w:trPr>
          <w:trHeight w:val="155"/>
        </w:trPr>
        <w:tc>
          <w:tcPr>
            <w:tcW w:w="1200" w:type="dxa"/>
            <w:vAlign w:val="bottom"/>
            <w:vMerge w:val="continue"/>
          </w:tcPr>
          <w:p>
            <w:pPr>
              <w:spacing w:after="0"/>
              <w:rPr>
                <w:sz w:val="13"/>
                <w:szCs w:val="13"/>
                <w:color w:val="auto"/>
              </w:rPr>
            </w:pPr>
          </w:p>
        </w:tc>
        <w:tc>
          <w:tcPr>
            <w:tcW w:w="9020" w:type="dxa"/>
            <w:vAlign w:val="bottom"/>
            <w:tcBorders>
              <w:bottom w:val="single" w:sz="8" w:color="0000FF"/>
            </w:tcBorders>
            <w:gridSpan w:val="8"/>
          </w:tcPr>
          <w:p>
            <w:pPr>
              <w:spacing w:after="0" w:line="15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Company (Incorporated by reference to Exhibit 10.6 to the Company’s Quarterly Report on Form 10-Q, filed March 9, 2023)</w:t>
              </w:r>
            </w:hyperlink>
          </w:p>
        </w:tc>
        <w:tc>
          <w:tcPr>
            <w:tcW w:w="10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20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10020" w:type="dxa"/>
            <w:vAlign w:val="bottom"/>
            <w:gridSpan w:val="10"/>
          </w:tcPr>
          <w:p>
            <w:pPr>
              <w:spacing w:after="0"/>
              <w:rPr>
                <w:rFonts w:ascii="Arial" w:cs="Arial" w:eastAsia="Arial" w:hAnsi="Arial"/>
                <w:sz w:val="18"/>
                <w:szCs w:val="18"/>
                <w:color w:val="0000FF"/>
                <w:w w:val="92"/>
              </w:rPr>
            </w:pPr>
            <w:hyperlink r:id="rId80">
              <w:r>
                <w:rPr>
                  <w:rFonts w:ascii="Arial" w:cs="Arial" w:eastAsia="Arial" w:hAnsi="Arial"/>
                  <w:sz w:val="18"/>
                  <w:szCs w:val="18"/>
                  <w:color w:val="0000FF"/>
                  <w:w w:val="92"/>
                </w:rPr>
                <w:t>Grower Packing &amp; Marketing Agreement, dated as of January 31, 2023, by and between Limoneira Company and PAI Centurion Citrus,</w:t>
              </w:r>
            </w:hyperlink>
          </w:p>
        </w:tc>
        <w:tc>
          <w:tcPr>
            <w:tcW w:w="0" w:type="dxa"/>
            <w:vAlign w:val="bottom"/>
          </w:tcPr>
          <w:p>
            <w:pPr>
              <w:spacing w:after="0"/>
              <w:rPr>
                <w:sz w:val="1"/>
                <w:szCs w:val="1"/>
                <w:color w:val="auto"/>
              </w:rPr>
            </w:pPr>
          </w:p>
        </w:tc>
      </w:tr>
      <w:tr>
        <w:trPr>
          <w:trHeight w:val="169"/>
        </w:trPr>
        <w:tc>
          <w:tcPr>
            <w:tcW w:w="1200" w:type="dxa"/>
            <w:vAlign w:val="bottom"/>
            <w:vMerge w:val="continue"/>
          </w:tcPr>
          <w:p>
            <w:pPr>
              <w:spacing w:after="0"/>
              <w:rPr>
                <w:sz w:val="14"/>
                <w:szCs w:val="14"/>
                <w:color w:val="auto"/>
              </w:rPr>
            </w:pPr>
          </w:p>
        </w:tc>
        <w:tc>
          <w:tcPr>
            <w:tcW w:w="866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2"/>
              </w:rPr>
            </w:pPr>
            <w:hyperlink r:id="rId80">
              <w:r>
                <w:rPr>
                  <w:rFonts w:ascii="Arial" w:cs="Arial" w:eastAsia="Arial" w:hAnsi="Arial"/>
                  <w:sz w:val="18"/>
                  <w:szCs w:val="18"/>
                  <w:color w:val="0000FF"/>
                  <w:w w:val="92"/>
                </w:rPr>
                <w:t>LLC (Incorporated by reference to Exhibit 10.7 to the Company’s Quarterly Report on Form 10-Q, filed March 9, 2023)</w:t>
              </w:r>
            </w:hyperlink>
          </w:p>
        </w:tc>
        <w:tc>
          <w:tcPr>
            <w:tcW w:w="134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200" w:type="dxa"/>
            <w:vAlign w:val="bottom"/>
            <w:vMerge w:val="restart"/>
          </w:tcPr>
          <w:p>
            <w:pPr>
              <w:spacing w:after="0"/>
              <w:rPr>
                <w:sz w:val="20"/>
                <w:szCs w:val="20"/>
                <w:color w:val="auto"/>
              </w:rPr>
            </w:pPr>
            <w:r>
              <w:rPr>
                <w:rFonts w:ascii="Arial" w:cs="Arial" w:eastAsia="Arial" w:hAnsi="Arial"/>
                <w:sz w:val="18"/>
                <w:szCs w:val="18"/>
                <w:color w:val="auto"/>
              </w:rPr>
              <w:t>10.6*</w:t>
            </w:r>
          </w:p>
        </w:tc>
        <w:tc>
          <w:tcPr>
            <w:tcW w:w="10020" w:type="dxa"/>
            <w:vAlign w:val="bottom"/>
            <w:gridSpan w:val="10"/>
          </w:tcPr>
          <w:p>
            <w:pPr>
              <w:spacing w:after="0"/>
              <w:rPr>
                <w:sz w:val="20"/>
                <w:szCs w:val="20"/>
                <w:color w:val="auto"/>
              </w:rPr>
            </w:pPr>
            <w:r>
              <w:rPr>
                <w:rFonts w:ascii="Arial" w:cs="Arial" w:eastAsia="Arial" w:hAnsi="Arial"/>
                <w:sz w:val="18"/>
                <w:szCs w:val="18"/>
                <w:color w:val="0000FF"/>
                <w:w w:val="93"/>
              </w:rPr>
              <w:t>Confidential Settlement Agreement and Release, dated as of April 18, 2023, by and between Limoneira Company, Southern California</w:t>
            </w:r>
          </w:p>
        </w:tc>
        <w:tc>
          <w:tcPr>
            <w:tcW w:w="0" w:type="dxa"/>
            <w:vAlign w:val="bottom"/>
          </w:tcPr>
          <w:p>
            <w:pPr>
              <w:spacing w:after="0"/>
              <w:rPr>
                <w:sz w:val="1"/>
                <w:szCs w:val="1"/>
                <w:color w:val="auto"/>
              </w:rPr>
            </w:pPr>
          </w:p>
        </w:tc>
      </w:tr>
      <w:tr>
        <w:trPr>
          <w:trHeight w:val="156"/>
        </w:trPr>
        <w:tc>
          <w:tcPr>
            <w:tcW w:w="1200" w:type="dxa"/>
            <w:vAlign w:val="bottom"/>
            <w:vMerge w:val="continue"/>
          </w:tcPr>
          <w:p>
            <w:pPr>
              <w:spacing w:after="0"/>
              <w:rPr>
                <w:sz w:val="13"/>
                <w:szCs w:val="13"/>
                <w:color w:val="auto"/>
              </w:rPr>
            </w:pPr>
          </w:p>
        </w:tc>
        <w:tc>
          <w:tcPr>
            <w:tcW w:w="1000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Edison Company and Edison International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10020" w:type="dxa"/>
            <w:vAlign w:val="bottom"/>
            <w:gridSpan w:val="10"/>
          </w:tcPr>
          <w:p>
            <w:pPr>
              <w:spacing w:after="0"/>
              <w:rPr>
                <w:sz w:val="20"/>
                <w:szCs w:val="20"/>
                <w:color w:val="auto"/>
              </w:rPr>
            </w:pPr>
            <w:r>
              <w:rPr>
                <w:rFonts w:ascii="Arial" w:cs="Arial" w:eastAsia="Arial" w:hAnsi="Arial"/>
                <w:sz w:val="18"/>
                <w:szCs w:val="18"/>
                <w:color w:val="0000FF"/>
              </w:rPr>
              <w:t>Certification of the Principal Executive Officer pursuant to Exchange Act Rule 13a-14(a) and 15d-14(a)</w:t>
            </w:r>
          </w:p>
        </w:tc>
        <w:tc>
          <w:tcPr>
            <w:tcW w:w="0" w:type="dxa"/>
            <w:vAlign w:val="bottom"/>
          </w:tcPr>
          <w:p>
            <w:pPr>
              <w:spacing w:after="0"/>
              <w:rPr>
                <w:sz w:val="1"/>
                <w:szCs w:val="1"/>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74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1"/>
              </w:rPr>
              <w:t>Certification of the Principal Financial Officer pursuant to Exchange Act Rule 13a-14(a) and 15d-14(a)</w:t>
            </w:r>
          </w:p>
        </w:tc>
        <w:tc>
          <w:tcPr>
            <w:tcW w:w="40" w:type="dxa"/>
            <w:vAlign w:val="bottom"/>
            <w:tcBorders>
              <w:top w:val="single" w:sz="8" w:color="0000FF"/>
            </w:tcBorders>
          </w:tcPr>
          <w:p>
            <w:pPr>
              <w:spacing w:after="0"/>
              <w:rPr>
                <w:sz w:val="24"/>
                <w:szCs w:val="24"/>
                <w:color w:val="auto"/>
              </w:rPr>
            </w:pPr>
          </w:p>
        </w:tc>
        <w:tc>
          <w:tcPr>
            <w:tcW w:w="25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10020" w:type="dxa"/>
            <w:vAlign w:val="bottom"/>
            <w:gridSpan w:val="10"/>
          </w:tcPr>
          <w:p>
            <w:pPr>
              <w:spacing w:after="0"/>
              <w:rPr>
                <w:sz w:val="20"/>
                <w:szCs w:val="20"/>
                <w:color w:val="auto"/>
              </w:rPr>
            </w:pPr>
            <w:r>
              <w:rPr>
                <w:rFonts w:ascii="Arial" w:cs="Arial" w:eastAsia="Arial" w:hAnsi="Arial"/>
                <w:sz w:val="18"/>
                <w:szCs w:val="18"/>
                <w:color w:val="0000FF"/>
                <w:w w:val="92"/>
              </w:rPr>
              <w:t>Certification of the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1200" w:type="dxa"/>
            <w:vAlign w:val="bottom"/>
            <w:vMerge w:val="continue"/>
          </w:tcPr>
          <w:p>
            <w:pPr>
              <w:spacing w:after="0"/>
              <w:rPr>
                <w:sz w:val="13"/>
                <w:szCs w:val="13"/>
                <w:color w:val="auto"/>
              </w:rPr>
            </w:pPr>
          </w:p>
        </w:tc>
        <w:tc>
          <w:tcPr>
            <w:tcW w:w="1000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87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10020" w:type="dxa"/>
            <w:vAlign w:val="bottom"/>
            <w:gridSpan w:val="10"/>
          </w:tcPr>
          <w:p>
            <w:pPr>
              <w:spacing w:after="0"/>
              <w:rPr>
                <w:sz w:val="20"/>
                <w:szCs w:val="20"/>
                <w:color w:val="auto"/>
              </w:rPr>
            </w:pPr>
            <w:r>
              <w:rPr>
                <w:rFonts w:ascii="Arial" w:cs="Arial" w:eastAsia="Arial" w:hAnsi="Arial"/>
                <w:sz w:val="18"/>
                <w:szCs w:val="18"/>
                <w:color w:val="0000FF"/>
                <w:w w:val="93"/>
              </w:rPr>
              <w:t>Certification of the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1200" w:type="dxa"/>
            <w:vAlign w:val="bottom"/>
            <w:vMerge w:val="continue"/>
          </w:tcPr>
          <w:p>
            <w:pPr>
              <w:spacing w:after="0"/>
              <w:rPr>
                <w:sz w:val="13"/>
                <w:szCs w:val="13"/>
                <w:color w:val="auto"/>
              </w:rPr>
            </w:pPr>
          </w:p>
        </w:tc>
        <w:tc>
          <w:tcPr>
            <w:tcW w:w="1000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87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200" w:type="dxa"/>
            <w:vAlign w:val="bottom"/>
          </w:tcPr>
          <w:p>
            <w:pPr>
              <w:spacing w:after="0"/>
              <w:rPr>
                <w:sz w:val="24"/>
                <w:szCs w:val="24"/>
                <w:color w:val="auto"/>
              </w:rPr>
            </w:pPr>
          </w:p>
        </w:tc>
        <w:tc>
          <w:tcPr>
            <w:tcW w:w="10020" w:type="dxa"/>
            <w:vAlign w:val="bottom"/>
            <w:gridSpan w:val="10"/>
          </w:tcPr>
          <w:p>
            <w:pPr>
              <w:spacing w:after="0"/>
              <w:rPr>
                <w:sz w:val="20"/>
                <w:szCs w:val="20"/>
                <w:color w:val="auto"/>
              </w:rPr>
            </w:pPr>
            <w:r>
              <w:rPr>
                <w:rFonts w:ascii="Arial" w:cs="Arial" w:eastAsia="Arial" w:hAnsi="Arial"/>
                <w:sz w:val="18"/>
                <w:szCs w:val="18"/>
                <w:color w:val="auto"/>
                <w:w w:val="94"/>
              </w:rPr>
              <w:t>The following information from the Company's Quarterly Report on Form 10-Q for the quarter ended April 30, 2023 formatted in Inline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20" w:type="dxa"/>
            <w:vAlign w:val="bottom"/>
            <w:gridSpan w:val="10"/>
          </w:tcPr>
          <w:p>
            <w:pPr>
              <w:spacing w:after="0" w:line="176" w:lineRule="exact"/>
              <w:rPr>
                <w:sz w:val="20"/>
                <w:szCs w:val="20"/>
                <w:color w:val="auto"/>
              </w:rPr>
            </w:pPr>
            <w:r>
              <w:rPr>
                <w:rFonts w:ascii="Arial" w:cs="Arial" w:eastAsia="Arial" w:hAnsi="Arial"/>
                <w:sz w:val="18"/>
                <w:szCs w:val="18"/>
                <w:color w:val="auto"/>
                <w:w w:val="97"/>
              </w:rPr>
              <w:t>XBRL (Extensible Business Reporting Language) includes: (i) the Consolidated Balance Sheets (Unaudited), (ii) the Consolidated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20" w:type="dxa"/>
            <w:vAlign w:val="bottom"/>
            <w:gridSpan w:val="10"/>
          </w:tcPr>
          <w:p>
            <w:pPr>
              <w:spacing w:after="0" w:line="176" w:lineRule="exact"/>
              <w:rPr>
                <w:sz w:val="20"/>
                <w:szCs w:val="20"/>
                <w:color w:val="auto"/>
              </w:rPr>
            </w:pPr>
            <w:r>
              <w:rPr>
                <w:rFonts w:ascii="Arial" w:cs="Arial" w:eastAsia="Arial" w:hAnsi="Arial"/>
                <w:sz w:val="18"/>
                <w:szCs w:val="18"/>
                <w:color w:val="auto"/>
                <w:w w:val="99"/>
              </w:rPr>
              <w:t>Statements of Operations (Unaudited), (iii) the Consolidated Statements of Comprehensive (Loss) Income (Unaudited), (iv) the</w:t>
            </w: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10020" w:type="dxa"/>
            <w:vAlign w:val="bottom"/>
            <w:gridSpan w:val="10"/>
          </w:tcPr>
          <w:p>
            <w:pPr>
              <w:spacing w:after="0" w:line="189" w:lineRule="exact"/>
              <w:rPr>
                <w:sz w:val="20"/>
                <w:szCs w:val="20"/>
                <w:color w:val="auto"/>
              </w:rPr>
            </w:pPr>
            <w:r>
              <w:rPr>
                <w:rFonts w:ascii="Arial" w:cs="Arial" w:eastAsia="Arial" w:hAnsi="Arial"/>
                <w:sz w:val="18"/>
                <w:szCs w:val="18"/>
                <w:color w:val="auto"/>
                <w:w w:val="94"/>
              </w:rPr>
              <w:t>Consolidated Statements of Stockholders' Equity and Temporary Equity (Unaudited), (v) the Consolidated Statements of Cash Flows</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101*</w:t>
            </w:r>
          </w:p>
        </w:tc>
        <w:tc>
          <w:tcPr>
            <w:tcW w:w="10020" w:type="dxa"/>
            <w:vAlign w:val="bottom"/>
            <w:gridSpan w:val="10"/>
          </w:tcPr>
          <w:p>
            <w:pPr>
              <w:spacing w:after="0"/>
              <w:rPr>
                <w:sz w:val="20"/>
                <w:szCs w:val="20"/>
                <w:color w:val="auto"/>
              </w:rPr>
            </w:pPr>
            <w:r>
              <w:rPr>
                <w:rFonts w:ascii="Arial" w:cs="Arial" w:eastAsia="Arial" w:hAnsi="Arial"/>
                <w:sz w:val="18"/>
                <w:szCs w:val="18"/>
                <w:color w:val="auto"/>
              </w:rPr>
              <w:t>(Unaudited), and (vi) the Notes to Consolidated Financial Statements (Unaudited)</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200" w:hanging="1194"/>
        <w:spacing w:after="0"/>
        <w:tabs>
          <w:tab w:leader="none" w:pos="12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cover page for the Company's Quarterly Report on Form 10-Q for the quarter ended April 30, 2023 has been formatted in Inline</w:t>
      </w:r>
    </w:p>
    <w:p>
      <w:pPr>
        <w:ind w:left="1200"/>
        <w:spacing w:after="0"/>
        <w:rPr>
          <w:rFonts w:ascii="Arial" w:cs="Arial" w:eastAsia="Arial" w:hAnsi="Arial"/>
          <w:sz w:val="17"/>
          <w:szCs w:val="17"/>
          <w:color w:val="auto"/>
        </w:rPr>
      </w:pPr>
      <w:r>
        <w:rPr>
          <w:rFonts w:ascii="Arial" w:cs="Arial" w:eastAsia="Arial" w:hAnsi="Arial"/>
          <w:sz w:val="18"/>
          <w:szCs w:val="18"/>
          <w:color w:val="auto"/>
        </w:rPr>
        <w:t>XBRL</w:t>
      </w:r>
    </w:p>
    <w:p>
      <w:pPr>
        <w:spacing w:after="0" w:line="276"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Filed or furnished herewith,</w:t>
      </w:r>
    </w:p>
    <w:p>
      <w:pPr>
        <w:spacing w:after="0" w:line="184" w:lineRule="exact"/>
        <w:rPr>
          <w:rFonts w:ascii="Arial" w:cs="Arial" w:eastAsia="Arial" w:hAnsi="Arial"/>
          <w:sz w:val="17"/>
          <w:szCs w:val="17"/>
          <w:color w:val="auto"/>
        </w:rPr>
      </w:pPr>
    </w:p>
    <w:p>
      <w:pPr>
        <w:jc w:val="both"/>
        <w:ind w:left="1160"/>
        <w:spacing w:after="0" w:line="248" w:lineRule="auto"/>
        <w:rPr>
          <w:rFonts w:ascii="Arial" w:cs="Arial" w:eastAsia="Arial" w:hAnsi="Arial"/>
          <w:sz w:val="17"/>
          <w:szCs w:val="17"/>
          <w:color w:val="auto"/>
        </w:rPr>
      </w:pPr>
      <w:r>
        <w:rPr>
          <w:rFonts w:ascii="Arial" w:cs="Arial" w:eastAsia="Arial" w:hAnsi="Arial"/>
          <w:sz w:val="16"/>
          <w:szCs w:val="16"/>
          <w:color w:val="auto"/>
        </w:rPr>
        <w:t>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69"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3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LIMONEIRA COMPANY</w:t>
      </w:r>
    </w:p>
    <w:p>
      <w:pPr>
        <w:spacing w:after="0" w:line="266" w:lineRule="exact"/>
        <w:rPr>
          <w:sz w:val="20"/>
          <w:szCs w:val="20"/>
          <w:color w:val="auto"/>
        </w:rPr>
      </w:pPr>
    </w:p>
    <w:p>
      <w:pPr>
        <w:ind w:left="20"/>
        <w:spacing w:after="0"/>
        <w:tabs>
          <w:tab w:leader="none" w:pos="5100" w:val="left"/>
          <w:tab w:leader="none" w:pos="5640" w:val="left"/>
        </w:tabs>
        <w:rPr>
          <w:sz w:val="20"/>
          <w:szCs w:val="20"/>
          <w:color w:val="auto"/>
        </w:rPr>
      </w:pPr>
      <w:r>
        <w:rPr>
          <w:rFonts w:ascii="Arial" w:cs="Arial" w:eastAsia="Arial" w:hAnsi="Arial"/>
          <w:sz w:val="18"/>
          <w:szCs w:val="18"/>
          <w:color w:val="auto"/>
        </w:rPr>
        <w:t>June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9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ind w:left="20"/>
        <w:spacing w:after="0"/>
        <w:tabs>
          <w:tab w:leader="none" w:pos="5100" w:val="left"/>
          <w:tab w:leader="none" w:pos="5640" w:val="left"/>
        </w:tabs>
        <w:rPr>
          <w:sz w:val="20"/>
          <w:szCs w:val="20"/>
          <w:color w:val="auto"/>
        </w:rPr>
      </w:pPr>
      <w:r>
        <w:rPr>
          <w:rFonts w:ascii="Arial" w:cs="Arial" w:eastAsia="Arial" w:hAnsi="Arial"/>
          <w:sz w:val="18"/>
          <w:szCs w:val="18"/>
          <w:color w:val="auto"/>
        </w:rPr>
        <w:t>June 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490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369" w:right="339" w:bottom="1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369" w:right="339" w:bottom="1114"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10.6</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 SETTLEMENT AGREEMENT AND RELEASE</w:t>
      </w:r>
    </w:p>
    <w:p>
      <w:pPr>
        <w:spacing w:after="0" w:line="257" w:lineRule="exact"/>
        <w:rPr>
          <w:sz w:val="20"/>
          <w:szCs w:val="20"/>
          <w:color w:val="auto"/>
        </w:rPr>
      </w:pPr>
    </w:p>
    <w:p>
      <w:pPr>
        <w:ind w:right="60" w:firstLine="648"/>
        <w:spacing w:after="0" w:line="471" w:lineRule="auto"/>
        <w:rPr>
          <w:sz w:val="20"/>
          <w:szCs w:val="20"/>
          <w:color w:val="auto"/>
        </w:rPr>
      </w:pPr>
      <w:r>
        <w:rPr>
          <w:rFonts w:ascii="Arial" w:cs="Arial" w:eastAsia="Arial" w:hAnsi="Arial"/>
          <w:sz w:val="22"/>
          <w:szCs w:val="22"/>
          <w:color w:val="auto"/>
        </w:rPr>
        <w:t>This Settlement Agreement and Release, including the exhibit thereto (“Agreement”), is made by and between the plaintiff identified in Exhibit A (“Settling Plaintiff”), Southern California Edison Company (“SCE”), and Edison International (together with SCE, “Edison,” and collectively with Settling Plaintiff, the “Parties”). Settling Plaintiff and Edison enter into this Agreement to formally resolve any and all claims between Settling Plaintiff and Edison for damages relating to Settling Plaintiff’s claims asserted in the case identified in Exhibit A, hereinafter referred to as the "Action.”</w:t>
      </w:r>
      <w:r>
        <w:rPr>
          <w:rFonts w:ascii="Arial" w:cs="Arial" w:eastAsia="Arial" w:hAnsi="Arial"/>
          <w:sz w:val="28"/>
          <w:szCs w:val="28"/>
          <w:color w:val="auto"/>
          <w:vertAlign w:val="superscript"/>
        </w:rPr>
        <w:t>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57" w:lineRule="exact"/>
        <w:rPr>
          <w:sz w:val="20"/>
          <w:szCs w:val="20"/>
          <w:color w:val="auto"/>
        </w:rPr>
      </w:pPr>
    </w:p>
    <w:p>
      <w:pPr>
        <w:ind w:right="100" w:firstLine="656"/>
        <w:spacing w:after="0" w:line="476" w:lineRule="auto"/>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Action arises from the Southern California wildfires known as the Thomas Fire and the Koenigstein Fire (together, the “Fire”), which ignited on December 4, 2017 in two separate locations near the Cities of Ojai and Santa Paula, California, and the January 9, 2018 Montecito Debris Flow (“Debris Flow”). The Settling Plaintiff has alleged that electric facilities owned and operated by Edison caused or contributed to the ignition of the Fire and the Debris Flow, and as a result, the Settling Plaintiff suffered damages.</w:t>
      </w:r>
    </w:p>
    <w:p>
      <w:pPr>
        <w:spacing w:after="0" w:line="2" w:lineRule="exact"/>
        <w:rPr>
          <w:rFonts w:ascii="Arial" w:cs="Arial" w:eastAsia="Arial" w:hAnsi="Arial"/>
          <w:sz w:val="22"/>
          <w:szCs w:val="22"/>
          <w:color w:val="auto"/>
        </w:rPr>
      </w:pPr>
    </w:p>
    <w:p>
      <w:pPr>
        <w:ind w:right="180" w:firstLine="656"/>
        <w:spacing w:after="0" w:line="477" w:lineRule="auto"/>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This Agreement is entered into solely for purposes of compromise. The Parties expressly agree and acknowledge that neither this Agreement nor any act performed hereunder is, or may be deemed, an admission or evidence of the validity or invalidity of any allegations or claims of the Settling Plaintiff and Edison, nor is this Agreement or any act performed hereunder to be construed as an admission or evidence of any wrongdoing, fault, omission or liability on the part of Edison. This is a settlement of a disputed matter, and Edison specifically and expressly denies any fault or liability to the Settling Plaintiff or any other party with respect to the Fire and the Debris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714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0" w:lineRule="exact"/>
        <w:rPr>
          <w:sz w:val="20"/>
          <w:szCs w:val="20"/>
          <w:color w:val="auto"/>
        </w:rPr>
      </w:pPr>
    </w:p>
    <w:p>
      <w:pPr>
        <w:ind w:right="300" w:firstLine="8"/>
        <w:spacing w:after="0" w:line="443" w:lineRule="auto"/>
        <w:tabs>
          <w:tab w:leader="none" w:pos="112"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The Action has been coordinated in the proceeding Southern California Fire Cases, Case No. JCCP 4965, Superior Court of the State of California, County of Los Angeles.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890" w:right="339" w:bottom="1440" w:gutter="0" w:footer="0" w:header="0"/>
        </w:sectPr>
      </w:pPr>
    </w:p>
    <w:bookmarkStart w:id="47" w:name="page48"/>
    <w:bookmarkEnd w:id="47"/>
    <w:p>
      <w:pPr>
        <w:jc w:val="both"/>
        <w:ind w:right="120" w:firstLine="656"/>
        <w:spacing w:after="0" w:line="473" w:lineRule="auto"/>
        <w:tabs>
          <w:tab w:leader="none" w:pos="1296"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Parties agree that Settling Plaintiff is not entitled to double recovery for its own damages when an insurance carrier becomes subrogated to the claim of the Settling Plaintiff against Edison, nor should Edison have to pay twice for the same damages.</w:t>
      </w:r>
    </w:p>
    <w:p>
      <w:pPr>
        <w:spacing w:after="0" w:line="2" w:lineRule="exact"/>
        <w:rPr>
          <w:rFonts w:ascii="Arial" w:cs="Arial" w:eastAsia="Arial" w:hAnsi="Arial"/>
          <w:sz w:val="22"/>
          <w:szCs w:val="22"/>
          <w:color w:val="auto"/>
        </w:rPr>
      </w:pPr>
    </w:p>
    <w:p>
      <w:pPr>
        <w:ind w:firstLine="656"/>
        <w:spacing w:after="0" w:line="477" w:lineRule="auto"/>
        <w:tabs>
          <w:tab w:leader="none" w:pos="1296" w:val="left"/>
        </w:tabs>
        <w:numPr>
          <w:ilvl w:val="0"/>
          <w:numId w:val="38"/>
        </w:numPr>
        <w:rPr>
          <w:rFonts w:ascii="Arial" w:cs="Arial" w:eastAsia="Arial" w:hAnsi="Arial"/>
          <w:sz w:val="22"/>
          <w:szCs w:val="22"/>
          <w:color w:val="auto"/>
        </w:rPr>
      </w:pPr>
      <w:r>
        <w:rPr>
          <w:rFonts w:ascii="Arial" w:cs="Arial" w:eastAsia="Arial" w:hAnsi="Arial"/>
          <w:sz w:val="22"/>
          <w:szCs w:val="22"/>
          <w:color w:val="auto"/>
        </w:rPr>
        <w:t>Settling Plaintiff intends that this Agreement resolves any and all claims and disputes between them and Edison alleged in the Action and provides for consideration in full settlement and discharge of all disputes, rights, claims, and causes of action which are, or might have been, brought by Settling Plaintiff against Edison arising from the Fire and the Debris Flow.</w:t>
      </w:r>
    </w:p>
    <w:p>
      <w:pPr>
        <w:spacing w:after="0"/>
        <w:rPr>
          <w:rFonts w:ascii="Arial" w:cs="Arial" w:eastAsia="Arial" w:hAnsi="Arial"/>
          <w:sz w:val="22"/>
          <w:szCs w:val="22"/>
          <w:color w:val="auto"/>
        </w:rPr>
      </w:pPr>
      <w:r>
        <w:rPr>
          <w:rFonts w:ascii="Arial" w:cs="Arial" w:eastAsia="Arial" w:hAnsi="Arial"/>
          <w:sz w:val="22"/>
          <w:szCs w:val="22"/>
          <w:color w:val="auto"/>
        </w:rPr>
        <w:t>The Parties hereby agree as follows: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AGREEMENT</w:t>
      </w:r>
    </w:p>
    <w:p>
      <w:pPr>
        <w:spacing w:after="0" w:line="257" w:lineRule="exact"/>
        <w:rPr>
          <w:sz w:val="20"/>
          <w:szCs w:val="20"/>
          <w:color w:val="auto"/>
        </w:rPr>
      </w:pPr>
    </w:p>
    <w:p>
      <w:pPr>
        <w:ind w:right="380" w:firstLine="656"/>
        <w:spacing w:after="0" w:line="473" w:lineRule="auto"/>
        <w:tabs>
          <w:tab w:leader="none" w:pos="1296"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INCORPORATION OF RECITALS</w:t>
      </w:r>
      <w:r>
        <w:rPr>
          <w:rFonts w:ascii="Arial" w:cs="Arial" w:eastAsia="Arial" w:hAnsi="Arial"/>
          <w:sz w:val="22"/>
          <w:szCs w:val="22"/>
          <w:color w:val="auto"/>
        </w:rPr>
        <w:t>. Each of the Recitals set forth above is incorporated by reference into this Agreement.</w:t>
      </w:r>
    </w:p>
    <w:p>
      <w:pPr>
        <w:spacing w:after="0" w:line="1" w:lineRule="exact"/>
        <w:rPr>
          <w:rFonts w:ascii="Arial" w:cs="Arial" w:eastAsia="Arial" w:hAnsi="Arial"/>
          <w:sz w:val="22"/>
          <w:szCs w:val="22"/>
          <w:color w:val="auto"/>
        </w:rPr>
      </w:pPr>
    </w:p>
    <w:p>
      <w:pPr>
        <w:ind w:right="20" w:firstLine="656"/>
        <w:spacing w:after="0" w:line="476" w:lineRule="auto"/>
        <w:tabs>
          <w:tab w:leader="none" w:pos="1296"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In consideration for the release set forth herein, and in consideration of the rights and obligations created by this Agreement, SCE shall pay Settling Plaintiff the amount identified in the attached Exhibit pertaining to that plaintiff (the “</w:t>
      </w:r>
      <w:r>
        <w:rPr>
          <w:rFonts w:ascii="Arial" w:cs="Arial" w:eastAsia="Arial" w:hAnsi="Arial"/>
          <w:sz w:val="22"/>
          <w:szCs w:val="22"/>
          <w:u w:val="single" w:color="auto"/>
          <w:color w:val="auto"/>
        </w:rPr>
        <w:t>Settlement Amount</w:t>
      </w:r>
      <w:r>
        <w:rPr>
          <w:rFonts w:ascii="Arial" w:cs="Arial" w:eastAsia="Arial" w:hAnsi="Arial"/>
          <w:sz w:val="22"/>
          <w:szCs w:val="22"/>
          <w:color w:val="auto"/>
        </w:rPr>
        <w:t>”), which includes the 3% common benefit assessment (the “</w:t>
      </w:r>
      <w:r>
        <w:rPr>
          <w:rFonts w:ascii="Arial" w:cs="Arial" w:eastAsia="Arial" w:hAnsi="Arial"/>
          <w:sz w:val="22"/>
          <w:szCs w:val="22"/>
          <w:u w:val="single" w:color="auto"/>
          <w:color w:val="auto"/>
        </w:rPr>
        <w:t>Common Benefit Assessment</w:t>
      </w:r>
      <w:r>
        <w:rPr>
          <w:rFonts w:ascii="Arial" w:cs="Arial" w:eastAsia="Arial" w:hAnsi="Arial"/>
          <w:sz w:val="22"/>
          <w:szCs w:val="22"/>
          <w:color w:val="auto"/>
        </w:rPr>
        <w:t>”) ordered by the Court in its August 20, 2020, Case Management Order No. 4 re Common Benefit Fees and Costs, as amended on February 18, 2021 (“</w:t>
      </w:r>
      <w:r>
        <w:rPr>
          <w:rFonts w:ascii="Arial" w:cs="Arial" w:eastAsia="Arial" w:hAnsi="Arial"/>
          <w:sz w:val="22"/>
          <w:szCs w:val="22"/>
          <w:u w:val="single" w:color="auto"/>
          <w:color w:val="auto"/>
        </w:rPr>
        <w:t>CMO No. 4</w:t>
      </w:r>
      <w:r>
        <w:rPr>
          <w:rFonts w:ascii="Arial" w:cs="Arial" w:eastAsia="Arial" w:hAnsi="Arial"/>
          <w:sz w:val="22"/>
          <w:szCs w:val="22"/>
          <w:color w:val="auto"/>
        </w:rPr>
        <w:t>”). The Common Benefit Assessment will be wired to the Parties’ agreed-upon neutral third-party trust administrator, KCC, to be distributed to the Common Benefit Account under CMO No. 4. The remaining 97% will be made payable to the client trust account of Settling Plaintiff’s counsel at First Bank, GBS Law, APC Attorney Client Trust Account for Thomas, Routing No. 081009428, Account No.1624292126. The Settlement Amount, minus the Common Benefit Assessment, will be paid within 30 days of Edison’s receipt of this fully executed Agreement; provided, however, that payment shall be made no earlier than seven (7) business days after delivery of the executed Request for Dismissal to counsel for Edison, as set forth in Paragraph 3, below.</w:t>
      </w:r>
    </w:p>
    <w:p>
      <w:pPr>
        <w:ind w:right="740" w:firstLine="656"/>
        <w:spacing w:after="0" w:line="495" w:lineRule="auto"/>
        <w:tabs>
          <w:tab w:leader="none" w:pos="1296"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DISMISSAL OF ACTION</w:t>
      </w:r>
      <w:r>
        <w:rPr>
          <w:rFonts w:ascii="Arial" w:cs="Arial" w:eastAsia="Arial" w:hAnsi="Arial"/>
          <w:sz w:val="22"/>
          <w:szCs w:val="22"/>
          <w:color w:val="auto"/>
        </w:rPr>
        <w:t>. Within five (5) days of the Effective Date,Settling Plaintiff will provide a dismissal with prejudice of its claims against Edison in the above-described Action, together</w:t>
      </w:r>
    </w:p>
    <w:p>
      <w:pPr>
        <w:sectPr>
          <w:pgSz w:w="11900" w:h="16838" w:orient="portrait"/>
          <w:cols w:equalWidth="0" w:num="1">
            <w:col w:w="11220"/>
          </w:cols>
          <w:pgMar w:left="320" w:top="900" w:right="359" w:bottom="1440" w:gutter="0" w:footer="0" w:header="0"/>
        </w:sectPr>
      </w:pP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20"/>
          </w:cols>
          <w:pgMar w:left="320" w:top="900" w:right="359" w:bottom="1440" w:gutter="0" w:footer="0" w:header="0"/>
          <w:type w:val="continuous"/>
        </w:sectPr>
      </w:pPr>
    </w:p>
    <w:bookmarkStart w:id="48" w:name="page49"/>
    <w:bookmarkEnd w:id="48"/>
    <w:p>
      <w:pPr>
        <w:jc w:val="both"/>
        <w:ind w:right="140"/>
        <w:spacing w:after="0" w:line="473" w:lineRule="auto"/>
        <w:rPr>
          <w:sz w:val="20"/>
          <w:szCs w:val="20"/>
          <w:color w:val="auto"/>
        </w:rPr>
      </w:pPr>
      <w:r>
        <w:rPr>
          <w:rFonts w:ascii="Arial" w:cs="Arial" w:eastAsia="Arial" w:hAnsi="Arial"/>
          <w:sz w:val="22"/>
          <w:szCs w:val="22"/>
          <w:color w:val="auto"/>
        </w:rPr>
        <w:t>with an executed copy of this Agreement, to counsel for Edison, John C. Hueston and Douglas J. Dixon of Hueston Hennigan LLP. The dismissal is to be held in trust and may not be distributed or filed until and unless the Settlement Amount has been sent to counsel for Settling Plaintiff.</w:t>
      </w:r>
    </w:p>
    <w:p>
      <w:pPr>
        <w:spacing w:after="0" w:line="3" w:lineRule="exact"/>
        <w:rPr>
          <w:sz w:val="20"/>
          <w:szCs w:val="20"/>
          <w:color w:val="auto"/>
        </w:rPr>
      </w:pPr>
    </w:p>
    <w:p>
      <w:pPr>
        <w:ind w:right="380" w:firstLine="656"/>
        <w:spacing w:after="0" w:line="476" w:lineRule="auto"/>
        <w:tabs>
          <w:tab w:leader="none" w:pos="129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LEGAL FEES AND COSTS</w:t>
      </w:r>
      <w:r>
        <w:rPr>
          <w:rFonts w:ascii="Arial" w:cs="Arial" w:eastAsia="Arial" w:hAnsi="Arial"/>
          <w:sz w:val="22"/>
          <w:szCs w:val="22"/>
          <w:color w:val="auto"/>
        </w:rPr>
        <w:t>. The Parties acknowledge and agree that they will bear their own costs, expenses and attorneys’ fees arising out of and/or connected with the Settling Plaintiff’s claims in the Action, the negotiation, drafting and execution of this Agreement, and all matters arising out of or connected therewith. This includes but is not limited to any assessments of fees, costs, or expenses ordered by the Court for the common benefit of plaintiffs or plaintiffs’ counsel in the Action.</w:t>
      </w:r>
    </w:p>
    <w:p>
      <w:pPr>
        <w:spacing w:after="0" w:line="2" w:lineRule="exact"/>
        <w:rPr>
          <w:rFonts w:ascii="Arial" w:cs="Arial" w:eastAsia="Arial" w:hAnsi="Arial"/>
          <w:sz w:val="22"/>
          <w:szCs w:val="22"/>
          <w:color w:val="auto"/>
        </w:rPr>
      </w:pPr>
    </w:p>
    <w:p>
      <w:pPr>
        <w:ind w:firstLine="656"/>
        <w:spacing w:after="0" w:line="476" w:lineRule="auto"/>
        <w:tabs>
          <w:tab w:leader="none" w:pos="129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LIENS AND TAX LIABILITY</w:t>
      </w:r>
      <w:r>
        <w:rPr>
          <w:rFonts w:ascii="Arial" w:cs="Arial" w:eastAsia="Arial" w:hAnsi="Arial"/>
          <w:sz w:val="22"/>
          <w:szCs w:val="22"/>
          <w:color w:val="auto"/>
        </w:rPr>
        <w:t>. The Settling Plaintiff shall defend and indemnify Edison, together with its respective successors, assigns, agents, representatives, shareholders, officers, directors, partners, managers, employees, former employees, sureties, insurers, administrators, trustees, members, principals, beneficiaries, and all persons, firms, associations, parents, subsidiaries, and/or corporations connected with it, and each of them, against any and all liens, subrogation claims, and other rights that may be asserted by any person against the Settlement Amount or against any recovery by the Settling Plaintiff.</w:t>
      </w:r>
    </w:p>
    <w:p>
      <w:pPr>
        <w:ind w:right="220" w:firstLine="648"/>
        <w:spacing w:after="0" w:line="473" w:lineRule="auto"/>
        <w:rPr>
          <w:rFonts w:ascii="Arial" w:cs="Arial" w:eastAsia="Arial" w:hAnsi="Arial"/>
          <w:sz w:val="22"/>
          <w:szCs w:val="22"/>
          <w:color w:val="auto"/>
        </w:rPr>
      </w:pPr>
      <w:r>
        <w:rPr>
          <w:rFonts w:ascii="Arial" w:cs="Arial" w:eastAsia="Arial" w:hAnsi="Arial"/>
          <w:sz w:val="22"/>
          <w:szCs w:val="22"/>
          <w:color w:val="auto"/>
        </w:rPr>
        <w:t>The Settling Plaintiff and its attorneys shall have the sole responsibility for the division and distribution of the Settlement Amount to and among them. The Settling Plaintiff and its counsel of record agree to indemnify, defend, and hold Edison harmless from any and all claims, demands, causes of action, or disputes of any kind or nature related to the allocation or distribution of the Settlement Amount to and among them.</w:t>
      </w:r>
    </w:p>
    <w:p>
      <w:pPr>
        <w:spacing w:after="0" w:line="3" w:lineRule="exact"/>
        <w:rPr>
          <w:rFonts w:ascii="Arial" w:cs="Arial" w:eastAsia="Arial" w:hAnsi="Arial"/>
          <w:sz w:val="22"/>
          <w:szCs w:val="22"/>
          <w:color w:val="auto"/>
        </w:rPr>
      </w:pPr>
    </w:p>
    <w:p>
      <w:pPr>
        <w:jc w:val="both"/>
        <w:ind w:right="160" w:firstLine="648"/>
        <w:spacing w:after="0" w:line="473" w:lineRule="auto"/>
        <w:rPr>
          <w:rFonts w:ascii="Arial" w:cs="Arial" w:eastAsia="Arial" w:hAnsi="Arial"/>
          <w:sz w:val="22"/>
          <w:szCs w:val="22"/>
          <w:color w:val="auto"/>
        </w:rPr>
      </w:pPr>
      <w:r>
        <w:rPr>
          <w:rFonts w:ascii="Arial" w:cs="Arial" w:eastAsia="Arial" w:hAnsi="Arial"/>
          <w:sz w:val="22"/>
          <w:szCs w:val="22"/>
          <w:color w:val="auto"/>
        </w:rPr>
        <w:t>The Settling Plaintiff is responsible for any and all tax liability that does or may result from the amount paid in settlement of the Settling Plaintiff’s claims in the Action. The Settling Plaintiff acknowledges and agrees that Edison has made no representations as to the taxability of the amount paid in settlement of the Settling Plaintiff’s claims in the Action.</w:t>
      </w:r>
    </w:p>
    <w:p>
      <w:pPr>
        <w:spacing w:after="0" w:line="3" w:lineRule="exact"/>
        <w:rPr>
          <w:rFonts w:ascii="Arial" w:cs="Arial" w:eastAsia="Arial" w:hAnsi="Arial"/>
          <w:sz w:val="22"/>
          <w:szCs w:val="22"/>
          <w:color w:val="auto"/>
        </w:rPr>
      </w:pPr>
    </w:p>
    <w:p>
      <w:pPr>
        <w:ind w:right="640" w:firstLine="648"/>
        <w:spacing w:after="0" w:line="508" w:lineRule="auto"/>
        <w:rPr>
          <w:rFonts w:ascii="Arial" w:cs="Arial" w:eastAsia="Arial" w:hAnsi="Arial"/>
          <w:sz w:val="22"/>
          <w:szCs w:val="22"/>
          <w:color w:val="auto"/>
        </w:rPr>
      </w:pPr>
      <w:r>
        <w:rPr>
          <w:rFonts w:ascii="Arial" w:cs="Arial" w:eastAsia="Arial" w:hAnsi="Arial"/>
          <w:sz w:val="22"/>
          <w:szCs w:val="22"/>
          <w:color w:val="auto"/>
        </w:rPr>
        <w:t>The Settling Plaintiff agrees to hold Edison harmless from any and all claims and penalties relating to or resulting from any claim that Edison should have withheld any sums from the amount</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80"/>
          </w:cols>
          <w:pgMar w:left="320" w:top="900" w:right="399" w:bottom="1440" w:gutter="0" w:footer="0" w:header="0"/>
        </w:sectPr>
      </w:pPr>
    </w:p>
    <w:bookmarkStart w:id="49" w:name="page50"/>
    <w:bookmarkEnd w:id="49"/>
    <w:p>
      <w:pPr>
        <w:spacing w:after="0" w:line="498" w:lineRule="auto"/>
        <w:rPr>
          <w:sz w:val="20"/>
          <w:szCs w:val="20"/>
          <w:color w:val="auto"/>
        </w:rPr>
      </w:pPr>
      <w:r>
        <w:rPr>
          <w:rFonts w:ascii="Arial" w:cs="Arial" w:eastAsia="Arial" w:hAnsi="Arial"/>
          <w:sz w:val="21"/>
          <w:szCs w:val="21"/>
          <w:color w:val="auto"/>
        </w:rPr>
        <w:t>paid in settlement of the Settling Plaintiff’s claims in the Action. The Settling Plaintiff further agrees not to seek or make any claim or claims against Edison for contribution, indemnity, compensation, recompense, damages, costs, or penalties if a determination is made that the Settlement Amount or any portion thereof should not have been treated as non-taxable. In addition, the Settling Plaintiff understands and agrees that Edison has no duty to defend against any claim or assertion that the Settlement Amount or any portion thereof should be treated as taxable income, nor any obligation to appeal any determination that said sum or any portion thereof should be treated as taxable income.</w:t>
      </w:r>
    </w:p>
    <w:p>
      <w:pPr>
        <w:spacing w:after="0" w:line="4" w:lineRule="exact"/>
        <w:rPr>
          <w:sz w:val="20"/>
          <w:szCs w:val="20"/>
          <w:color w:val="auto"/>
        </w:rPr>
      </w:pPr>
    </w:p>
    <w:p>
      <w:pPr>
        <w:ind w:right="40" w:firstLine="656"/>
        <w:spacing w:after="0" w:line="474"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RELEASE OF CLAIMS</w:t>
      </w:r>
      <w:r>
        <w:rPr>
          <w:rFonts w:ascii="Arial" w:cs="Arial" w:eastAsia="Arial" w:hAnsi="Arial"/>
          <w:sz w:val="22"/>
          <w:szCs w:val="22"/>
          <w:color w:val="auto"/>
        </w:rPr>
        <w:t>. In consideration of the full and timely performance of all terms and conditions as set forth in this Agreement, the Settling Plaintiff and its heirs, successors, assigns, family members, agents, representatives, parents, subsidiaries, shareholders, officers, directors, partners, managers, employees, former employees, sureties, administrators, trustees, members, principals, and beneficiaries hereby fully and forever waive, relinquish, release and discharge Edison and its respective successors, assigns, agents, representatives, shareholders, officers, directors, partners, managers, employees, former employees, sureties, insurers, administrators, trustees, members, principals, beneficiaries, and all persons, firms, associations, parents, subsidiaries, and/or corporations connected with it, and each of them, from any and all claims, demands, controversies, losses, damages, actions, causes of action, debts, liabilities, costs and expenses (including, without limitation, attorneys’ fees, experts’ fees, consultant’s fees, and court costs), liens and obligations of every kind or nature whatsoever, in law or equity, in contract, tort or otherwise, anticipated or unanticipated, direct or indirect, fixed or contingent, which may presently exist or may hereinafter arise or become known to arise out of, be caused by, or be incurred in connection with the Settling Plaintiff’s claims in the Action. The sole exception to this shall be the Settling Plaintiff’s right to appeal and/or challenge the Common Benefit Assessment imposed by the trial court over their objections in CMO No. 4.</w:t>
      </w:r>
    </w:p>
    <w:p>
      <w:pPr>
        <w:spacing w:after="0" w:line="11" w:lineRule="exact"/>
        <w:rPr>
          <w:rFonts w:ascii="Arial" w:cs="Arial" w:eastAsia="Arial" w:hAnsi="Arial"/>
          <w:sz w:val="22"/>
          <w:szCs w:val="22"/>
          <w:color w:val="auto"/>
        </w:rPr>
      </w:pPr>
    </w:p>
    <w:p>
      <w:pPr>
        <w:ind w:right="180" w:firstLine="656"/>
        <w:spacing w:after="0" w:line="495"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CIVIL CODE § 1542; CHANGED FACTS</w:t>
      </w:r>
      <w:r>
        <w:rPr>
          <w:rFonts w:ascii="Arial" w:cs="Arial" w:eastAsia="Arial" w:hAnsi="Arial"/>
          <w:sz w:val="22"/>
          <w:szCs w:val="22"/>
          <w:color w:val="auto"/>
        </w:rPr>
        <w:t>. It is the intention of the Settling Plaintiff that this Agreement shall constitute a full and final accord and satisfaction as to the matters encompassed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40"/>
          </w:cols>
          <w:pgMar w:left="320" w:top="900" w:right="439" w:bottom="1440" w:gutter="0" w:footer="0" w:header="0"/>
        </w:sectPr>
      </w:pPr>
    </w:p>
    <w:bookmarkStart w:id="50" w:name="page51"/>
    <w:bookmarkEnd w:id="50"/>
    <w:p>
      <w:pPr>
        <w:spacing w:after="0" w:line="478" w:lineRule="auto"/>
        <w:rPr>
          <w:sz w:val="20"/>
          <w:szCs w:val="20"/>
          <w:color w:val="auto"/>
        </w:rPr>
      </w:pPr>
      <w:r>
        <w:rPr>
          <w:rFonts w:ascii="Arial" w:cs="Arial" w:eastAsia="Arial" w:hAnsi="Arial"/>
          <w:sz w:val="22"/>
          <w:szCs w:val="22"/>
          <w:color w:val="auto"/>
        </w:rPr>
        <w:t>in the release set forth in paragraph 6, and a bar to entry of judgment on the Settling Plaintiff’s claims in the Action, as well as a bar to any and all other actions, causes of action, obligations, costs, expenses, attorneys’ fees, damages, losses, claims, liabilities, and demands of whatever nature, character or kind, known or unknown, suspected or unsuspected, by the Settling Plaintiff against Edison arising out of, directly or indirectly, or connected with the Fire, the Debris Flow, or the Settling Plaintiff’s claims in the Action. The Parties acknowledge that they are fully familiar with the facts and assumptions giving rise to this Agreement, but agree that this Agreement shall remain fully effective and binding as to each of them even if the facts or assumptions turn out to be different from what they now believe them to be. In addition, the Parties acknowledge that they are familiar with and understand and expressly waive Section 1542 of the Civil Code of the State of California, which provides as follows:</w:t>
      </w:r>
    </w:p>
    <w:p>
      <w:pPr>
        <w:spacing w:after="0" w:line="29"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A GENERAL RELEASE DOES NOT EXTEND TO CLAIMS</w:t>
      </w:r>
    </w:p>
    <w:p>
      <w:pPr>
        <w:spacing w:after="0" w:line="247"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THAT THE CREDITOR OR RELEASING PARTY DOES</w:t>
      </w:r>
    </w:p>
    <w:p>
      <w:pPr>
        <w:spacing w:after="0" w:line="247"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NOT KNOW OR SUSPECT TO EXIST IN HIS OR HER</w:t>
      </w:r>
    </w:p>
    <w:p>
      <w:pPr>
        <w:spacing w:after="0" w:line="247"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FAVOR AT THE TIME OF EXECUTING THE RELEASE</w:t>
      </w:r>
    </w:p>
    <w:p>
      <w:pPr>
        <w:spacing w:after="0" w:line="247"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AND THAT, IF KNOWN BY HIM OR HER, WOULD HAVE]</w:t>
      </w:r>
    </w:p>
    <w:p>
      <w:pPr>
        <w:spacing w:after="0" w:line="260"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MATERIALLY AFFECTED HIS OR HER SETTLEMENT</w:t>
      </w:r>
    </w:p>
    <w:p>
      <w:pPr>
        <w:spacing w:after="0" w:line="247"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WITH THE DEBTOR OR RELEASED PARTY.</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Nothing in this Civil Code waiver will prevent Settling Plaintiff from asserting its rights to enforce this Agreement.</w:t>
      </w:r>
    </w:p>
    <w:p>
      <w:pPr>
        <w:spacing w:after="0" w:line="260" w:lineRule="exact"/>
        <w:rPr>
          <w:sz w:val="20"/>
          <w:szCs w:val="20"/>
          <w:color w:val="auto"/>
        </w:rPr>
      </w:pPr>
    </w:p>
    <w:p>
      <w:pPr>
        <w:ind w:right="80" w:firstLine="656"/>
        <w:spacing w:after="0" w:line="496" w:lineRule="auto"/>
        <w:tabs>
          <w:tab w:leader="none" w:pos="1296"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GOOD FAITH</w:t>
      </w:r>
      <w:r>
        <w:rPr>
          <w:rFonts w:ascii="Arial" w:cs="Arial" w:eastAsia="Arial" w:hAnsi="Arial"/>
          <w:sz w:val="21"/>
          <w:szCs w:val="21"/>
          <w:color w:val="auto"/>
        </w:rPr>
        <w:t>. The Parties agree that the settlement embodied in this Agreement is made in good faith, is the subject of arm’s length negotiations, and the consideration supporting the Agreement is fair and appropriate.</w:t>
      </w:r>
    </w:p>
    <w:p>
      <w:pPr>
        <w:ind w:right="80" w:firstLine="656"/>
        <w:spacing w:after="0" w:line="484" w:lineRule="auto"/>
        <w:tabs>
          <w:tab w:leader="none" w:pos="1296"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COMPROMISE</w:t>
      </w:r>
      <w:r>
        <w:rPr>
          <w:rFonts w:ascii="Arial" w:cs="Arial" w:eastAsia="Arial" w:hAnsi="Arial"/>
          <w:sz w:val="22"/>
          <w:szCs w:val="22"/>
          <w:color w:val="auto"/>
        </w:rPr>
        <w:t>. The Parties agree that this Agreement represents a resolution of disputed liability and neither the terms of this Agreement nor any payments described will be used or construed as an admission of liability as to the matters described herein.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900" w:right="339" w:bottom="1440" w:gutter="0" w:footer="0" w:header="0"/>
        </w:sectPr>
      </w:pPr>
    </w:p>
    <w:bookmarkStart w:id="51" w:name="page52"/>
    <w:bookmarkEnd w:id="51"/>
    <w:p>
      <w:pPr>
        <w:ind w:right="60" w:firstLine="656"/>
        <w:spacing w:after="0" w:line="475" w:lineRule="auto"/>
        <w:tabs>
          <w:tab w:leader="none" w:pos="1296"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ENFORCEABILITY OF AGREEMENT</w:t>
      </w:r>
      <w:r>
        <w:rPr>
          <w:rFonts w:ascii="Arial" w:cs="Arial" w:eastAsia="Arial" w:hAnsi="Arial"/>
          <w:sz w:val="22"/>
          <w:szCs w:val="22"/>
          <w:color w:val="auto"/>
        </w:rPr>
        <w:t>. This Agreement is intended by the Parties to be a settlement agreement binding and enforceable by Settling Plaintiff and Edison within the meaning of California Code of Civil Procedure Section 664.6. In the event of a dispute arising out of the effect or enforcement of this Agreement, the prevailing party will be entitled to recover reasonable attorneys’ fees and costs actually incurred in relation to resolving the dispute. Determination of whether the fees and costs were reasonable and incurred, as well as the appropriate apportionment of any such fees and costs, shall be left to the sole discretion of the Court or any arbitrator appointed upon the agreement of the Parties.</w:t>
      </w:r>
    </w:p>
    <w:p>
      <w:pPr>
        <w:spacing w:after="0" w:line="5" w:lineRule="exact"/>
        <w:rPr>
          <w:rFonts w:ascii="Arial" w:cs="Arial" w:eastAsia="Arial" w:hAnsi="Arial"/>
          <w:sz w:val="22"/>
          <w:szCs w:val="22"/>
          <w:color w:val="auto"/>
        </w:rPr>
      </w:pPr>
    </w:p>
    <w:p>
      <w:pPr>
        <w:ind w:right="80" w:firstLine="656"/>
        <w:spacing w:after="0" w:line="473" w:lineRule="auto"/>
        <w:tabs>
          <w:tab w:leader="none" w:pos="12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terms of this Agreement are binding upon the heirs, successors, and assigns of the undersigned Parties.</w:t>
      </w:r>
    </w:p>
    <w:p>
      <w:pPr>
        <w:spacing w:after="0" w:line="1" w:lineRule="exact"/>
        <w:rPr>
          <w:rFonts w:ascii="Arial" w:cs="Arial" w:eastAsia="Arial" w:hAnsi="Arial"/>
          <w:sz w:val="22"/>
          <w:szCs w:val="22"/>
          <w:color w:val="auto"/>
        </w:rPr>
      </w:pPr>
    </w:p>
    <w:p>
      <w:pPr>
        <w:ind w:right="40" w:firstLine="656"/>
        <w:spacing w:after="0" w:line="476" w:lineRule="auto"/>
        <w:tabs>
          <w:tab w:leader="none" w:pos="1296"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WARRANTY</w:t>
      </w:r>
      <w:r>
        <w:rPr>
          <w:rFonts w:ascii="Arial" w:cs="Arial" w:eastAsia="Arial" w:hAnsi="Arial"/>
          <w:sz w:val="22"/>
          <w:szCs w:val="22"/>
          <w:color w:val="auto"/>
        </w:rPr>
        <w:t>. Settling Plaintiff represents and warrants that it is the owner of the property that is the subject of the Settling Plaintiff’s claims in the Action and that no other person or entity has any rights, title, or interest in or to the property that is the subject of the Settling Plaintiff’s claims in the Action. Settling Plaintiff further represents and warrants that it has not, by operation of law or otherwise, heretofore assigned or otherwise transferred, or attempted to assign or transfer, any claim or claims against Edison.</w:t>
      </w:r>
    </w:p>
    <w:p>
      <w:pPr>
        <w:spacing w:after="0" w:line="2" w:lineRule="exact"/>
        <w:rPr>
          <w:rFonts w:ascii="Arial" w:cs="Arial" w:eastAsia="Arial" w:hAnsi="Arial"/>
          <w:sz w:val="22"/>
          <w:szCs w:val="22"/>
          <w:color w:val="auto"/>
        </w:rPr>
      </w:pPr>
    </w:p>
    <w:p>
      <w:pPr>
        <w:ind w:right="60" w:firstLine="648"/>
        <w:spacing w:after="0" w:line="473" w:lineRule="auto"/>
        <w:rPr>
          <w:rFonts w:ascii="Arial" w:cs="Arial" w:eastAsia="Arial" w:hAnsi="Arial"/>
          <w:sz w:val="22"/>
          <w:szCs w:val="22"/>
          <w:color w:val="auto"/>
        </w:rPr>
      </w:pPr>
      <w:r>
        <w:rPr>
          <w:rFonts w:ascii="Arial" w:cs="Arial" w:eastAsia="Arial" w:hAnsi="Arial"/>
          <w:sz w:val="22"/>
          <w:szCs w:val="22"/>
          <w:color w:val="auto"/>
        </w:rPr>
        <w:t>Settling Plaintiff agrees to indemnify and hold Edison harmless for any legally valid claim, demand, right, damage, debt, liability, account, action, cause of action, cost or expense, including attorneys’ fees actually paid or incurred, arising out of or in any way connected with any such claim relating to the property that is the subject of Settling Plaintiff’s claims in the Action, if known to the Settling Plaintiff or of which the Settling Plaintiff, as owner, resident, and/or occupant of the property, should reasonably have been aware based on the legal occupation or presence of such other persons and/or their personal property, except, of course, for claims by any such persons that have already been asserted against Edison or of which Edison has already been put on notice.</w:t>
      </w:r>
    </w:p>
    <w:p>
      <w:pPr>
        <w:spacing w:after="0" w:line="6" w:lineRule="exact"/>
        <w:rPr>
          <w:rFonts w:ascii="Arial" w:cs="Arial" w:eastAsia="Arial" w:hAnsi="Arial"/>
          <w:sz w:val="22"/>
          <w:szCs w:val="22"/>
          <w:color w:val="auto"/>
        </w:rPr>
      </w:pPr>
    </w:p>
    <w:p>
      <w:pPr>
        <w:ind w:firstLine="656"/>
        <w:spacing w:after="0" w:line="495" w:lineRule="auto"/>
        <w:tabs>
          <w:tab w:leader="none" w:pos="1296"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NO OTHER INSURANCE CLAIMS</w:t>
      </w:r>
      <w:r>
        <w:rPr>
          <w:rFonts w:ascii="Arial" w:cs="Arial" w:eastAsia="Arial" w:hAnsi="Arial"/>
          <w:sz w:val="22"/>
          <w:szCs w:val="22"/>
          <w:color w:val="auto"/>
        </w:rPr>
        <w:t>. Settling Plaintiff warrants and represents that (i) it has not submitted any claim or demand for the property, damages, and/or loss that is the subject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900" w:right="339" w:bottom="1440" w:gutter="0" w:footer="0" w:header="0"/>
        </w:sectPr>
      </w:pPr>
    </w:p>
    <w:bookmarkStart w:id="52" w:name="page53"/>
    <w:bookmarkEnd w:id="52"/>
    <w:p>
      <w:pPr>
        <w:jc w:val="both"/>
        <w:ind w:right="220"/>
        <w:spacing w:after="0" w:line="473" w:lineRule="auto"/>
        <w:rPr>
          <w:sz w:val="20"/>
          <w:szCs w:val="20"/>
          <w:color w:val="auto"/>
        </w:rPr>
      </w:pPr>
      <w:r>
        <w:rPr>
          <w:rFonts w:ascii="Arial" w:cs="Arial" w:eastAsia="Arial" w:hAnsi="Arial"/>
          <w:sz w:val="22"/>
          <w:szCs w:val="22"/>
          <w:color w:val="auto"/>
        </w:rPr>
        <w:t>the Action to any insurance company (“Insurer”), or (ii) if it has submitted any claim or demand to an Insurer relating to the property, damages, and/or loss that is the subject of the Action, that any and all such claims are closed or will be deemed closed upon settlement with Edison.</w:t>
      </w:r>
    </w:p>
    <w:p>
      <w:pPr>
        <w:spacing w:after="0" w:line="3" w:lineRule="exact"/>
        <w:rPr>
          <w:sz w:val="20"/>
          <w:szCs w:val="20"/>
          <w:color w:val="auto"/>
        </w:rPr>
      </w:pPr>
    </w:p>
    <w:p>
      <w:pPr>
        <w:ind w:firstLine="648"/>
        <w:spacing w:after="0" w:line="476" w:lineRule="auto"/>
        <w:rPr>
          <w:sz w:val="20"/>
          <w:szCs w:val="20"/>
          <w:color w:val="auto"/>
        </w:rPr>
      </w:pPr>
      <w:r>
        <w:rPr>
          <w:rFonts w:ascii="Arial" w:cs="Arial" w:eastAsia="Arial" w:hAnsi="Arial"/>
          <w:sz w:val="22"/>
          <w:szCs w:val="22"/>
          <w:color w:val="auto"/>
        </w:rPr>
        <w:t>Settling Plaintiff further represents and warrants that it has not made any undisclosed claims or demands for payment to an Insurer relating to the property, damages, and/or loss that is the subject of the Action that are currently open or pending and have not been paid as of the mediation date in Exhibit A. Settling Plaintiff also covenants and agrees that it will not make any such claims or demands for payment to an Insurer after the mediation date in Exhibit A. If Settling Plaintiff made or makes any such claim or demand for payment to an Insurer after the mediation date in Exhibit A in breach of the foregoing covenant and agreement, or an Insurer pays monies on any such claim or demand, the amount of such payment shall be deducted from the Settlement Amount. If Settling Plaintiff makes any such claim or demand for payment to an Insurer after SCE has paid the Settlement Amount as provided in paragraph 2 of this Agreement in breach of the foregoing covenant and agreement, or an Insurer pays monies on any such claim or demand, Settling Plaintiff shall indemnify, reimburse, and hold harmless Edison against any subrogation claim by Insurer as a result of such claim or demand.</w:t>
      </w:r>
    </w:p>
    <w:p>
      <w:pPr>
        <w:spacing w:after="0" w:line="3" w:lineRule="exact"/>
        <w:rPr>
          <w:sz w:val="20"/>
          <w:szCs w:val="20"/>
          <w:color w:val="auto"/>
        </w:rPr>
      </w:pPr>
    </w:p>
    <w:p>
      <w:pPr>
        <w:ind w:right="260" w:firstLine="648"/>
        <w:spacing w:after="0" w:line="473" w:lineRule="auto"/>
        <w:rPr>
          <w:sz w:val="20"/>
          <w:szCs w:val="20"/>
          <w:color w:val="auto"/>
        </w:rPr>
      </w:pPr>
      <w:r>
        <w:rPr>
          <w:rFonts w:ascii="Arial" w:cs="Arial" w:eastAsia="Arial" w:hAnsi="Arial"/>
          <w:sz w:val="22"/>
          <w:szCs w:val="22"/>
          <w:color w:val="auto"/>
        </w:rPr>
        <w:t>Settling Plaintiff authorizes Edison to (i) inform it Insurer of this Agreement, consistent with the confidentiality provisions of paragraph 14, and (ii) direct the Insurer to close Settling Plaintiff’s claims, if any, and to cease any further payments to the Settling Plaintiff on such claims.</w:t>
      </w:r>
    </w:p>
    <w:p>
      <w:pPr>
        <w:spacing w:after="0" w:line="3" w:lineRule="exact"/>
        <w:rPr>
          <w:sz w:val="20"/>
          <w:szCs w:val="20"/>
          <w:color w:val="auto"/>
        </w:rPr>
      </w:pPr>
    </w:p>
    <w:p>
      <w:pPr>
        <w:ind w:right="80" w:firstLine="656"/>
        <w:spacing w:after="0" w:line="503" w:lineRule="auto"/>
        <w:tabs>
          <w:tab w:leader="none" w:pos="1296"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The fact that this matter settled and did so with no admission of liability is not confidential. However, the Parties and their counsel expressly agree that, except as set forth herein, they will keep the terms and conditions of this Agreement strictly confidential, and that such confidentiality is of the essence to and is a material term of this Agreement. And except for the Parties’ respective parent or holding companies (including each of their officers and board members), regulators (including the California Public Utilities Commission (“CPUC”)), auditors, attorneys, accountants, insurers, reinsurers, reinsurance intermediaries, tax preparers, business managers,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900" w:right="339" w:bottom="1440" w:gutter="0" w:footer="0" w:header="0"/>
        </w:sectPr>
      </w:pPr>
    </w:p>
    <w:bookmarkStart w:id="53" w:name="page54"/>
    <w:bookmarkEnd w:id="53"/>
    <w:p>
      <w:pPr>
        <w:ind w:right="960"/>
        <w:spacing w:after="0" w:line="496" w:lineRule="auto"/>
        <w:rPr>
          <w:sz w:val="20"/>
          <w:szCs w:val="20"/>
          <w:color w:val="auto"/>
        </w:rPr>
      </w:pPr>
      <w:r>
        <w:rPr>
          <w:rFonts w:ascii="Arial" w:cs="Arial" w:eastAsia="Arial" w:hAnsi="Arial"/>
          <w:sz w:val="21"/>
          <w:szCs w:val="21"/>
          <w:color w:val="auto"/>
        </w:rPr>
        <w:t>financial advisers, and/or bookkeepers, the Parties and their counsel agree not to disclose, divulge, publish, broadcast or state to any third party individual or entity the terms and conditions of this Agreement.</w:t>
      </w:r>
    </w:p>
    <w:p>
      <w:pPr>
        <w:spacing w:after="0" w:line="1" w:lineRule="exact"/>
        <w:rPr>
          <w:sz w:val="20"/>
          <w:szCs w:val="20"/>
          <w:color w:val="auto"/>
        </w:rPr>
      </w:pPr>
    </w:p>
    <w:p>
      <w:pPr>
        <w:ind w:firstLine="648"/>
        <w:spacing w:after="0" w:line="475" w:lineRule="auto"/>
        <w:rPr>
          <w:sz w:val="20"/>
          <w:szCs w:val="20"/>
          <w:color w:val="auto"/>
        </w:rPr>
      </w:pPr>
      <w:r>
        <w:rPr>
          <w:rFonts w:ascii="Arial" w:cs="Arial" w:eastAsia="Arial" w:hAnsi="Arial"/>
          <w:sz w:val="22"/>
          <w:szCs w:val="22"/>
          <w:color w:val="auto"/>
        </w:rPr>
        <w:t>Nothing herein will prohibit the Parties or their counsel from disclosing: (a) as required by applicable laws, including tax and securities laws; (b) as required by Court order; (c) as required by an order, ruling, or rule by the CPUC or an Administrative Law Judge; (d) in any action or proceeding (including arbitration) where the existence or terms of this Agreement are at issue or for the purpose of enforcing this Agreement; or (e) by written agreement of the Parties. In the event that a Court or regulatory agency issues a subpoena, court order, or other valid legal process, the receiving Party or its counsel will give immediate notice to the other Party or Parties, identifying the subpoena, court order, or other valid legal process and the time in which production or disclosure is required.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Notice pursuant to this paragraph shall be provided, in writing, as follows: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Edison:</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Southern California Edison Company</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Law Department</w:t>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2244 Walnut Grove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Rosemead, CA 91770</w:t>
      </w:r>
    </w:p>
    <w:p>
      <w:pPr>
        <w:spacing w:after="0" w:line="3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Settling Plaintiff:</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Gerald Singleton, Esq.</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Singleton Schreiber LLP</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591 Camino de la Reina, Suite 1025</w:t>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San Diego, CA 92108</w:t>
      </w:r>
    </w:p>
    <w:p>
      <w:pPr>
        <w:spacing w:after="0" w:line="325" w:lineRule="exact"/>
        <w:rPr>
          <w:sz w:val="20"/>
          <w:szCs w:val="20"/>
          <w:color w:val="auto"/>
        </w:rPr>
      </w:pPr>
    </w:p>
    <w:p>
      <w:pPr>
        <w:ind w:right="40" w:firstLine="648"/>
        <w:spacing w:after="0" w:line="473" w:lineRule="auto"/>
        <w:rPr>
          <w:sz w:val="20"/>
          <w:szCs w:val="20"/>
          <w:color w:val="auto"/>
        </w:rPr>
      </w:pPr>
      <w:r>
        <w:rPr>
          <w:rFonts w:ascii="Arial" w:cs="Arial" w:eastAsia="Arial" w:hAnsi="Arial"/>
          <w:sz w:val="22"/>
          <w:szCs w:val="22"/>
          <w:color w:val="auto"/>
        </w:rPr>
        <w:t>Such notice shall include full and complete copies of any subpoena or papers served on and/or provided to the Parties purporting to seek or require disclosure of information as to this Agreement, or any of its terms, and shall be made by hand delivery, or by Federal Express or other overnight courier.</w:t>
      </w:r>
    </w:p>
    <w:p>
      <w:pPr>
        <w:spacing w:after="0" w:line="3"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ENTIRE AGREEMENT; AMENDMENT</w:t>
      </w:r>
      <w:r>
        <w:rPr>
          <w:rFonts w:ascii="Arial" w:cs="Arial" w:eastAsia="Arial" w:hAnsi="Arial"/>
          <w:sz w:val="22"/>
          <w:szCs w:val="22"/>
          <w:color w:val="auto"/>
        </w:rPr>
        <w:t>. This Agreement represents and</w:t>
      </w:r>
    </w:p>
    <w:p>
      <w:pPr>
        <w:spacing w:after="0" w:line="247" w:lineRule="exact"/>
        <w:rPr>
          <w:sz w:val="20"/>
          <w:szCs w:val="20"/>
          <w:color w:val="auto"/>
        </w:rPr>
      </w:pPr>
    </w:p>
    <w:p>
      <w:pPr>
        <w:ind w:right="60"/>
        <w:spacing w:after="0" w:line="508" w:lineRule="auto"/>
        <w:rPr>
          <w:sz w:val="20"/>
          <w:szCs w:val="20"/>
          <w:color w:val="auto"/>
        </w:rPr>
      </w:pPr>
      <w:r>
        <w:rPr>
          <w:rFonts w:ascii="Arial" w:cs="Arial" w:eastAsia="Arial" w:hAnsi="Arial"/>
          <w:sz w:val="22"/>
          <w:szCs w:val="22"/>
          <w:color w:val="auto"/>
        </w:rPr>
        <w:t>contains the entire understanding of the Parties. There are no representations, covenants, or undertakings other than those expressly set forth in this Agreement. The Parties acknowledge that no</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900" w:right="339" w:bottom="1440" w:gutter="0" w:footer="0" w:header="0"/>
        </w:sectPr>
      </w:pPr>
    </w:p>
    <w:bookmarkStart w:id="54" w:name="page55"/>
    <w:bookmarkEnd w:id="54"/>
    <w:p>
      <w:pPr>
        <w:spacing w:after="0" w:line="497" w:lineRule="auto"/>
        <w:rPr>
          <w:sz w:val="20"/>
          <w:szCs w:val="20"/>
          <w:color w:val="auto"/>
        </w:rPr>
      </w:pPr>
      <w:r>
        <w:rPr>
          <w:rFonts w:ascii="Arial" w:cs="Arial" w:eastAsia="Arial" w:hAnsi="Arial"/>
          <w:sz w:val="21"/>
          <w:szCs w:val="21"/>
          <w:color w:val="auto"/>
        </w:rPr>
        <w:t>party, nor any agent or attorney of any party, has made any promise, representation, or warranty whatsoever, express or implied, not contained in this Agreement to induce the Parties to execute this Agreement. The Parties and each of them acknowledge that they have not executed this Agreement in reliance on any promise, representation, or warranty not specifically contained in this Agreement. Each of the Parties further represents and declares that it, acting through its representatives, has carefully read this Agreement and knows its contents, and has signed this Agreement freely and voluntarily. This Agreement supersedes any and all prior oral or written agreements, representations and understandings concerning the subject matter of this Agreement. No representation, warranty, condition, understanding, or agreement of any kind concerning the subject matter of this Agreement shall be relied upon unless set forth in this Agreement. This Agreement may not be modified or amended except by an express written agreement signed by the Parties hereto that are affected by the change. No waiver shall be binding unless executed in writing by the Party making the waiver. No waiver of any provision of this Agreement shall be deemed, or shall constitute, a waiver of any other provision, nor shall any waiver constitute a continuing waiver.</w:t>
      </w:r>
    </w:p>
    <w:p>
      <w:pPr>
        <w:spacing w:after="0" w:line="7" w:lineRule="exact"/>
        <w:rPr>
          <w:sz w:val="20"/>
          <w:szCs w:val="20"/>
          <w:color w:val="auto"/>
        </w:rPr>
      </w:pPr>
    </w:p>
    <w:p>
      <w:pPr>
        <w:ind w:right="180" w:firstLine="656"/>
        <w:spacing w:after="0" w:line="476" w:lineRule="auto"/>
        <w:tabs>
          <w:tab w:leader="none" w:pos="1296"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PREPARATION OF AGREEMENT; CONSTRUCTION; HEADINGS</w:t>
      </w:r>
      <w:r>
        <w:rPr>
          <w:rFonts w:ascii="Arial" w:cs="Arial" w:eastAsia="Arial" w:hAnsi="Arial"/>
          <w:sz w:val="22"/>
          <w:szCs w:val="22"/>
          <w:color w:val="auto"/>
        </w:rPr>
        <w:t>. This Agreement is the product of negotiation and preparation by and among the Parties and their respective attorneys. This Agreement shall not be deemed prepared or drafted by one party or another, or its attorneys, and will be construed accordingly. The section headings in this Agreement are for convenience of reference only, will not be deemed a part of this Agreement, and will in no way be held to explain, modify, amplify, or aid in the interpretation, construction, or meaning of the provisions of this Agreement.</w:t>
      </w:r>
    </w:p>
    <w:p>
      <w:pPr>
        <w:ind w:right="80" w:firstLine="656"/>
        <w:spacing w:after="0" w:line="484" w:lineRule="auto"/>
        <w:tabs>
          <w:tab w:leader="none" w:pos="1296"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Each signatory hereto warrants and represents that he or she is competent and authorized to enter into this Agreement on behalf of the party for whom he or she signs. This Agreement is freely and voluntarily entered into and executed upon the advice of Parties’ respective counsel.</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900" w:right="359" w:bottom="1440" w:gutter="0" w:footer="0" w:header="0"/>
        </w:sectPr>
      </w:pPr>
    </w:p>
    <w:bookmarkStart w:id="55" w:name="page56"/>
    <w:bookmarkEnd w:id="55"/>
    <w:p>
      <w:pPr>
        <w:ind w:left="-60" w:firstLine="656"/>
        <w:spacing w:after="0" w:line="476" w:lineRule="auto"/>
        <w:tabs>
          <w:tab w:leader="none" w:pos="1236"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held by a court of competent jurisdiction to be invalid or unenforceable, the remainder of this Agreement shall continue in full force and effect and shall in no way be impaired or invalidated, and the Parties agree to substitute for the invalid or unenforceable provision a valid and enforceable provision that most closely approximates the intent and economic effect of the invalid or unenforceable provision, provided that in the event that any of the paragraphs 2 through 6 above are held to be invalid or unenforceable, the Agreement shall be terminable by either party.</w:t>
      </w:r>
    </w:p>
    <w:p>
      <w:pPr>
        <w:jc w:val="both"/>
        <w:ind w:left="-60" w:right="260" w:firstLine="656"/>
        <w:spacing w:after="0" w:line="496" w:lineRule="auto"/>
        <w:tabs>
          <w:tab w:leader="none" w:pos="1236"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COUNTERPARTS AND EXECUTION BY FACSIMILE</w:t>
      </w:r>
      <w:r>
        <w:rPr>
          <w:rFonts w:ascii="Arial" w:cs="Arial" w:eastAsia="Arial" w:hAnsi="Arial"/>
          <w:sz w:val="21"/>
          <w:szCs w:val="21"/>
          <w:color w:val="auto"/>
        </w:rPr>
        <w:t>. This Agreement may be executed in separate original counterparts that together shall form one binding Agreement. The Parties agree that facsimile, scanned, or electronic signatures shall suffice and be binding on them with respect to the execution of this Agreement.</w:t>
      </w:r>
    </w:p>
    <w:p>
      <w:pPr>
        <w:spacing w:after="0" w:line="1" w:lineRule="exact"/>
        <w:rPr>
          <w:rFonts w:ascii="Arial" w:cs="Arial" w:eastAsia="Arial" w:hAnsi="Arial"/>
          <w:sz w:val="21"/>
          <w:szCs w:val="21"/>
          <w:color w:val="auto"/>
        </w:rPr>
      </w:pPr>
    </w:p>
    <w:p>
      <w:pPr>
        <w:ind w:left="-60" w:right="740" w:firstLine="656"/>
        <w:spacing w:after="0" w:line="473" w:lineRule="auto"/>
        <w:tabs>
          <w:tab w:leader="none" w:pos="1236"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This Agreement shall become effective upon the date the Agreement is fully executed by the Parties and their counsel.</w:t>
      </w:r>
    </w:p>
    <w:p>
      <w:pPr>
        <w:spacing w:after="0" w:line="1" w:lineRule="exact"/>
        <w:rPr>
          <w:rFonts w:ascii="Arial" w:cs="Arial" w:eastAsia="Arial" w:hAnsi="Arial"/>
          <w:sz w:val="22"/>
          <w:szCs w:val="22"/>
          <w:color w:val="auto"/>
        </w:rPr>
      </w:pPr>
    </w:p>
    <w:p>
      <w:pPr>
        <w:ind w:left="-60" w:right="420" w:firstLine="656"/>
        <w:spacing w:after="0" w:line="473" w:lineRule="auto"/>
        <w:tabs>
          <w:tab w:leader="none" w:pos="1236"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The Parties shall perform any further acts, and execute and deliver any documents that may be reasonably necessary to carry out the intent of this Agreement.</w:t>
      </w:r>
    </w:p>
    <w:p>
      <w:pPr>
        <w:spacing w:after="0" w:line="1" w:lineRule="exact"/>
        <w:rPr>
          <w:rFonts w:ascii="Arial" w:cs="Arial" w:eastAsia="Arial" w:hAnsi="Arial"/>
          <w:sz w:val="22"/>
          <w:szCs w:val="22"/>
          <w:color w:val="auto"/>
        </w:rPr>
      </w:pPr>
    </w:p>
    <w:p>
      <w:pPr>
        <w:ind w:left="-60" w:firstLine="656"/>
        <w:spacing w:after="0" w:line="485" w:lineRule="auto"/>
        <w:tabs>
          <w:tab w:leader="none" w:pos="1236"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California without reference to conflict of laws principles. Any disputes under this Agreement shall be brought in the state courts of Los Angeles County, California, and the Parties hereby consent to the personal jurisdiction and venue of these courts.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20"/>
          </w:cols>
          <w:pgMar w:left="380" w:top="900" w:right="399" w:bottom="1440" w:gutter="0" w:footer="0" w:header="0"/>
        </w:sectPr>
      </w:pPr>
    </w:p>
    <w:bookmarkStart w:id="56" w:name="page57"/>
    <w:bookmarkEnd w:id="56"/>
    <w:p>
      <w:pPr>
        <w:ind w:left="2100"/>
        <w:spacing w:after="0"/>
        <w:rPr>
          <w:sz w:val="20"/>
          <w:szCs w:val="20"/>
          <w:color w:val="auto"/>
        </w:rPr>
      </w:pPr>
      <w:r>
        <w:rPr>
          <w:rFonts w:ascii="Arial" w:cs="Arial" w:eastAsia="Arial" w:hAnsi="Arial"/>
          <w:sz w:val="22"/>
          <w:szCs w:val="22"/>
          <w:color w:val="auto"/>
        </w:rPr>
        <w:t>BY SIGNING BELOW, THE PARTIES ACKNOWLEDGE THAT THEY</w:t>
      </w:r>
    </w:p>
    <w:p>
      <w:pPr>
        <w:spacing w:after="0" w:line="247"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HAVE READ AND UNDERSTAND THE TERMS OF THIS AGREEMENT</w:t>
      </w:r>
    </w:p>
    <w:p>
      <w:pPr>
        <w:spacing w:after="0" w:line="247"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AND EXPRESSLY CONSENT THERETO. THE PARTIES FURTHER</w:t>
      </w:r>
    </w:p>
    <w:p>
      <w:pPr>
        <w:spacing w:after="0" w:line="247"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ACKNOWLEDGE THAT THEY HAVE HAD THE OPPORTUNITY TO</w:t>
      </w:r>
    </w:p>
    <w:p>
      <w:pPr>
        <w:spacing w:after="0" w:line="247"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SEEK ADVICE OF COUNSEL, AND ENTER INTO THIS AGREEMENT</w:t>
      </w:r>
    </w:p>
    <w:p>
      <w:pPr>
        <w:spacing w:after="0" w:line="260"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HAVING RECEIVED SUCH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5060" w:type="dxa"/>
            <w:vAlign w:val="bottom"/>
            <w:gridSpan w:val="2"/>
          </w:tcPr>
          <w:p>
            <w:pPr>
              <w:spacing w:after="0"/>
              <w:rPr>
                <w:sz w:val="20"/>
                <w:szCs w:val="20"/>
                <w:color w:val="auto"/>
              </w:rPr>
            </w:pPr>
            <w:r>
              <w:rPr>
                <w:rFonts w:ascii="Arial" w:cs="Arial" w:eastAsia="Arial" w:hAnsi="Arial"/>
                <w:sz w:val="22"/>
                <w:szCs w:val="22"/>
                <w:color w:val="auto"/>
              </w:rPr>
              <w:t>DATED:  4/20/2023</w:t>
            </w:r>
          </w:p>
        </w:tc>
        <w:tc>
          <w:tcPr>
            <w:tcW w:w="6160" w:type="dxa"/>
            <w:vAlign w:val="bottom"/>
            <w:gridSpan w:val="2"/>
          </w:tcPr>
          <w:p>
            <w:pPr>
              <w:ind w:left="820"/>
              <w:spacing w:after="0"/>
              <w:rPr>
                <w:sz w:val="20"/>
                <w:szCs w:val="20"/>
                <w:color w:val="auto"/>
              </w:rPr>
            </w:pPr>
            <w:r>
              <w:rPr>
                <w:rFonts w:ascii="Arial" w:cs="Arial" w:eastAsia="Arial" w:hAnsi="Arial"/>
                <w:sz w:val="22"/>
                <w:szCs w:val="22"/>
                <w:color w:val="auto"/>
              </w:rPr>
              <w:t>For Defendants SOUTHERN CALIFORNIA</w:t>
            </w:r>
          </w:p>
        </w:tc>
      </w:tr>
      <w:tr>
        <w:trPr>
          <w:trHeight w:val="280"/>
        </w:trPr>
        <w:tc>
          <w:tcPr>
            <w:tcW w:w="1020" w:type="dxa"/>
            <w:vAlign w:val="bottom"/>
          </w:tcPr>
          <w:p>
            <w:pPr>
              <w:spacing w:after="0"/>
              <w:rPr>
                <w:sz w:val="24"/>
                <w:szCs w:val="24"/>
                <w:color w:val="auto"/>
              </w:rPr>
            </w:pPr>
          </w:p>
        </w:tc>
        <w:tc>
          <w:tcPr>
            <w:tcW w:w="4040" w:type="dxa"/>
            <w:vAlign w:val="bottom"/>
            <w:tcBorders>
              <w:top w:val="single" w:sz="8" w:color="auto"/>
            </w:tcBorders>
          </w:tcPr>
          <w:p>
            <w:pPr>
              <w:spacing w:after="0"/>
              <w:rPr>
                <w:sz w:val="24"/>
                <w:szCs w:val="24"/>
                <w:color w:val="auto"/>
              </w:rPr>
            </w:pPr>
          </w:p>
        </w:tc>
        <w:tc>
          <w:tcPr>
            <w:tcW w:w="6160" w:type="dxa"/>
            <w:vAlign w:val="bottom"/>
            <w:gridSpan w:val="2"/>
          </w:tcPr>
          <w:p>
            <w:pPr>
              <w:ind w:left="820"/>
              <w:spacing w:after="0"/>
              <w:rPr>
                <w:sz w:val="20"/>
                <w:szCs w:val="20"/>
                <w:color w:val="auto"/>
              </w:rPr>
            </w:pPr>
            <w:r>
              <w:rPr>
                <w:rFonts w:ascii="Arial" w:cs="Arial" w:eastAsia="Arial" w:hAnsi="Arial"/>
                <w:sz w:val="22"/>
                <w:szCs w:val="22"/>
                <w:color w:val="auto"/>
              </w:rPr>
              <w:t>EDISON COMPANY and EDISON</w:t>
            </w:r>
          </w:p>
        </w:tc>
      </w:tr>
      <w:tr>
        <w:trPr>
          <w:trHeight w:val="311"/>
        </w:trPr>
        <w:tc>
          <w:tcPr>
            <w:tcW w:w="1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22"/>
                <w:szCs w:val="22"/>
                <w:color w:val="auto"/>
              </w:rPr>
              <w:t>INTERNATIONAL</w:t>
            </w:r>
          </w:p>
        </w:tc>
      </w:tr>
      <w:tr>
        <w:trPr>
          <w:trHeight w:val="874"/>
        </w:trPr>
        <w:tc>
          <w:tcPr>
            <w:tcW w:w="1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160" w:type="dxa"/>
            <w:vAlign w:val="bottom"/>
            <w:gridSpan w:val="2"/>
          </w:tcPr>
          <w:p>
            <w:pPr>
              <w:ind w:left="980"/>
              <w:spacing w:after="0"/>
              <w:rPr>
                <w:sz w:val="20"/>
                <w:szCs w:val="20"/>
                <w:color w:val="auto"/>
              </w:rPr>
            </w:pPr>
            <w:r>
              <w:rPr>
                <w:rFonts w:ascii="Arial" w:cs="Arial" w:eastAsia="Arial" w:hAnsi="Arial"/>
                <w:sz w:val="22"/>
                <w:szCs w:val="22"/>
                <w:color w:val="auto"/>
              </w:rPr>
              <w:t>By: /s/Jennifer Hasbrouck</w:t>
            </w:r>
          </w:p>
        </w:tc>
      </w:tr>
      <w:tr>
        <w:trPr>
          <w:trHeight w:val="294"/>
        </w:trPr>
        <w:tc>
          <w:tcPr>
            <w:tcW w:w="1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Jennifer Hasbrouck</w:t>
            </w:r>
          </w:p>
        </w:tc>
      </w:tr>
      <w:tr>
        <w:trPr>
          <w:trHeight w:val="310"/>
        </w:trPr>
        <w:tc>
          <w:tcPr>
            <w:tcW w:w="1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22"/>
                <w:szCs w:val="22"/>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1020" w:val="left"/>
          <w:tab w:leader="none" w:pos="5860" w:val="left"/>
        </w:tabs>
        <w:rPr>
          <w:sz w:val="20"/>
          <w:szCs w:val="20"/>
          <w:color w:val="auto"/>
        </w:rPr>
      </w:pPr>
      <w:r>
        <w:rPr>
          <w:rFonts w:ascii="Arial" w:cs="Arial" w:eastAsia="Arial" w:hAnsi="Arial"/>
          <w:sz w:val="22"/>
          <w:szCs w:val="22"/>
          <w:color w:val="auto"/>
        </w:rPr>
        <w:t>DATED:</w:t>
        <w:tab/>
        <w:t>Apr 18, 2023</w:t>
      </w:r>
      <w:r>
        <w:rPr>
          <w:sz w:val="20"/>
          <w:szCs w:val="20"/>
          <w:color w:val="auto"/>
        </w:rPr>
        <w:tab/>
      </w:r>
      <w:r>
        <w:rPr>
          <w:rFonts w:ascii="Arial" w:cs="Arial" w:eastAsia="Arial" w:hAnsi="Arial"/>
          <w:sz w:val="21"/>
          <w:szCs w:val="21"/>
          <w:color w:val="auto"/>
        </w:rPr>
        <w:t>For Settling Plaintiff LIMONEIRA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25400</wp:posOffset>
            </wp:positionV>
            <wp:extent cx="2554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By: /s/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4046855</wp:posOffset>
            </wp:positionH>
            <wp:positionV relativeFrom="paragraph">
              <wp:posOffset>24130</wp:posOffset>
            </wp:positionV>
            <wp:extent cx="30778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3077845" cy="8890"/>
                    </a:xfrm>
                    <a:prstGeom prst="rect">
                      <a:avLst/>
                    </a:prstGeom>
                    <a:noFill/>
                  </pic:spPr>
                </pic:pic>
              </a:graphicData>
            </a:graphic>
          </wp:anchor>
        </w:drawing>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Mark Palamountain</w:t>
      </w:r>
    </w:p>
    <w:p>
      <w:pPr>
        <w:spacing w:after="0" w:line="71"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40" w:top="954" w:right="339" w:bottom="1440" w:gutter="0" w:footer="0" w:header="0"/>
        </w:sectPr>
      </w:pPr>
    </w:p>
    <w:bookmarkStart w:id="57" w:name="page58"/>
    <w:bookmarkEnd w:id="57"/>
    <w:p>
      <w:pPr>
        <w:ind w:left="3480"/>
        <w:spacing w:after="0"/>
        <w:rPr>
          <w:sz w:val="20"/>
          <w:szCs w:val="20"/>
          <w:color w:val="auto"/>
        </w:rPr>
      </w:pPr>
      <w:r>
        <w:rPr>
          <w:rFonts w:ascii="Arial" w:cs="Arial" w:eastAsia="Arial" w:hAnsi="Arial"/>
          <w:sz w:val="22"/>
          <w:szCs w:val="22"/>
          <w:color w:val="auto"/>
        </w:rPr>
        <w:t>APPROVED AS TO FORM AND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1020" w:val="left"/>
          <w:tab w:leader="none" w:pos="58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4.18.23</w:t>
      </w:r>
      <w:r>
        <w:rPr>
          <w:sz w:val="20"/>
          <w:szCs w:val="20"/>
          <w:color w:val="auto"/>
        </w:rPr>
        <w:tab/>
      </w:r>
      <w:r>
        <w:rPr>
          <w:rFonts w:ascii="Arial" w:cs="Arial" w:eastAsia="Arial" w:hAnsi="Arial"/>
          <w:sz w:val="21"/>
          <w:szCs w:val="21"/>
          <w:color w:val="auto"/>
        </w:rPr>
        <w:t>SINGLETON SCHREIBER,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25400</wp:posOffset>
            </wp:positionV>
            <wp:extent cx="25546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By: /s/ Gary LoCurto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4046855</wp:posOffset>
            </wp:positionH>
            <wp:positionV relativeFrom="paragraph">
              <wp:posOffset>25400</wp:posOffset>
            </wp:positionV>
            <wp:extent cx="30778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3077845" cy="8255"/>
                    </a:xfrm>
                    <a:prstGeom prst="rect">
                      <a:avLst/>
                    </a:prstGeom>
                    <a:noFill/>
                  </pic:spPr>
                </pic:pic>
              </a:graphicData>
            </a:graphic>
          </wp:anchor>
        </w:drawing>
      </w:r>
    </w:p>
    <w:p>
      <w:pPr>
        <w:spacing w:after="0" w:line="51"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Gary LoCurto</w:t>
      </w:r>
    </w:p>
    <w:p>
      <w:pPr>
        <w:spacing w:after="0" w:line="58"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Attorneys for Settling Plaintiff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1020" w:val="left"/>
          <w:tab w:leader="none" w:pos="5860" w:val="left"/>
        </w:tabs>
        <w:rPr>
          <w:sz w:val="20"/>
          <w:szCs w:val="20"/>
          <w:color w:val="auto"/>
        </w:rPr>
      </w:pPr>
      <w:r>
        <w:rPr>
          <w:rFonts w:ascii="Arial" w:cs="Arial" w:eastAsia="Arial" w:hAnsi="Arial"/>
          <w:sz w:val="22"/>
          <w:szCs w:val="22"/>
          <w:color w:val="auto"/>
        </w:rPr>
        <w:t>DATED:</w:t>
        <w:tab/>
        <w:t>4/20/2023</w:t>
      </w:r>
      <w:r>
        <w:rPr>
          <w:sz w:val="20"/>
          <w:szCs w:val="20"/>
          <w:color w:val="auto"/>
        </w:rPr>
        <w:tab/>
      </w:r>
      <w:r>
        <w:rPr>
          <w:rFonts w:ascii="Arial" w:cs="Arial" w:eastAsia="Arial" w:hAnsi="Arial"/>
          <w:sz w:val="21"/>
          <w:szCs w:val="21"/>
          <w:color w:val="auto"/>
        </w:rPr>
        <w:t>HUESTON HENNIGAN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102235</wp:posOffset>
            </wp:positionV>
            <wp:extent cx="25546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By: /s/ Douglas J.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4046855</wp:posOffset>
            </wp:positionH>
            <wp:positionV relativeFrom="paragraph">
              <wp:posOffset>25400</wp:posOffset>
            </wp:positionV>
            <wp:extent cx="30778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3077845" cy="8890"/>
                    </a:xfrm>
                    <a:prstGeom prst="rect">
                      <a:avLst/>
                    </a:prstGeom>
                    <a:noFill/>
                  </pic:spPr>
                </pic:pic>
              </a:graphicData>
            </a:graphic>
          </wp:anchor>
        </w:drawing>
      </w:r>
    </w:p>
    <w:p>
      <w:pPr>
        <w:spacing w:after="0" w:line="51"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Douglas J. Dixon</w:t>
      </w:r>
    </w:p>
    <w:p>
      <w:pPr>
        <w:spacing w:after="0" w:line="71" w:lineRule="exact"/>
        <w:rPr>
          <w:sz w:val="20"/>
          <w:szCs w:val="20"/>
          <w:color w:val="auto"/>
        </w:rPr>
      </w:pPr>
    </w:p>
    <w:p>
      <w:pPr>
        <w:ind w:left="6400"/>
        <w:spacing w:after="0"/>
        <w:rPr>
          <w:sz w:val="20"/>
          <w:szCs w:val="20"/>
          <w:color w:val="auto"/>
        </w:rPr>
      </w:pPr>
      <w:r>
        <w:rPr>
          <w:rFonts w:ascii="Arial" w:cs="Arial" w:eastAsia="Arial" w:hAnsi="Arial"/>
          <w:sz w:val="21"/>
          <w:szCs w:val="21"/>
          <w:color w:val="auto"/>
        </w:rPr>
        <w:t>Attorneys for Defendants SOUTHERN</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CALIFORNIA EDISON COMPANY and</w:t>
      </w:r>
    </w:p>
    <w:p>
      <w:pPr>
        <w:spacing w:after="0" w:line="58" w:lineRule="exact"/>
        <w:rPr>
          <w:sz w:val="20"/>
          <w:szCs w:val="20"/>
          <w:color w:val="auto"/>
        </w:rPr>
      </w:pPr>
    </w:p>
    <w:p>
      <w:pPr>
        <w:ind w:left="6400"/>
        <w:spacing w:after="0"/>
        <w:rPr>
          <w:sz w:val="20"/>
          <w:szCs w:val="20"/>
          <w:color w:val="auto"/>
        </w:rPr>
      </w:pPr>
      <w:r>
        <w:rPr>
          <w:rFonts w:ascii="Arial" w:cs="Arial" w:eastAsia="Arial" w:hAnsi="Arial"/>
          <w:sz w:val="22"/>
          <w:szCs w:val="22"/>
          <w:color w:val="auto"/>
        </w:rPr>
        <w:t>EDISON INTERNATIONAL</w:t>
      </w:r>
    </w:p>
    <w:p>
      <w:pPr>
        <w:spacing w:after="0" w:line="395"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120"/>
          </w:cols>
          <w:pgMar w:left="340" w:top="900" w:right="1439" w:bottom="1440" w:gutter="0" w:footer="0" w:header="0"/>
        </w:sectPr>
      </w:pPr>
    </w:p>
    <w:bookmarkStart w:id="58" w:name="page59"/>
    <w:bookmarkEnd w:id="58"/>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Harold S. Edwards, certify that:</w:t>
      </w:r>
    </w:p>
    <w:p>
      <w:pPr>
        <w:spacing w:after="0" w:line="252" w:lineRule="exact"/>
        <w:rPr>
          <w:sz w:val="20"/>
          <w:szCs w:val="20"/>
          <w:color w:val="auto"/>
        </w:rPr>
      </w:pPr>
    </w:p>
    <w:p>
      <w:pPr>
        <w:ind w:left="360" w:hanging="312"/>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52"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60" w:hanging="412"/>
        <w:spacing w:after="0" w:line="308" w:lineRule="auto"/>
        <w:tabs>
          <w:tab w:leader="none" w:pos="43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60" w:hanging="412"/>
        <w:spacing w:after="0" w:line="263" w:lineRule="auto"/>
        <w:tabs>
          <w:tab w:leader="none" w:pos="4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09"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86"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00" w:hanging="406"/>
        <w:spacing w:after="0" w:line="342" w:lineRule="auto"/>
        <w:tabs>
          <w:tab w:leader="none" w:pos="99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00" w:hanging="406"/>
        <w:spacing w:after="0" w:line="263" w:lineRule="auto"/>
        <w:tabs>
          <w:tab w:leader="none" w:pos="89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460" w:hanging="412"/>
        <w:spacing w:after="0" w:line="308" w:lineRule="auto"/>
        <w:tabs>
          <w:tab w:leader="none" w:pos="377"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hanging="406"/>
        <w:spacing w:after="0" w:line="277" w:lineRule="auto"/>
        <w:tabs>
          <w:tab w:leader="none" w:pos="8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hanging="406"/>
        <w:spacing w:after="0" w:line="277" w:lineRule="auto"/>
        <w:tabs>
          <w:tab w:leader="none" w:pos="97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5920" w:val="left"/>
        </w:tabs>
        <w:rPr>
          <w:sz w:val="20"/>
          <w:szCs w:val="20"/>
          <w:color w:val="auto"/>
        </w:rPr>
      </w:pPr>
      <w:r>
        <w:rPr>
          <w:rFonts w:ascii="Arial" w:cs="Arial" w:eastAsia="Arial" w:hAnsi="Arial"/>
          <w:sz w:val="18"/>
          <w:szCs w:val="18"/>
          <w:color w:val="auto"/>
        </w:rPr>
        <w:t>June 6, 2023</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74930</wp:posOffset>
            </wp:positionV>
            <wp:extent cx="33775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Director, President, and Chief Executive Officer</w:t>
      </w:r>
    </w:p>
    <w:p>
      <w:pPr>
        <w:spacing w:after="0" w:line="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9" w:name="page60"/>
    <w:bookmarkEnd w:id="59"/>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Palamountain, certify that:</w:t>
      </w:r>
    </w:p>
    <w:p>
      <w:pPr>
        <w:spacing w:after="0" w:line="252" w:lineRule="exact"/>
        <w:rPr>
          <w:sz w:val="20"/>
          <w:szCs w:val="20"/>
          <w:color w:val="auto"/>
        </w:rPr>
      </w:pPr>
    </w:p>
    <w:p>
      <w:pPr>
        <w:ind w:left="360" w:hanging="312"/>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52"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60" w:hanging="412"/>
        <w:spacing w:after="0" w:line="308" w:lineRule="auto"/>
        <w:tabs>
          <w:tab w:leader="none" w:pos="43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60" w:hanging="412"/>
        <w:spacing w:after="0" w:line="263" w:lineRule="auto"/>
        <w:tabs>
          <w:tab w:leader="none" w:pos="4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0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86"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00" w:hanging="406"/>
        <w:spacing w:after="0" w:line="342" w:lineRule="auto"/>
        <w:tabs>
          <w:tab w:leader="none" w:pos="99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00" w:hanging="406"/>
        <w:spacing w:after="0" w:line="255" w:lineRule="auto"/>
        <w:tabs>
          <w:tab w:leader="none" w:pos="89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460" w:hanging="412"/>
        <w:spacing w:after="0" w:line="290" w:lineRule="auto"/>
        <w:tabs>
          <w:tab w:leader="none" w:pos="37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7"/>
          <w:szCs w:val="17"/>
          <w:color w:val="auto"/>
        </w:rPr>
      </w:pPr>
    </w:p>
    <w:p>
      <w:pPr>
        <w:ind w:left="900" w:hanging="406"/>
        <w:spacing w:after="0" w:line="277" w:lineRule="auto"/>
        <w:tabs>
          <w:tab w:leader="none" w:pos="89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hanging="406"/>
        <w:spacing w:after="0" w:line="277" w:lineRule="auto"/>
        <w:tabs>
          <w:tab w:leader="none" w:pos="97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5920" w:val="left"/>
        </w:tabs>
        <w:rPr>
          <w:sz w:val="20"/>
          <w:szCs w:val="20"/>
          <w:color w:val="auto"/>
        </w:rPr>
      </w:pPr>
      <w:r>
        <w:rPr>
          <w:rFonts w:ascii="Arial" w:cs="Arial" w:eastAsia="Arial" w:hAnsi="Arial"/>
          <w:sz w:val="18"/>
          <w:szCs w:val="18"/>
          <w:color w:val="auto"/>
        </w:rPr>
        <w:t>June 6, 2023</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74930</wp:posOffset>
            </wp:positionV>
            <wp:extent cx="33775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 and Treasurer</w:t>
      </w:r>
    </w:p>
    <w:p>
      <w:pPr>
        <w:spacing w:after="0" w:line="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60" w:name="page61"/>
    <w:bookmarkEnd w:id="60"/>
    <w:p>
      <w:pPr>
        <w:ind w:left="10320"/>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38"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April 30, 2023 (the “Report”) of Limoneira Company (the “Registrant”), as filed with the Securities and Exchange Commission on the date hereof, I, Harold S. Edwards, hereby certify that:</w:t>
      </w:r>
    </w:p>
    <w:p>
      <w:pPr>
        <w:spacing w:after="0" w:line="49" w:lineRule="exact"/>
        <w:rPr>
          <w:sz w:val="20"/>
          <w:szCs w:val="20"/>
          <w:color w:val="auto"/>
        </w:rPr>
      </w:pPr>
    </w:p>
    <w:p>
      <w:pPr>
        <w:ind w:left="880" w:hanging="386"/>
        <w:spacing w:after="0"/>
        <w:tabs>
          <w:tab w:leader="none" w:pos="8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00" w:hanging="406"/>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6140" w:val="left"/>
        </w:tabs>
        <w:rPr>
          <w:sz w:val="20"/>
          <w:szCs w:val="20"/>
          <w:color w:val="auto"/>
        </w:rPr>
      </w:pPr>
      <w:r>
        <w:rPr>
          <w:rFonts w:ascii="Arial" w:cs="Arial" w:eastAsia="Arial" w:hAnsi="Arial"/>
          <w:sz w:val="18"/>
          <w:szCs w:val="18"/>
          <w:color w:val="auto"/>
        </w:rPr>
        <w:t>June 6, 2023</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74930</wp:posOffset>
            </wp:positionV>
            <wp:extent cx="32321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1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Director, President, and Chief Executive Officer</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769" w:right="339" w:bottom="1440" w:gutter="0" w:footer="0" w:header="0"/>
        </w:sectPr>
      </w:pPr>
    </w:p>
    <w:bookmarkStart w:id="61" w:name="page62"/>
    <w:bookmarkEnd w:id="61"/>
    <w:p>
      <w:pPr>
        <w:ind w:left="10320"/>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38"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April 30, 2023 (the “Report”) of Limoneira Company (the “Registrant”), as filed with the Securities and Exchange Commission on the date hereof, I, Mark Palamountain, hereby certify that:</w:t>
      </w:r>
    </w:p>
    <w:p>
      <w:pPr>
        <w:spacing w:after="0" w:line="49" w:lineRule="exact"/>
        <w:rPr>
          <w:sz w:val="20"/>
          <w:szCs w:val="20"/>
          <w:color w:val="auto"/>
        </w:rPr>
      </w:pPr>
    </w:p>
    <w:p>
      <w:pPr>
        <w:ind w:left="880" w:hanging="386"/>
        <w:spacing w:after="0"/>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00" w:hanging="406"/>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20"/>
        <w:spacing w:after="0"/>
        <w:tabs>
          <w:tab w:leader="none" w:pos="6140" w:val="left"/>
        </w:tabs>
        <w:rPr>
          <w:sz w:val="20"/>
          <w:szCs w:val="20"/>
          <w:color w:val="auto"/>
        </w:rPr>
      </w:pPr>
      <w:r>
        <w:rPr>
          <w:rFonts w:ascii="Arial" w:cs="Arial" w:eastAsia="Arial" w:hAnsi="Arial"/>
          <w:sz w:val="18"/>
          <w:szCs w:val="18"/>
          <w:color w:val="auto"/>
        </w:rPr>
        <w:t>June 6, 2023</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74930</wp:posOffset>
            </wp:positionV>
            <wp:extent cx="32321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1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and Treasurer</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2"/>
    </w:lvl>
  </w:abstractNum>
  <w:abstractNum w:abstractNumId="5">
    <w:nsid w:val="836C40E"/>
    <w:multiLevelType w:val="hybridMultilevel"/>
    <w:lvl w:ilvl="0">
      <w:lvlJc w:val="left"/>
      <w:lvlText w:val="%1."/>
      <w:numFmt w:val="decimal"/>
      <w:start w:val="3"/>
    </w:lvl>
  </w:abstractNum>
  <w:abstractNum w:abstractNumId="6">
    <w:nsid w:val="2901D82"/>
    <w:multiLevelType w:val="hybridMultilevel"/>
    <w:lvl w:ilvl="0">
      <w:lvlJc w:val="left"/>
      <w:lvlText w:val="%1."/>
      <w:numFmt w:val="decimal"/>
      <w:start w:val="5"/>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4"/>
    </w:lvl>
  </w:abstractNum>
  <w:abstractNum w:abstractNumId="9">
    <w:nsid w:val="1E7FF521"/>
    <w:multiLevelType w:val="hybridMultilevel"/>
    <w:lvl w:ilvl="0">
      <w:lvlJc w:val="left"/>
      <w:lvlText w:val="(%1)"/>
      <w:numFmt w:val="decimal"/>
      <w:start w:val="7"/>
    </w:lvl>
  </w:abstractNum>
  <w:abstractNum w:abstractNumId="10">
    <w:nsid w:val="7C3DBD3D"/>
    <w:multiLevelType w:val="hybridMultilevel"/>
    <w:lvl w:ilvl="0">
      <w:lvlJc w:val="left"/>
      <w:lvlText w:val="(%1)"/>
      <w:numFmt w:val="decimal"/>
      <w:start w:val="1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lvl w:ilvl="1">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04"/>
    </w:lvl>
    <w:lvl w:ilvl="1">
      <w:lvlJc w:val="left"/>
      <w:lvlText w:val="*"/>
      <w:numFmt w:val="bullet"/>
      <w:start w:val="1"/>
    </w:lvl>
  </w:abstractNum>
  <w:abstractNum w:abstractNumId="35">
    <w:nsid w:val="1D4ED43B"/>
    <w:multiLevelType w:val="hybridMultilevel"/>
    <w:lvl w:ilvl="0">
      <w:lvlJc w:val="left"/>
      <w:lvlText w:val="%1."/>
      <w:numFmt w:val="upperLetter"/>
      <w:start w:val="1"/>
    </w:lvl>
  </w:abstractNum>
  <w:abstractNum w:abstractNumId="36">
    <w:nsid w:val="725A06FB"/>
    <w:multiLevelType w:val="hybridMultilevel"/>
    <w:lvl w:ilvl="0">
      <w:lvlJc w:val="left"/>
      <w:lvlText w:val="1"/>
      <w:numFmt w:val="bullet"/>
      <w:start w:val="1"/>
    </w:lvl>
  </w:abstractNum>
  <w:abstractNum w:abstractNumId="37">
    <w:nsid w:val="2CD89A32"/>
    <w:multiLevelType w:val="hybridMultilevel"/>
    <w:lvl w:ilvl="0">
      <w:lvlJc w:val="left"/>
      <w:lvlText w:val="%1."/>
      <w:numFmt w:val="upperLetter"/>
      <w:start w:val="3"/>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4"/>
    </w:lvl>
  </w:abstractNum>
  <w:abstractNum w:abstractNumId="40">
    <w:nsid w:val="4B588F54"/>
    <w:multiLevelType w:val="hybridMultilevel"/>
    <w:lvl w:ilvl="0">
      <w:lvlJc w:val="left"/>
      <w:lvlText w:val="%1."/>
      <w:numFmt w:val="decimal"/>
      <w:start w:val="6"/>
    </w:lvl>
  </w:abstractNum>
  <w:abstractNum w:abstractNumId="41">
    <w:nsid w:val="542289EC"/>
    <w:multiLevelType w:val="hybridMultilevel"/>
    <w:lvl w:ilvl="0">
      <w:lvlJc w:val="left"/>
      <w:lvlText w:val="%1."/>
      <w:numFmt w:val="decimal"/>
      <w:start w:val="8"/>
    </w:lvl>
  </w:abstractNum>
  <w:abstractNum w:abstractNumId="42">
    <w:nsid w:val="6DE91B18"/>
    <w:multiLevelType w:val="hybridMultilevel"/>
    <w:lvl w:ilvl="0">
      <w:lvlJc w:val="left"/>
      <w:lvlText w:val="%1."/>
      <w:numFmt w:val="decimal"/>
      <w:start w:val="10"/>
    </w:lvl>
  </w:abstractNum>
  <w:abstractNum w:abstractNumId="43">
    <w:nsid w:val="38437FDB"/>
    <w:multiLevelType w:val="hybridMultilevel"/>
    <w:lvl w:ilvl="0">
      <w:lvlJc w:val="left"/>
      <w:lvlText w:val="%1."/>
      <w:numFmt w:val="decimal"/>
      <w:start w:val="14"/>
    </w:lvl>
  </w:abstractNum>
  <w:abstractNum w:abstractNumId="44">
    <w:nsid w:val="7644A45C"/>
    <w:multiLevelType w:val="hybridMultilevel"/>
    <w:lvl w:ilvl="0">
      <w:lvlJc w:val="left"/>
      <w:lvlText w:val="%1."/>
      <w:numFmt w:val="decimal"/>
      <w:start w:val="15"/>
    </w:lvl>
  </w:abstractNum>
  <w:abstractNum w:abstractNumId="45">
    <w:nsid w:val="32FFF902"/>
    <w:multiLevelType w:val="hybridMultilevel"/>
    <w:lvl w:ilvl="0">
      <w:lvlJc w:val="left"/>
      <w:lvlText w:val="%1."/>
      <w:numFmt w:val="decimal"/>
      <w:start w:val="16"/>
    </w:lvl>
  </w:abstractNum>
  <w:abstractNum w:abstractNumId="46">
    <w:nsid w:val="684A481A"/>
    <w:multiLevelType w:val="hybridMultilevel"/>
    <w:lvl w:ilvl="0">
      <w:lvlJc w:val="left"/>
      <w:lvlText w:val="%1."/>
      <w:numFmt w:val="decimal"/>
      <w:start w:val="18"/>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63" Type="http://schemas.openxmlformats.org/officeDocument/2006/relationships/hyperlink" Target="http://www.sec.gov/Archives/edgar/data/1342423/000114420410007241/v173157_ex3-1.htm" TargetMode="External"/><Relationship Id="rId64" Type="http://schemas.openxmlformats.org/officeDocument/2006/relationships/hyperlink" Target="http://www.sec.gov/Archives/edgar/data/1342423/000114420410007241/v173157_ex3-6.htm" TargetMode="External"/><Relationship Id="rId65" Type="http://schemas.openxmlformats.org/officeDocument/2006/relationships/hyperlink" Target="http://www.sec.gov/Archives/edgar/data/1342423/000114420410007241/v173157_ex3-7.htm" TargetMode="External"/><Relationship Id="rId66" Type="http://schemas.openxmlformats.org/officeDocument/2006/relationships/hyperlink" Target="http://www.sec.gov/Archives/edgar/data/1342423/000114420410017415/v178900_ex3-9.htm" TargetMode="External"/><Relationship Id="rId67" Type="http://schemas.openxmlformats.org/officeDocument/2006/relationships/hyperlink" Target="http://www.sec.gov/Archives/edgar/data/1342423/000114420417018212/v463210_ex3-1.htm" TargetMode="External"/><Relationship Id="rId68" Type="http://schemas.openxmlformats.org/officeDocument/2006/relationships/hyperlink" Target="http://www.sec.gov/Archives/edgar/data/1342423/000110465921130485/tm2131208d1_ex3-1.htm" TargetMode="External"/><Relationship Id="rId69" Type="http://schemas.openxmlformats.org/officeDocument/2006/relationships/hyperlink" Target="http://www.sec.gov/Archives/edgar/data/1342423/000114420410007241/v173157_ex4-2.htm" TargetMode="External"/><Relationship Id="rId70" Type="http://schemas.openxmlformats.org/officeDocument/2006/relationships/hyperlink" Target="http://www.sec.gov/Archives/edgar/data/1342423/000114420410007241/v173157_ex3-4.htm" TargetMode="External"/><Relationship Id="rId71" Type="http://schemas.openxmlformats.org/officeDocument/2006/relationships/hyperlink" Target="http://www.sec.gov/Archives/edgar/data/1342423/000114420410007241/v173157_ex3-5.htm" TargetMode="External"/><Relationship Id="rId72" Type="http://schemas.openxmlformats.org/officeDocument/2006/relationships/hyperlink" Target="http://www.sec.gov/Archives/edgar/data/1342423/000114420410007241/v173157_ex3-8.htm" TargetMode="External"/><Relationship Id="rId73" Type="http://schemas.openxmlformats.org/officeDocument/2006/relationships/hyperlink" Target="http://www.sec.gov/Archives/edgar/data/1342423/000114420414017379/v372494_ex3-1.htm" TargetMode="External"/><Relationship Id="rId76" Type="http://schemas.openxmlformats.org/officeDocument/2006/relationships/hyperlink" Target="http://www.sec.gov/Archives/edgar/data/1342423/000110465923008598/tm234205d1_ex10-1.htm" TargetMode="External"/><Relationship Id="rId77" Type="http://schemas.openxmlformats.org/officeDocument/2006/relationships/hyperlink" Target="http://www.sec.gov/Archives/edgar/data/1342423/000110465923008598/tm234205d1_ex10-2.htm" TargetMode="External"/><Relationship Id="rId78" Type="http://schemas.openxmlformats.org/officeDocument/2006/relationships/hyperlink" Target="http://www.sec.gov/Archives/edgar/data/1342423/000110465923008598/tm234205d1_ex10-3.htm" TargetMode="External"/><Relationship Id="rId79" Type="http://schemas.openxmlformats.org/officeDocument/2006/relationships/hyperlink" Target="http://www.sec.gov/Archives/edgar/data/1342423/000134242323000010/lmnr13123exhibit106.htm" TargetMode="External"/><Relationship Id="rId80" Type="http://schemas.openxmlformats.org/officeDocument/2006/relationships/hyperlink" Target="http://www.sec.gov/Archives/edgar/data/1342423/000134242323000010/lmnr13123exhibit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2023-06-06T15:12:25Z</dcterms:created>
  <dcterms:modified xsi:type="dcterms:W3CDTF">2023-06-06T15:12:25Z</dcterms:modified>
</cp:coreProperties>
</file>