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1492250</wp:posOffset>
            </wp:positionH>
            <wp:positionV relativeFrom="paragraph">
              <wp:posOffset>22860</wp:posOffset>
            </wp:positionV>
            <wp:extent cx="41840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84015" cy="6985"/>
                    </a:xfrm>
                    <a:prstGeom prst="rect">
                      <a:avLst/>
                    </a:prstGeom>
                    <a:noFill/>
                  </pic:spPr>
                </pic:pic>
              </a:graphicData>
            </a:graphic>
          </wp:anchor>
        </w:drawing>
        <w:drawing>
          <wp:anchor simplePos="0" relativeHeight="251657728" behindDoc="1" locked="0" layoutInCell="0" allowOverlap="1">
            <wp:simplePos x="0" y="0"/>
            <wp:positionH relativeFrom="column">
              <wp:posOffset>1492250</wp:posOffset>
            </wp:positionH>
            <wp:positionV relativeFrom="paragraph">
              <wp:posOffset>-138430</wp:posOffset>
            </wp:positionV>
            <wp:extent cx="41840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84015" cy="6985"/>
                    </a:xfrm>
                    <a:prstGeom prst="rect">
                      <a:avLst/>
                    </a:prstGeom>
                    <a:noFill/>
                  </pic:spPr>
                </pic:pic>
              </a:graphicData>
            </a:graphic>
          </wp:anchor>
        </w:drawing>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(Mark One)</w:t>
      </w:r>
    </w:p>
    <w:p>
      <w:pPr>
        <w:spacing w:after="0" w:line="61" w:lineRule="exact"/>
        <w:rPr>
          <w:sz w:val="24"/>
          <w:szCs w:val="24"/>
          <w:color w:val="auto"/>
        </w:rPr>
      </w:pPr>
    </w:p>
    <w:p>
      <w:pPr>
        <w:ind w:left="240" w:hanging="221"/>
        <w:spacing w:after="0"/>
        <w:tabs>
          <w:tab w:leader="none" w:pos="24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For The Quarterly Period Ended </w:t>
      </w:r>
      <w:r>
        <w:rPr>
          <w:rFonts w:ascii="Times New Roman" w:cs="Times New Roman" w:eastAsia="Times New Roman" w:hAnsi="Times New Roman"/>
          <w:sz w:val="19"/>
          <w:szCs w:val="19"/>
          <w:b w:val="1"/>
          <w:bCs w:val="1"/>
          <w:color w:val="auto"/>
        </w:rPr>
        <w:t>July 31, 2024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63" w:lineRule="exact"/>
        <w:rPr>
          <w:sz w:val="24"/>
          <w:szCs w:val="24"/>
          <w:color w:val="auto"/>
        </w:rPr>
      </w:pPr>
    </w:p>
    <w:p>
      <w:pPr>
        <w:ind w:left="240" w:hanging="221"/>
        <w:spacing w:after="0"/>
        <w:tabs>
          <w:tab w:leader="none" w:pos="240"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84" w:lineRule="exact"/>
        <w:rPr>
          <w:sz w:val="24"/>
          <w:szCs w:val="24"/>
          <w:color w:val="auto"/>
        </w:rPr>
      </w:pPr>
    </w:p>
    <w:tbl>
      <w:tblPr>
        <w:tblLayout w:type="fixed"/>
        <w:tblInd w:w="1300" w:type="dxa"/>
        <w:tblCellMar>
          <w:top w:w="0" w:type="dxa"/>
          <w:left w:w="0" w:type="dxa"/>
          <w:bottom w:w="0" w:type="dxa"/>
          <w:right w:w="0" w:type="dxa"/>
        </w:tblCellMar>
      </w:tblPr>
      <w:tr>
        <w:trPr>
          <w:trHeight w:val="167"/>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gridSpan w:val="3"/>
          </w:tcPr>
          <w:p>
            <w:pPr>
              <w:ind w:left="86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38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248"/>
        </w:trPr>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40" w:type="dxa"/>
            <w:vAlign w:val="bottom"/>
            <w:gridSpan w:val="6"/>
          </w:tcPr>
          <w:p>
            <w:pPr>
              <w:jc w:val="center"/>
              <w:ind w:right="2360"/>
              <w:spacing w:after="0"/>
              <w:rPr>
                <w:sz w:val="20"/>
                <w:szCs w:val="20"/>
                <w:color w:val="auto"/>
              </w:rPr>
            </w:pPr>
            <w:r>
              <w:rPr>
                <w:rFonts w:ascii="Times New Roman" w:cs="Times New Roman" w:eastAsia="Times New Roman" w:hAnsi="Times New Roman"/>
                <w:sz w:val="13"/>
                <w:szCs w:val="13"/>
                <w:b w:val="1"/>
                <w:bCs w:val="1"/>
                <w:color w:val="auto"/>
                <w:w w:val="98"/>
              </w:rPr>
              <w:t>Commission File Number: 001-347</w:t>
            </w:r>
            <w:r>
              <w:rPr>
                <w:rFonts w:ascii="Times New Roman" w:cs="Times New Roman" w:eastAsia="Times New Roman" w:hAnsi="Times New Roman"/>
                <w:sz w:val="14"/>
                <w:szCs w:val="14"/>
                <w:b w:val="1"/>
                <w:bCs w:val="1"/>
                <w:color w:val="auto"/>
                <w:w w:val="98"/>
              </w:rPr>
              <w:t>55</w:t>
            </w:r>
          </w:p>
        </w:tc>
        <w:tc>
          <w:tcPr>
            <w:tcW w:w="0" w:type="dxa"/>
            <w:vAlign w:val="bottom"/>
          </w:tcPr>
          <w:p>
            <w:pPr>
              <w:spacing w:after="0"/>
              <w:rPr>
                <w:sz w:val="1"/>
                <w:szCs w:val="1"/>
                <w:color w:val="auto"/>
              </w:rPr>
            </w:pPr>
          </w:p>
        </w:tc>
      </w:tr>
      <w:tr>
        <w:trPr>
          <w:trHeight w:val="138"/>
        </w:trPr>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3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40" w:type="dxa"/>
            <w:vAlign w:val="bottom"/>
            <w:gridSpan w:val="5"/>
          </w:tcPr>
          <w:p>
            <w:pPr>
              <w:jc w:val="center"/>
              <w:ind w:right="996"/>
              <w:spacing w:after="0" w:line="372" w:lineRule="exact"/>
              <w:rPr>
                <w:sz w:val="20"/>
                <w:szCs w:val="20"/>
                <w:color w:val="auto"/>
              </w:rPr>
            </w:pPr>
            <w:r>
              <w:rPr>
                <w:rFonts w:ascii="Times New Roman" w:cs="Times New Roman" w:eastAsia="Times New Roman" w:hAnsi="Times New Roman"/>
                <w:sz w:val="34"/>
                <w:szCs w:val="34"/>
                <w:b w:val="1"/>
                <w:bCs w:val="1"/>
                <w:color w:val="auto"/>
                <w:w w:val="99"/>
              </w:rPr>
              <w:t>LIMONEIRA COMPANY</w:t>
            </w: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40" w:type="dxa"/>
            <w:vAlign w:val="bottom"/>
            <w:gridSpan w:val="6"/>
          </w:tcPr>
          <w:p>
            <w:pPr>
              <w:jc w:val="center"/>
              <w:ind w:right="2360"/>
              <w:spacing w:after="0"/>
              <w:rPr>
                <w:sz w:val="20"/>
                <w:szCs w:val="20"/>
                <w:color w:val="auto"/>
              </w:rPr>
            </w:pPr>
            <w:r>
              <w:rPr>
                <w:rFonts w:ascii="Times New Roman" w:cs="Times New Roman" w:eastAsia="Times New Roman" w:hAnsi="Times New Roman"/>
                <w:sz w:val="13"/>
                <w:szCs w:val="13"/>
                <w:color w:val="auto"/>
                <w:w w:val="98"/>
              </w:rPr>
              <w:t>(Exact name of registrant as specified in its charter)</w:t>
            </w:r>
          </w:p>
        </w:tc>
        <w:tc>
          <w:tcPr>
            <w:tcW w:w="0" w:type="dxa"/>
            <w:vAlign w:val="bottom"/>
          </w:tcPr>
          <w:p>
            <w:pPr>
              <w:spacing w:after="0"/>
              <w:rPr>
                <w:sz w:val="1"/>
                <w:szCs w:val="1"/>
                <w:color w:val="auto"/>
              </w:rPr>
            </w:pPr>
          </w:p>
        </w:tc>
      </w:tr>
      <w:tr>
        <w:trPr>
          <w:trHeight w:val="328"/>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8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77-0260692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0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3860" w:type="dxa"/>
            <w:vAlign w:val="bottom"/>
            <w:gridSpan w:val="3"/>
          </w:tcPr>
          <w:p>
            <w:pPr>
              <w:jc w:val="center"/>
              <w:ind w:left="236"/>
              <w:spacing w:after="0"/>
              <w:rPr>
                <w:sz w:val="20"/>
                <w:szCs w:val="20"/>
                <w:color w:val="auto"/>
              </w:rPr>
            </w:pPr>
            <w:r>
              <w:rPr>
                <w:rFonts w:ascii="Times New Roman" w:cs="Times New Roman" w:eastAsia="Times New Roman" w:hAnsi="Times New Roman"/>
                <w:sz w:val="13"/>
                <w:szCs w:val="13"/>
                <w:color w:val="auto"/>
                <w:w w:val="97"/>
              </w:rPr>
              <w:t>(I.R.S. Employer Identification Number)</w:t>
            </w:r>
          </w:p>
        </w:tc>
        <w:tc>
          <w:tcPr>
            <w:tcW w:w="0" w:type="dxa"/>
            <w:vAlign w:val="bottom"/>
          </w:tcPr>
          <w:p>
            <w:pPr>
              <w:spacing w:after="0"/>
              <w:rPr>
                <w:sz w:val="1"/>
                <w:szCs w:val="1"/>
                <w:color w:val="auto"/>
              </w:rPr>
            </w:pPr>
          </w:p>
        </w:tc>
      </w:tr>
      <w:tr>
        <w:trPr>
          <w:trHeight w:val="265"/>
        </w:trPr>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980" w:type="dxa"/>
            <w:vAlign w:val="bottom"/>
            <w:gridSpan w:val="3"/>
          </w:tcPr>
          <w:p>
            <w:pPr>
              <w:jc w:val="center"/>
              <w:ind w:left="1426"/>
              <w:spacing w:after="0"/>
              <w:rPr>
                <w:sz w:val="20"/>
                <w:szCs w:val="20"/>
                <w:color w:val="auto"/>
              </w:rPr>
            </w:pPr>
            <w:r>
              <w:rPr>
                <w:rFonts w:ascii="Times New Roman" w:cs="Times New Roman" w:eastAsia="Times New Roman" w:hAnsi="Times New Roman"/>
                <w:sz w:val="13"/>
                <w:szCs w:val="13"/>
                <w:b w:val="1"/>
                <w:bCs w:val="1"/>
                <w:color w:val="auto"/>
                <w:w w:val="97"/>
              </w:rPr>
              <w:t>1141 Cummings Road</w:t>
            </w: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gridSpan w:val="3"/>
          </w:tcPr>
          <w:p>
            <w:pPr>
              <w:jc w:val="center"/>
              <w:ind w:left="1446"/>
              <w:spacing w:after="0"/>
              <w:rPr>
                <w:sz w:val="20"/>
                <w:szCs w:val="20"/>
                <w:color w:val="auto"/>
              </w:rPr>
            </w:pPr>
            <w:r>
              <w:rPr>
                <w:rFonts w:ascii="Times New Roman" w:cs="Times New Roman" w:eastAsia="Times New Roman" w:hAnsi="Times New Roman"/>
                <w:sz w:val="13"/>
                <w:szCs w:val="13"/>
                <w:b w:val="1"/>
                <w:bCs w:val="1"/>
                <w:color w:val="auto"/>
                <w:w w:val="98"/>
              </w:rPr>
              <w:t>Santa Paula, CA 93060</w:t>
            </w: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3"/>
                <w:szCs w:val="13"/>
                <w:color w:val="auto"/>
                <w:w w:val="98"/>
              </w:rPr>
              <w:t>(Address of principal executive offices and zip code)</w:t>
            </w: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 (805) 525-5541</w:t>
            </w: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40" w:type="dxa"/>
            <w:vAlign w:val="bottom"/>
            <w:gridSpan w:val="6"/>
          </w:tcPr>
          <w:p>
            <w:pPr>
              <w:jc w:val="center"/>
              <w:ind w:right="236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166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980" w:type="dxa"/>
            <w:vAlign w:val="bottom"/>
            <w:gridSpan w:val="3"/>
          </w:tcPr>
          <w:p>
            <w:pPr>
              <w:jc w:val="center"/>
              <w:ind w:left="1446"/>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1500" w:type="dxa"/>
            <w:vAlign w:val="bottom"/>
          </w:tcPr>
          <w:p>
            <w:pPr>
              <w:spacing w:after="0"/>
              <w:rPr>
                <w:sz w:val="13"/>
                <w:szCs w:val="13"/>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00" w:type="dxa"/>
            <w:vAlign w:val="bottom"/>
            <w:gridSpan w:val="4"/>
          </w:tcPr>
          <w:p>
            <w:pPr>
              <w:jc w:val="right"/>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9"/>
              </w:rPr>
              <w:t>Common Stock, par value $0.01</w:t>
            </w:r>
          </w:p>
        </w:tc>
        <w:tc>
          <w:tcPr>
            <w:tcW w:w="1820" w:type="dxa"/>
            <w:vAlign w:val="bottom"/>
          </w:tcPr>
          <w:p>
            <w:pPr>
              <w:spacing w:after="0"/>
              <w:rPr>
                <w:sz w:val="12"/>
                <w:szCs w:val="12"/>
                <w:color w:val="auto"/>
              </w:rPr>
            </w:pPr>
          </w:p>
        </w:tc>
        <w:tc>
          <w:tcPr>
            <w:tcW w:w="116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LMNR</w:t>
            </w:r>
          </w:p>
        </w:tc>
        <w:tc>
          <w:tcPr>
            <w:tcW w:w="1500" w:type="dxa"/>
            <w:vAlign w:val="bottom"/>
          </w:tcPr>
          <w:p>
            <w:pPr>
              <w:spacing w:after="0"/>
              <w:rPr>
                <w:sz w:val="12"/>
                <w:szCs w:val="12"/>
                <w:color w:val="auto"/>
              </w:rPr>
            </w:pPr>
          </w:p>
        </w:tc>
        <w:tc>
          <w:tcPr>
            <w:tcW w:w="23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8"/>
              </w:rPr>
              <w:t>The NASDAQ Stock Market LLC</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(NASDAQ Global Select Market)</w:t>
            </w:r>
          </w:p>
        </w:tc>
        <w:tc>
          <w:tcPr>
            <w:tcW w:w="0" w:type="dxa"/>
            <w:vAlign w:val="bottom"/>
          </w:tcPr>
          <w:p>
            <w:pPr>
              <w:spacing w:after="0"/>
              <w:rPr>
                <w:sz w:val="1"/>
                <w:szCs w:val="1"/>
                <w:color w:val="auto"/>
              </w:rPr>
            </w:pPr>
          </w:p>
        </w:tc>
      </w:tr>
    </w:tbl>
    <w:p>
      <w:pPr>
        <w:spacing w:after="0" w:line="151" w:lineRule="exact"/>
        <w:rPr>
          <w:sz w:val="24"/>
          <w:szCs w:val="24"/>
          <w:color w:val="auto"/>
        </w:rPr>
      </w:pPr>
    </w:p>
    <w:p>
      <w:pPr>
        <w:ind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firstLine="509"/>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27"/>
        </w:trPr>
        <w:tc>
          <w:tcPr>
            <w:tcW w:w="2080" w:type="dxa"/>
            <w:vAlign w:val="bottom"/>
            <w:vMerge w:val="restart"/>
          </w:tcPr>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tc>
        <w:tc>
          <w:tcPr>
            <w:tcW w:w="2380" w:type="dxa"/>
            <w:vAlign w:val="bottom"/>
            <w:vMerge w:val="restart"/>
          </w:tcPr>
          <w:p>
            <w:pPr>
              <w:ind w:left="82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tc>
        <w:tc>
          <w:tcPr>
            <w:tcW w:w="2380" w:type="dxa"/>
            <w:vAlign w:val="bottom"/>
            <w:vMerge w:val="restart"/>
          </w:tcPr>
          <w:p>
            <w:pPr>
              <w:ind w:left="56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tc>
        <w:tc>
          <w:tcPr>
            <w:tcW w:w="218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color w:val="auto"/>
                <w:w w:val="98"/>
              </w:rPr>
              <w:t>Smaller reporting</w:t>
            </w:r>
          </w:p>
        </w:tc>
        <w:tc>
          <w:tcPr>
            <w:tcW w:w="1560" w:type="dxa"/>
            <w:vAlign w:val="bottom"/>
          </w:tcPr>
          <w:p>
            <w:pPr>
              <w:jc w:val="center"/>
              <w:ind w:left="616"/>
              <w:spacing w:after="0" w:line="128" w:lineRule="exact"/>
              <w:rPr>
                <w:sz w:val="20"/>
                <w:szCs w:val="20"/>
                <w:color w:val="auto"/>
              </w:rPr>
            </w:pPr>
            <w:r>
              <w:rPr>
                <w:rFonts w:ascii="Times New Roman" w:cs="Times New Roman" w:eastAsia="Times New Roman" w:hAnsi="Times New Roman"/>
                <w:sz w:val="13"/>
                <w:szCs w:val="13"/>
                <w:color w:val="auto"/>
                <w:w w:val="96"/>
              </w:rPr>
              <w:t>Emerging growth</w:t>
            </w:r>
          </w:p>
        </w:tc>
        <w:tc>
          <w:tcPr>
            <w:tcW w:w="0" w:type="dxa"/>
            <w:vAlign w:val="bottom"/>
          </w:tcPr>
          <w:p>
            <w:pPr>
              <w:spacing w:after="0"/>
              <w:rPr>
                <w:sz w:val="1"/>
                <w:szCs w:val="1"/>
                <w:color w:val="auto"/>
              </w:rPr>
            </w:pPr>
          </w:p>
        </w:tc>
      </w:tr>
      <w:tr>
        <w:trPr>
          <w:trHeight w:val="214"/>
        </w:trPr>
        <w:tc>
          <w:tcPr>
            <w:tcW w:w="2080" w:type="dxa"/>
            <w:vAlign w:val="bottom"/>
            <w:vMerge w:val="continue"/>
          </w:tcPr>
          <w:p>
            <w:pPr>
              <w:spacing w:after="0"/>
              <w:rPr>
                <w:sz w:val="18"/>
                <w:szCs w:val="18"/>
                <w:color w:val="auto"/>
              </w:rPr>
            </w:pPr>
          </w:p>
        </w:tc>
        <w:tc>
          <w:tcPr>
            <w:tcW w:w="2380" w:type="dxa"/>
            <w:vAlign w:val="bottom"/>
            <w:vMerge w:val="continue"/>
          </w:tcPr>
          <w:p>
            <w:pPr>
              <w:spacing w:after="0"/>
              <w:rPr>
                <w:sz w:val="18"/>
                <w:szCs w:val="18"/>
                <w:color w:val="auto"/>
              </w:rPr>
            </w:pPr>
          </w:p>
        </w:tc>
        <w:tc>
          <w:tcPr>
            <w:tcW w:w="2380" w:type="dxa"/>
            <w:vAlign w:val="bottom"/>
            <w:vMerge w:val="continue"/>
          </w:tcPr>
          <w:p>
            <w:pPr>
              <w:spacing w:after="0"/>
              <w:rPr>
                <w:sz w:val="18"/>
                <w:szCs w:val="18"/>
                <w:color w:val="auto"/>
              </w:rPr>
            </w:pPr>
          </w:p>
        </w:tc>
        <w:tc>
          <w:tcPr>
            <w:tcW w:w="2180" w:type="dxa"/>
            <w:vAlign w:val="bottom"/>
          </w:tcPr>
          <w:p>
            <w:pPr>
              <w:jc w:val="center"/>
              <w:ind w:right="16"/>
              <w:spacing w:after="0" w:line="150" w:lineRule="exact"/>
              <w:rPr>
                <w:sz w:val="20"/>
                <w:szCs w:val="20"/>
                <w:color w:val="auto"/>
              </w:rPr>
            </w:pPr>
            <w:r>
              <w:rPr>
                <w:rFonts w:ascii="Times New Roman" w:cs="Times New Roman" w:eastAsia="Times New Roman" w:hAnsi="Times New Roman"/>
                <w:sz w:val="13"/>
                <w:szCs w:val="13"/>
                <w:color w:val="auto"/>
                <w:w w:val="96"/>
              </w:rPr>
              <w:t xml:space="preserve">company </w:t>
            </w:r>
            <w:r>
              <w:rPr>
                <w:rFonts w:ascii="MS PGothic" w:cs="MS PGothic" w:eastAsia="MS PGothic" w:hAnsi="MS PGothic"/>
                <w:sz w:val="13"/>
                <w:szCs w:val="13"/>
                <w:color w:val="auto"/>
                <w:w w:val="96"/>
              </w:rPr>
              <w:t>☐</w:t>
            </w:r>
          </w:p>
        </w:tc>
        <w:tc>
          <w:tcPr>
            <w:tcW w:w="1560" w:type="dxa"/>
            <w:vAlign w:val="bottom"/>
          </w:tcPr>
          <w:p>
            <w:pPr>
              <w:jc w:val="center"/>
              <w:ind w:left="616"/>
              <w:spacing w:after="0" w:line="150" w:lineRule="exact"/>
              <w:rPr>
                <w:sz w:val="20"/>
                <w:szCs w:val="20"/>
                <w:color w:val="auto"/>
              </w:rPr>
            </w:pPr>
            <w:r>
              <w:rPr>
                <w:rFonts w:ascii="Times New Roman" w:cs="Times New Roman" w:eastAsia="Times New Roman" w:hAnsi="Times New Roman"/>
                <w:sz w:val="13"/>
                <w:szCs w:val="13"/>
                <w:color w:val="auto"/>
                <w:w w:val="93"/>
              </w:rPr>
              <w:t xml:space="preserve">company </w:t>
            </w:r>
            <w:r>
              <w:rPr>
                <w:rFonts w:ascii="MS PGothic" w:cs="MS PGothic" w:eastAsia="MS PGothic" w:hAnsi="MS PGothic"/>
                <w:sz w:val="13"/>
                <w:szCs w:val="13"/>
                <w:color w:val="auto"/>
                <w:w w:val="93"/>
              </w:rPr>
              <w:t>☐</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p>
      <w:pPr>
        <w:ind w:left="520" w:right="428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August 31, 2024, there were 18,051,901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427990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3"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 I. FINANCIAL INFORMATION</w:t>
            </w:r>
          </w:p>
        </w:tc>
        <w:tc>
          <w:tcPr>
            <w:tcW w:w="196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w w:val="85"/>
              </w:rPr>
              <w:t>4</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Item 1. Financial Statements (Unaudited)</w:t>
            </w:r>
          </w:p>
        </w:tc>
        <w:tc>
          <w:tcPr>
            <w:tcW w:w="19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4</w:t>
            </w:r>
          </w:p>
        </w:tc>
        <w:tc>
          <w:tcPr>
            <w:tcW w:w="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9200" w:type="dxa"/>
            <w:vAlign w:val="bottom"/>
            <w:tcBorders>
              <w:bottom w:val="single" w:sz="8" w:color="CCEEFF"/>
            </w:tcBorders>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Consolidated Balance Sheets – July 31, 2024 and October 31, 2023</w:t>
            </w:r>
          </w:p>
        </w:tc>
        <w:tc>
          <w:tcPr>
            <w:tcW w:w="196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4</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Statements of Operations – three and nine months ended July 31, 2024 and 2023</w:t>
            </w:r>
          </w:p>
        </w:tc>
        <w:tc>
          <w:tcPr>
            <w:tcW w:w="19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5</w:t>
            </w:r>
          </w:p>
        </w:tc>
        <w:tc>
          <w:tcPr>
            <w:tcW w:w="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9200" w:type="dxa"/>
            <w:vAlign w:val="bottom"/>
            <w:tcBorders>
              <w:bottom w:val="single" w:sz="8" w:color="CCEEFF"/>
            </w:tcBorders>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Consolidated Statements of Comprehensive Income (Loss) – three and nine months ended July 31, 2024 and 2023</w:t>
            </w:r>
          </w:p>
        </w:tc>
        <w:tc>
          <w:tcPr>
            <w:tcW w:w="196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Statements of Stockholders' Equity and Temporary Equity – three and nine months ended July 31, 2024 and 2023</w:t>
            </w:r>
          </w:p>
        </w:tc>
        <w:tc>
          <w:tcPr>
            <w:tcW w:w="19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7</w:t>
            </w:r>
          </w:p>
        </w:tc>
        <w:tc>
          <w:tcPr>
            <w:tcW w:w="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9200" w:type="dxa"/>
            <w:vAlign w:val="bottom"/>
            <w:tcBorders>
              <w:bottom w:val="single" w:sz="8" w:color="CCEEFF"/>
            </w:tcBorders>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Consolidated Statements of Cash Flows – nine months ended July 31, 2024 and 2023</w:t>
            </w:r>
          </w:p>
        </w:tc>
        <w:tc>
          <w:tcPr>
            <w:tcW w:w="196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9</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Notes to Consolidated Financial Statements</w:t>
            </w:r>
          </w:p>
        </w:tc>
        <w:tc>
          <w:tcPr>
            <w:tcW w:w="196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11</w:t>
            </w:r>
          </w:p>
        </w:tc>
        <w:tc>
          <w:tcPr>
            <w:tcW w:w="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2. Management's Discussion and Analysis of Financial Condition and Results of Operations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28</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Item 3. Quantitative and Qualitative Disclosures about Market Risk</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44</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9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4. Controls and Procedures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44</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 II. OTHER INFORMATION</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45</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9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1. Legal Proceedings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45</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Item 1A. Risk Factors</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45</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9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2. Unregistered Sales of Equity Securities and Use of Proceeds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45</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Item 3. Defaults Upon Senior Securities</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45</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9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4. Mine Safety Disclosures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45</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Item 5. Other Information</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45</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9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6. Exhibits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46</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SIGNATURES</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48</w:t>
            </w:r>
          </w:p>
        </w:tc>
        <w:tc>
          <w:tcPr>
            <w:tcW w:w="20" w:type="dxa"/>
            <w:vAlign w:val="bottom"/>
          </w:tcPr>
          <w:p>
            <w:pPr>
              <w:spacing w:after="0"/>
              <w:rPr>
                <w:sz w:val="12"/>
                <w:szCs w:val="12"/>
                <w:color w:val="auto"/>
              </w:rPr>
            </w:pPr>
          </w:p>
        </w:tc>
      </w:tr>
      <w:tr>
        <w:trPr>
          <w:trHeight w:val="680"/>
        </w:trPr>
        <w:tc>
          <w:tcPr>
            <w:tcW w:w="9220" w:type="dxa"/>
            <w:vAlign w:val="bottom"/>
            <w:gridSpan w:val="2"/>
          </w:tcPr>
          <w:p>
            <w:pPr>
              <w:jc w:val="right"/>
              <w:ind w:right="3469"/>
              <w:spacing w:after="0"/>
              <w:rPr>
                <w:sz w:val="20"/>
                <w:szCs w:val="20"/>
                <w:color w:val="auto"/>
              </w:rPr>
            </w:pPr>
            <w:r>
              <w:rPr>
                <w:rFonts w:ascii="Times New Roman" w:cs="Times New Roman" w:eastAsia="Times New Roman" w:hAnsi="Times New Roman"/>
                <w:sz w:val="14"/>
                <w:szCs w:val="14"/>
                <w:color w:val="auto"/>
              </w:rPr>
              <w:t>2</w:t>
            </w:r>
          </w:p>
        </w:tc>
        <w:tc>
          <w:tcPr>
            <w:tcW w:w="19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20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Quarterly Report on Form 10-Q (this “Quarterly Report”) contains both historical and forward-looking statements. Forward-looking statements in this Quarterly Report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pacing w:after="0" w:line="72"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executing the Company's business plans and strategies and managing the risks involved in the foregoing;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regulations, rules, quotas, tariffs and import laws;</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weather conditions, natural disasters and other adverse natural conditions, including freezes, rains, fires, winds and droughts that affect the production, transportation, storage, import and export of fresh produce;</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responses to industry volume pressures;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pressure from disease, insects and other pests;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of water supplies or changes in water allocations;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in the global supply chain;</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impacts related to the COVID-19 pandemic and our Company's responses to the pandemic;</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and raw materials supply and pricing;</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supply and pricing;</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 impact of inflation;</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financing for development activities;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for residential and commercial real estate development;</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changes and economic crises;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conflict;</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terrorism;</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disruptions, strikes, shortages or work stoppages;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foreign exchange rate movements;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maintain compliance with covenants under our loan agreements;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important intellectual property rights; and</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factors disclosed in our public filings with the Securities and Exchange Commission (the “SEC”).</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2023 additional factors that could cause our actual results to differ from our projections or estimates.</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2023.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Except as required by law, we undertake no obligation to update these forward-looking statements, even if our situation changes in the future.</w:t>
      </w:r>
    </w:p>
    <w:p>
      <w:pPr>
        <w:spacing w:after="0" w:line="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All references to “we,” “us,” “our,” “our Company,” “the Company” or “Limoneira” in this Quarterly Report mean Limoneira Company, a Delaware corporation, and its consolidated subsidiaries.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auto"/>
        </w:rPr>
        <w:t>PART I. FINANCIAL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BALANCE SHEETS (UNAUDITED)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July 31, 2024</w:t>
            </w:r>
          </w:p>
        </w:tc>
        <w:tc>
          <w:tcPr>
            <w:tcW w:w="10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October 31, 2023</w:t>
            </w:r>
          </w:p>
        </w:tc>
        <w:tc>
          <w:tcPr>
            <w:tcW w:w="0" w:type="dxa"/>
            <w:vAlign w:val="bottom"/>
          </w:tcPr>
          <w:p>
            <w:pPr>
              <w:spacing w:after="0"/>
              <w:rPr>
                <w:sz w:val="1"/>
                <w:szCs w:val="1"/>
                <w:color w:val="auto"/>
              </w:rPr>
            </w:pPr>
          </w:p>
        </w:tc>
      </w:tr>
      <w:tr>
        <w:trPr>
          <w:trHeight w:val="163"/>
        </w:trPr>
        <w:tc>
          <w:tcPr>
            <w:tcW w:w="8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w:t>
            </w:r>
          </w:p>
        </w:tc>
        <w:tc>
          <w:tcPr>
            <w:tcW w:w="0" w:type="dxa"/>
            <w:vAlign w:val="bottom"/>
          </w:tcPr>
          <w:p>
            <w:pPr>
              <w:spacing w:after="0"/>
              <w:rPr>
                <w:sz w:val="1"/>
                <w:szCs w:val="1"/>
                <w:color w:val="auto"/>
              </w:rPr>
            </w:pPr>
          </w:p>
        </w:tc>
      </w:tr>
      <w:tr>
        <w:trPr>
          <w:trHeight w:val="168"/>
        </w:trPr>
        <w:tc>
          <w:tcPr>
            <w:tcW w:w="8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21,398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14,458</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Cultural costs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w:t>
            </w:r>
          </w:p>
        </w:tc>
        <w:tc>
          <w:tcPr>
            <w:tcW w:w="0" w:type="dxa"/>
            <w:vAlign w:val="bottom"/>
          </w:tcPr>
          <w:p>
            <w:pPr>
              <w:spacing w:after="0"/>
              <w:rPr>
                <w:sz w:val="1"/>
                <w:szCs w:val="1"/>
                <w:color w:val="auto"/>
              </w:rPr>
            </w:pPr>
          </w:p>
        </w:tc>
      </w:tr>
      <w:tr>
        <w:trPr>
          <w:trHeight w:val="168"/>
        </w:trPr>
        <w:tc>
          <w:tcPr>
            <w:tcW w:w="8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5,588</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Receivables/other from related parties</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4,098</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0" w:type="dxa"/>
            <w:vAlign w:val="bottom"/>
          </w:tcPr>
          <w:p>
            <w:pPr>
              <w:spacing w:after="0"/>
              <w:rPr>
                <w:sz w:val="1"/>
                <w:szCs w:val="1"/>
                <w:color w:val="auto"/>
              </w:rPr>
            </w:pPr>
          </w:p>
        </w:tc>
      </w:tr>
      <w:tr>
        <w:trPr>
          <w:trHeight w:val="158"/>
        </w:trPr>
        <w:tc>
          <w:tcPr>
            <w:tcW w:w="88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35,481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30,225</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161,625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160,631</w:t>
            </w:r>
          </w:p>
        </w:tc>
        <w:tc>
          <w:tcPr>
            <w:tcW w:w="0" w:type="dxa"/>
            <w:vAlign w:val="bottom"/>
          </w:tcPr>
          <w:p>
            <w:pPr>
              <w:spacing w:after="0"/>
              <w:rPr>
                <w:sz w:val="1"/>
                <w:szCs w:val="1"/>
                <w:color w:val="auto"/>
              </w:rPr>
            </w:pPr>
          </w:p>
        </w:tc>
      </w:tr>
      <w:tr>
        <w:trPr>
          <w:trHeight w:val="168"/>
        </w:trPr>
        <w:tc>
          <w:tcPr>
            <w:tcW w:w="8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 development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9,987</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 investments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80,375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78,816</w:t>
            </w:r>
          </w:p>
        </w:tc>
        <w:tc>
          <w:tcPr>
            <w:tcW w:w="0" w:type="dxa"/>
            <w:vAlign w:val="bottom"/>
          </w:tcPr>
          <w:p>
            <w:pPr>
              <w:spacing w:after="0"/>
              <w:rPr>
                <w:sz w:val="1"/>
                <w:szCs w:val="1"/>
                <w:color w:val="auto"/>
              </w:rPr>
            </w:pPr>
          </w:p>
        </w:tc>
      </w:tr>
      <w:tr>
        <w:trPr>
          <w:trHeight w:val="168"/>
        </w:trPr>
        <w:tc>
          <w:tcPr>
            <w:tcW w:w="8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6,657</w:t>
            </w:r>
          </w:p>
        </w:tc>
        <w:tc>
          <w:tcPr>
            <w:tcW w:w="0" w:type="dxa"/>
            <w:vAlign w:val="bottom"/>
          </w:tcPr>
          <w:p>
            <w:pPr>
              <w:spacing w:after="0"/>
              <w:rPr>
                <w:sz w:val="1"/>
                <w:szCs w:val="1"/>
                <w:color w:val="auto"/>
              </w:rPr>
            </w:pPr>
          </w:p>
        </w:tc>
      </w:tr>
      <w:tr>
        <w:trPr>
          <w:trHeight w:val="168"/>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12,831</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13,382</w:t>
            </w:r>
          </w:p>
        </w:tc>
        <w:tc>
          <w:tcPr>
            <w:tcW w:w="0" w:type="dxa"/>
            <w:vAlign w:val="bottom"/>
          </w:tcPr>
          <w:p>
            <w:pPr>
              <w:spacing w:after="0"/>
              <w:rPr>
                <w:sz w:val="1"/>
                <w:szCs w:val="1"/>
                <w:color w:val="auto"/>
              </w:rPr>
            </w:pPr>
          </w:p>
        </w:tc>
      </w:tr>
      <w:tr>
        <w:trPr>
          <w:trHeight w:val="188"/>
        </w:trPr>
        <w:tc>
          <w:tcPr>
            <w:tcW w:w="8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307,313</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301,210</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Convertible Preferred Stock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8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9,892</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Growers and suppliers payable</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9,629</w:t>
            </w:r>
          </w:p>
        </w:tc>
        <w:tc>
          <w:tcPr>
            <w:tcW w:w="0" w:type="dxa"/>
            <w:vAlign w:val="bottom"/>
          </w:tcPr>
          <w:p>
            <w:pPr>
              <w:spacing w:after="0"/>
              <w:rPr>
                <w:sz w:val="1"/>
                <w:szCs w:val="1"/>
                <w:color w:val="auto"/>
              </w:rPr>
            </w:pPr>
          </w:p>
        </w:tc>
      </w:tr>
      <w:tr>
        <w:trPr>
          <w:trHeight w:val="168"/>
        </w:trPr>
        <w:tc>
          <w:tcPr>
            <w:tcW w:w="8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liabilities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8,651</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Payables to related parties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4,805</w:t>
            </w:r>
          </w:p>
        </w:tc>
        <w:tc>
          <w:tcPr>
            <w:tcW w:w="0" w:type="dxa"/>
            <w:vAlign w:val="bottom"/>
          </w:tcPr>
          <w:p>
            <w:pPr>
              <w:spacing w:after="0"/>
              <w:rPr>
                <w:sz w:val="1"/>
                <w:szCs w:val="1"/>
                <w:color w:val="auto"/>
              </w:rPr>
            </w:pPr>
          </w:p>
        </w:tc>
      </w:tr>
      <w:tr>
        <w:trPr>
          <w:trHeight w:val="168"/>
        </w:trPr>
        <w:tc>
          <w:tcPr>
            <w:tcW w:w="8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0" w:type="dxa"/>
            <w:vAlign w:val="bottom"/>
          </w:tcPr>
          <w:p>
            <w:pPr>
              <w:spacing w:after="0"/>
              <w:rPr>
                <w:sz w:val="1"/>
                <w:szCs w:val="1"/>
                <w:color w:val="auto"/>
              </w:rPr>
            </w:pPr>
          </w:p>
        </w:tc>
      </w:tr>
      <w:tr>
        <w:trPr>
          <w:trHeight w:val="163"/>
        </w:trPr>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38,211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33,358</w:t>
            </w:r>
          </w:p>
        </w:tc>
        <w:tc>
          <w:tcPr>
            <w:tcW w:w="0" w:type="dxa"/>
            <w:vAlign w:val="bottom"/>
          </w:tcPr>
          <w:p>
            <w:pPr>
              <w:spacing w:after="0"/>
              <w:rPr>
                <w:sz w:val="1"/>
                <w:szCs w:val="1"/>
                <w:color w:val="auto"/>
              </w:rPr>
            </w:pPr>
          </w:p>
        </w:tc>
      </w:tr>
      <w:tr>
        <w:trPr>
          <w:trHeight w:val="168"/>
        </w:trPr>
        <w:tc>
          <w:tcPr>
            <w:tcW w:w="8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liabilities: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Long-term debt, less current portion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40,049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40,628</w:t>
            </w:r>
          </w:p>
        </w:tc>
        <w:tc>
          <w:tcPr>
            <w:tcW w:w="0" w:type="dxa"/>
            <w:vAlign w:val="bottom"/>
          </w:tcPr>
          <w:p>
            <w:pPr>
              <w:spacing w:after="0"/>
              <w:rPr>
                <w:sz w:val="1"/>
                <w:szCs w:val="1"/>
                <w:color w:val="auto"/>
              </w:rPr>
            </w:pPr>
          </w:p>
        </w:tc>
      </w:tr>
      <w:tr>
        <w:trPr>
          <w:trHeight w:val="168"/>
        </w:trPr>
        <w:tc>
          <w:tcPr>
            <w:tcW w:w="8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22,172</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4,555</w:t>
            </w:r>
          </w:p>
        </w:tc>
        <w:tc>
          <w:tcPr>
            <w:tcW w:w="0" w:type="dxa"/>
            <w:vAlign w:val="bottom"/>
          </w:tcPr>
          <w:p>
            <w:pPr>
              <w:spacing w:after="0"/>
              <w:rPr>
                <w:sz w:val="1"/>
                <w:szCs w:val="1"/>
                <w:color w:val="auto"/>
              </w:rPr>
            </w:pPr>
          </w:p>
        </w:tc>
      </w:tr>
      <w:tr>
        <w:trPr>
          <w:trHeight w:val="158"/>
        </w:trPr>
        <w:tc>
          <w:tcPr>
            <w:tcW w:w="88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101,620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100,713</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88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Series B Convertible Preferred Stock – $100.00 par value (50,000 shares authorized: 14,790 shares issued and outstanding at July 31, 2024 and October 31, 2023) (8.75%</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0" w:type="dxa"/>
            <w:vAlign w:val="bottom"/>
          </w:tcPr>
          <w:p>
            <w:pPr>
              <w:spacing w:after="0"/>
              <w:rPr>
                <w:sz w:val="1"/>
                <w:szCs w:val="1"/>
                <w:color w:val="auto"/>
              </w:rPr>
            </w:pPr>
          </w:p>
        </w:tc>
      </w:tr>
      <w:tr>
        <w:trPr>
          <w:trHeight w:val="168"/>
        </w:trPr>
        <w:tc>
          <w:tcPr>
            <w:tcW w:w="8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coupon rate)</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Series B-2 Convertible Preferred Stock – $100.00 par value (10,000 shares authorized: 9,300 shares issued and outstanding at July 31, 2024 and October 31, 2023) (4%</w:t>
            </w: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7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 rate on liquidation value of $1,000 per share)</w:t>
            </w:r>
          </w:p>
        </w:tc>
        <w:tc>
          <w:tcPr>
            <w:tcW w:w="1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Series A Junior Participating Preferred Stock – $0.01 par value (20,000 shares authorized: zero issued or outstanding at July 31, 2024 and October 31, 2023)</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886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auto"/>
                <w:w w:val="98"/>
              </w:rPr>
              <w:t>Common Stock – $0.01 par value (39,000,000 shares authorized: 18,302,878 and 18,192,009 shares issued and 18,051,901 and 17,941,032 shares outstanding at July 31,</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68"/>
        </w:trPr>
        <w:tc>
          <w:tcPr>
            <w:tcW w:w="8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2024 and October 31, 2023, respectively)</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169,743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168,441</w:t>
            </w:r>
          </w:p>
        </w:tc>
        <w:tc>
          <w:tcPr>
            <w:tcW w:w="0" w:type="dxa"/>
            <w:vAlign w:val="bottom"/>
          </w:tcPr>
          <w:p>
            <w:pPr>
              <w:spacing w:after="0"/>
              <w:rPr>
                <w:sz w:val="1"/>
                <w:szCs w:val="1"/>
                <w:color w:val="auto"/>
              </w:rPr>
            </w:pPr>
          </w:p>
        </w:tc>
      </w:tr>
      <w:tr>
        <w:trPr>
          <w:trHeight w:val="168"/>
        </w:trPr>
        <w:tc>
          <w:tcPr>
            <w:tcW w:w="8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Retained earnings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19,017</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(5,666)</w:t>
            </w:r>
          </w:p>
        </w:tc>
        <w:tc>
          <w:tcPr>
            <w:tcW w:w="0" w:type="dxa"/>
            <w:vAlign w:val="bottom"/>
          </w:tcPr>
          <w:p>
            <w:pPr>
              <w:spacing w:after="0"/>
              <w:rPr>
                <w:sz w:val="1"/>
                <w:szCs w:val="1"/>
                <w:color w:val="auto"/>
              </w:rPr>
            </w:pPr>
          </w:p>
        </w:tc>
      </w:tr>
      <w:tr>
        <w:trPr>
          <w:trHeight w:val="168"/>
        </w:trPr>
        <w:tc>
          <w:tcPr>
            <w:tcW w:w="8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Treasury stock, at cost, 250,977 shares at July 31, 2024 and October 31, 2023</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10,668</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11,209</w:t>
            </w:r>
          </w:p>
        </w:tc>
        <w:tc>
          <w:tcPr>
            <w:tcW w:w="0" w:type="dxa"/>
            <w:vAlign w:val="bottom"/>
          </w:tcPr>
          <w:p>
            <w:pPr>
              <w:spacing w:after="0"/>
              <w:rPr>
                <w:sz w:val="1"/>
                <w:szCs w:val="1"/>
                <w:color w:val="auto"/>
              </w:rPr>
            </w:pPr>
          </w:p>
        </w:tc>
      </w:tr>
      <w:tr>
        <w:trPr>
          <w:trHeight w:val="158"/>
        </w:trPr>
        <w:tc>
          <w:tcPr>
            <w:tcW w:w="88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194,883</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189,687</w:t>
            </w:r>
          </w:p>
        </w:tc>
        <w:tc>
          <w:tcPr>
            <w:tcW w:w="0" w:type="dxa"/>
            <w:vAlign w:val="bottom"/>
          </w:tcPr>
          <w:p>
            <w:pPr>
              <w:spacing w:after="0"/>
              <w:rPr>
                <w:sz w:val="1"/>
                <w:szCs w:val="1"/>
                <w:color w:val="auto"/>
              </w:rPr>
            </w:pPr>
          </w:p>
        </w:tc>
      </w:tr>
      <w:tr>
        <w:trPr>
          <w:trHeight w:val="188"/>
        </w:trPr>
        <w:tc>
          <w:tcPr>
            <w:tcW w:w="8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liabilities, convertible preferred stock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307,313</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301,210</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2240" w:type="dxa"/>
            <w:vAlign w:val="bottom"/>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0" w:type="dxa"/>
            <w:vAlign w:val="bottom"/>
          </w:tcPr>
          <w:p>
            <w:pPr>
              <w:spacing w:after="0"/>
              <w:rPr>
                <w:sz w:val="12"/>
                <w:szCs w:val="12"/>
                <w:color w:val="auto"/>
              </w:rPr>
            </w:pPr>
          </w:p>
        </w:tc>
      </w:tr>
      <w:tr>
        <w:trPr>
          <w:trHeight w:val="169"/>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800" w:type="dxa"/>
            <w:vAlign w:val="bottom"/>
            <w:tcBorders>
              <w:bottom w:val="single" w:sz="8" w:color="auto"/>
            </w:tcBorders>
          </w:tcPr>
          <w:p>
            <w:pPr>
              <w:spacing w:after="0"/>
              <w:rPr>
                <w:sz w:val="14"/>
                <w:szCs w:val="14"/>
                <w:color w:val="auto"/>
              </w:rPr>
            </w:pPr>
          </w:p>
        </w:tc>
      </w:tr>
      <w:tr>
        <w:trPr>
          <w:trHeight w:val="160"/>
        </w:trPr>
        <w:tc>
          <w:tcPr>
            <w:tcW w:w="57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16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revenues: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Agribusiness</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61,849</w:t>
            </w:r>
          </w:p>
        </w:tc>
        <w:tc>
          <w:tcPr>
            <w:tcW w:w="80" w:type="dxa"/>
            <w:vAlign w:val="bottom"/>
          </w:tcPr>
          <w:p>
            <w:pPr>
              <w:spacing w:after="0"/>
              <w:rPr>
                <w:sz w:val="14"/>
                <w:szCs w:val="14"/>
                <w:color w:val="auto"/>
              </w:rPr>
            </w:pP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51,092</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143,445</w:t>
            </w:r>
          </w:p>
        </w:tc>
        <w:tc>
          <w:tcPr>
            <w:tcW w:w="8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134,296</w:t>
            </w: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operations</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4,172</w:t>
            </w:r>
          </w:p>
        </w:tc>
      </w:tr>
      <w:tr>
        <w:trPr>
          <w:trHeight w:val="158"/>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Total net revenues</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63,305</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52,497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147,642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138,468</w:t>
            </w:r>
          </w:p>
        </w:tc>
      </w:tr>
      <w:tr>
        <w:trPr>
          <w:trHeight w:val="17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Agribusiness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45,437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124,987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126,275</w:t>
            </w: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operations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3,281</w:t>
            </w:r>
          </w:p>
        </w:tc>
      </w:tr>
      <w:tr>
        <w:trPr>
          <w:trHeight w:val="168"/>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Impairment of intangible asset</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(Gain) loss on disposal of assets, net</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(29,199)</w:t>
            </w:r>
          </w:p>
        </w:tc>
      </w:tr>
      <w:tr>
        <w:trPr>
          <w:trHeight w:val="168"/>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legal settlement</w:t>
            </w:r>
          </w:p>
        </w:tc>
        <w:tc>
          <w:tcPr>
            <w:tcW w:w="8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w:t>
            </w: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6,994</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21,707</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19,907</w:t>
            </w:r>
          </w:p>
        </w:tc>
      </w:tr>
      <w:tr>
        <w:trPr>
          <w:trHeight w:val="158"/>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costs and expenses</w:t>
            </w: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54,312</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54,046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151,069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117,995</w:t>
            </w:r>
          </w:p>
        </w:tc>
      </w:tr>
      <w:tr>
        <w:trPr>
          <w:trHeight w:val="16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 (loss)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20,473</w:t>
            </w:r>
          </w:p>
        </w:tc>
      </w:tr>
      <w:tr>
        <w:trPr>
          <w:trHeight w:val="168"/>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income</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r>
      <w:tr>
        <w:trPr>
          <w:trHeight w:val="168"/>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 net of patronage dividends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Equity in earnings of investments, net</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17,116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r>
      <w:tr>
        <w:trPr>
          <w:trHeight w:val="168"/>
        </w:trPr>
        <w:tc>
          <w:tcPr>
            <w:tcW w:w="5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income (expense), net</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(2,627)</w:t>
            </w:r>
          </w:p>
        </w:tc>
      </w:tr>
      <w:tr>
        <w:trPr>
          <w:trHeight w:val="16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other income (expense)</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16,572</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w:t>
            </w:r>
          </w:p>
        </w:tc>
      </w:tr>
      <w:tr>
        <w:trPr>
          <w:trHeight w:val="158"/>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Income (loss) before income tax (provision) benefit</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9,235</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18,191</w:t>
            </w:r>
          </w:p>
        </w:tc>
      </w:tr>
      <w:tr>
        <w:trPr>
          <w:trHeight w:val="17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(provision) benefit</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(3,019)</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(5,537)</w:t>
            </w:r>
          </w:p>
        </w:tc>
      </w:tr>
      <w:tr>
        <w:trPr>
          <w:trHeight w:val="158"/>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6,216</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12,654</w:t>
            </w:r>
          </w:p>
        </w:tc>
      </w:tr>
      <w:tr>
        <w:trPr>
          <w:trHeight w:val="17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attributable to noncontrolling interest</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r>
      <w:tr>
        <w:trPr>
          <w:trHeight w:val="158"/>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 attributable to Limoneira Company</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12,855</w:t>
            </w:r>
          </w:p>
        </w:tc>
      </w:tr>
      <w:tr>
        <w:trPr>
          <w:trHeight w:val="17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dividends</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r>
      <w:tr>
        <w:trPr>
          <w:trHeight w:val="163"/>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 applicable to common stock</w:t>
            </w: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6,468</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9,199</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12,479</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5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0"/>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Basic net income (loss) per common share</w:t>
            </w: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0.70</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3"/>
        </w:trPr>
        <w:tc>
          <w:tcPr>
            <w:tcW w:w="5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Diluted net income (loss) per common share</w:t>
            </w: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0.69</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5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common shares outstanding-basic</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17,756</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17,597</w:t>
            </w:r>
          </w:p>
        </w:tc>
      </w:tr>
      <w:tr>
        <w:trPr>
          <w:trHeight w:val="17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common shares outstanding-diluted</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17,621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18,381</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COMPREHENSIVE INCOME (LOSS) (UNAUDITED)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24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5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60" w:type="dxa"/>
            <w:vAlign w:val="bottom"/>
            <w:tcBorders>
              <w:bottom w:val="single" w:sz="8" w:color="auto"/>
            </w:tcBorders>
          </w:tcPr>
          <w:p>
            <w:pPr>
              <w:spacing w:after="0"/>
              <w:rPr>
                <w:sz w:val="16"/>
                <w:szCs w:val="16"/>
                <w:color w:val="auto"/>
              </w:rPr>
            </w:pPr>
          </w:p>
        </w:tc>
      </w:tr>
      <w:tr>
        <w:trPr>
          <w:trHeight w:val="173"/>
        </w:trPr>
        <w:tc>
          <w:tcPr>
            <w:tcW w:w="57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12,654</w:t>
            </w:r>
          </w:p>
        </w:tc>
      </w:tr>
      <w:tr>
        <w:trPr>
          <w:trHeight w:val="180"/>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r>
      <w:tr>
        <w:trPr>
          <w:trHeight w:val="138"/>
        </w:trPr>
        <w:tc>
          <w:tcPr>
            <w:tcW w:w="5720" w:type="dxa"/>
            <w:vAlign w:val="bottom"/>
          </w:tcPr>
          <w:p>
            <w:pPr>
              <w:ind w:left="160"/>
              <w:spacing w:after="0" w:line="138" w:lineRule="exact"/>
              <w:rPr>
                <w:sz w:val="20"/>
                <w:szCs w:val="20"/>
                <w:color w:val="auto"/>
              </w:rPr>
            </w:pPr>
            <w:r>
              <w:rPr>
                <w:rFonts w:ascii="Times New Roman" w:cs="Times New Roman" w:eastAsia="Times New Roman" w:hAnsi="Times New Roman"/>
                <w:sz w:val="14"/>
                <w:szCs w:val="14"/>
                <w:color w:val="auto"/>
              </w:rPr>
              <w:t>Minimum pension liability adjustments, net of tax of $(135) for the nine months ended July 31,</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91"/>
        </w:trPr>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8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81"/>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Pension settlement cost, net of tax of $756 for the nine months ended July 31, 2023</w:t>
            </w:r>
          </w:p>
        </w:tc>
        <w:tc>
          <w:tcPr>
            <w:tcW w:w="8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r>
      <w:tr>
        <w:trPr>
          <w:trHeight w:val="171"/>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8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3,412</w:t>
            </w:r>
          </w:p>
        </w:tc>
      </w:tr>
      <w:tr>
        <w:trPr>
          <w:trHeight w:val="17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16,066</w:t>
            </w:r>
          </w:p>
        </w:tc>
      </w:tr>
      <w:tr>
        <w:trPr>
          <w:trHeight w:val="18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96"/>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Limoneira Company</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6,583</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CONSOLIDATED STATEMENTS OF STOCKHOLDERS' EQUITY AND TEMPORARY EQUITY (UNAUDITED)</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Temporary Equity</w:t>
            </w:r>
          </w:p>
        </w:tc>
        <w:tc>
          <w:tcPr>
            <w:tcW w:w="0" w:type="dxa"/>
            <w:vAlign w:val="bottom"/>
          </w:tcPr>
          <w:p>
            <w:pPr>
              <w:spacing w:after="0"/>
              <w:rPr>
                <w:sz w:val="1"/>
                <w:szCs w:val="1"/>
                <w:color w:val="auto"/>
              </w:rPr>
            </w:pPr>
          </w:p>
        </w:tc>
      </w:tr>
      <w:tr>
        <w:trPr>
          <w:trHeight w:val="102"/>
        </w:trPr>
        <w:tc>
          <w:tcPr>
            <w:tcW w:w="1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Series B</w:t>
            </w:r>
          </w:p>
        </w:tc>
        <w:tc>
          <w:tcPr>
            <w:tcW w:w="120" w:type="dxa"/>
            <w:vAlign w:val="bottom"/>
          </w:tcPr>
          <w:p>
            <w:pPr>
              <w:spacing w:after="0"/>
              <w:rPr>
                <w:sz w:val="8"/>
                <w:szCs w:val="8"/>
                <w:color w:val="auto"/>
              </w:rPr>
            </w:pPr>
          </w:p>
        </w:tc>
        <w:tc>
          <w:tcPr>
            <w:tcW w:w="740" w:type="dxa"/>
            <w:vAlign w:val="bottom"/>
            <w:vMerge w:val="restart"/>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w w:val="97"/>
              </w:rPr>
              <w:t>Series B-2</w:t>
            </w:r>
          </w:p>
        </w:tc>
        <w:tc>
          <w:tcPr>
            <w:tcW w:w="0" w:type="dxa"/>
            <w:vAlign w:val="bottom"/>
          </w:tcPr>
          <w:p>
            <w:pPr>
              <w:spacing w:after="0"/>
              <w:rPr>
                <w:sz w:val="1"/>
                <w:szCs w:val="1"/>
                <w:color w:val="auto"/>
              </w:rPr>
            </w:pPr>
          </w:p>
        </w:tc>
      </w:tr>
      <w:tr>
        <w:trPr>
          <w:trHeight w:val="106"/>
        </w:trPr>
        <w:tc>
          <w:tcPr>
            <w:tcW w:w="1860" w:type="dxa"/>
            <w:vAlign w:val="bottom"/>
          </w:tcPr>
          <w:p>
            <w:pPr>
              <w:spacing w:after="0"/>
              <w:rPr>
                <w:sz w:val="9"/>
                <w:szCs w:val="9"/>
                <w:color w:val="auto"/>
              </w:rPr>
            </w:pP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60" w:type="dxa"/>
            <w:vAlign w:val="bottom"/>
          </w:tcPr>
          <w:p>
            <w:pPr>
              <w:spacing w:after="0"/>
              <w:rPr>
                <w:sz w:val="9"/>
                <w:szCs w:val="9"/>
                <w:color w:val="auto"/>
              </w:rPr>
            </w:pPr>
          </w:p>
        </w:tc>
        <w:tc>
          <w:tcPr>
            <w:tcW w:w="114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4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Non- controlling</w:t>
            </w:r>
          </w:p>
        </w:tc>
        <w:tc>
          <w:tcPr>
            <w:tcW w:w="140" w:type="dxa"/>
            <w:vAlign w:val="bottom"/>
          </w:tcPr>
          <w:p>
            <w:pPr>
              <w:spacing w:after="0"/>
              <w:rPr>
                <w:sz w:val="9"/>
                <w:szCs w:val="9"/>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86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20" w:type="dxa"/>
            <w:vAlign w:val="bottom"/>
          </w:tcPr>
          <w:p>
            <w:pPr>
              <w:spacing w:after="0"/>
              <w:rPr>
                <w:sz w:val="12"/>
                <w:szCs w:val="12"/>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9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6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4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2"/>
              </w:rPr>
              <w:t>Interest</w:t>
            </w:r>
          </w:p>
        </w:tc>
        <w:tc>
          <w:tcPr>
            <w:tcW w:w="14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Pr>
          <w:p>
            <w:pPr>
              <w:spacing w:after="0"/>
              <w:rPr>
                <w:sz w:val="12"/>
                <w:szCs w:val="12"/>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0" w:type="dxa"/>
            <w:vAlign w:val="bottom"/>
          </w:tcPr>
          <w:p>
            <w:pPr>
              <w:spacing w:after="0"/>
              <w:rPr>
                <w:sz w:val="1"/>
                <w:szCs w:val="1"/>
                <w:color w:val="auto"/>
              </w:rPr>
            </w:pPr>
          </w:p>
        </w:tc>
      </w:tr>
      <w:tr>
        <w:trPr>
          <w:trHeight w:val="133"/>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October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17,941,032</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168,441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19,017</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(5,666)</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w w:val="95"/>
              </w:rPr>
              <w:t>(3,493)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11,209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189,687</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Dividends Common ($0.075 per share)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Series B ($2.19 per share)</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Dividends Series B-2 ($10 per share)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99,983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(36,097)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Noncontrolling interest adjustment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(3,585)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1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Balance at January 31,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18,004,918</w:t>
            </w:r>
          </w:p>
        </w:tc>
        <w:tc>
          <w:tcPr>
            <w:tcW w:w="8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168,620</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13,957</w:t>
            </w:r>
          </w:p>
        </w:tc>
        <w:tc>
          <w:tcPr>
            <w:tcW w:w="8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(6,133)</w:t>
            </w:r>
          </w:p>
        </w:tc>
        <w:tc>
          <w:tcPr>
            <w:tcW w:w="8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0"/>
                <w:szCs w:val="10"/>
                <w:color w:val="auto"/>
                <w:w w:val="95"/>
              </w:rPr>
              <w:t>(3,493)</w:t>
            </w:r>
          </w:p>
        </w:tc>
        <w:tc>
          <w:tcPr>
            <w:tcW w:w="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11,057</w:t>
            </w:r>
          </w:p>
        </w:tc>
        <w:tc>
          <w:tcPr>
            <w:tcW w:w="8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184,188</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13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Common ($0.075 per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Dividends Series B ($2.19 per share)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Series B-2 ($10 per share)</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Stock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30,808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Exchange of common stock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(63,070)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6,567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6,555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8"/>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Balance at April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17,972,656</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168,540</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19,050</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(6,370)</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0"/>
                <w:szCs w:val="10"/>
                <w:color w:val="auto"/>
                <w:w w:val="95"/>
              </w:rPr>
              <w:t>(3,493)</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11,045</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188,952</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Dividends Common ($0.075 per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Dividends Series B ($2.19 per share)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Series B-2 ($10 per share)</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Stock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79,245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6,216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8"/>
        </w:trPr>
        <w:tc>
          <w:tcPr>
            <w:tcW w:w="1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July 31,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18,051,901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169,743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24,164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(6,380)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w w:val="95"/>
              </w:rPr>
              <w:t>(3,493)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10,668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194,883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STATEMENTS OF STOCKHOLDERS' EQUITY AND TEMPORARY EQUITY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18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Temporary Equity</w:t>
            </w:r>
          </w:p>
        </w:tc>
        <w:tc>
          <w:tcPr>
            <w:tcW w:w="0" w:type="dxa"/>
            <w:vAlign w:val="bottom"/>
          </w:tcPr>
          <w:p>
            <w:pPr>
              <w:spacing w:after="0"/>
              <w:rPr>
                <w:sz w:val="1"/>
                <w:szCs w:val="1"/>
                <w:color w:val="auto"/>
              </w:rPr>
            </w:pPr>
          </w:p>
        </w:tc>
      </w:tr>
      <w:tr>
        <w:trPr>
          <w:trHeight w:val="102"/>
        </w:trPr>
        <w:tc>
          <w:tcPr>
            <w:tcW w:w="1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Series B</w:t>
            </w:r>
          </w:p>
        </w:tc>
        <w:tc>
          <w:tcPr>
            <w:tcW w:w="120" w:type="dxa"/>
            <w:vAlign w:val="bottom"/>
          </w:tcPr>
          <w:p>
            <w:pPr>
              <w:spacing w:after="0"/>
              <w:rPr>
                <w:sz w:val="8"/>
                <w:szCs w:val="8"/>
                <w:color w:val="auto"/>
              </w:rPr>
            </w:pPr>
          </w:p>
        </w:tc>
        <w:tc>
          <w:tcPr>
            <w:tcW w:w="740" w:type="dxa"/>
            <w:vAlign w:val="bottom"/>
            <w:vMerge w:val="restart"/>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w w:val="97"/>
              </w:rPr>
              <w:t>Series B-2</w:t>
            </w:r>
          </w:p>
        </w:tc>
        <w:tc>
          <w:tcPr>
            <w:tcW w:w="0" w:type="dxa"/>
            <w:vAlign w:val="bottom"/>
          </w:tcPr>
          <w:p>
            <w:pPr>
              <w:spacing w:after="0"/>
              <w:rPr>
                <w:sz w:val="1"/>
                <w:szCs w:val="1"/>
                <w:color w:val="auto"/>
              </w:rPr>
            </w:pPr>
          </w:p>
        </w:tc>
      </w:tr>
      <w:tr>
        <w:trPr>
          <w:trHeight w:val="106"/>
        </w:trPr>
        <w:tc>
          <w:tcPr>
            <w:tcW w:w="1860" w:type="dxa"/>
            <w:vAlign w:val="bottom"/>
          </w:tcPr>
          <w:p>
            <w:pPr>
              <w:spacing w:after="0"/>
              <w:rPr>
                <w:sz w:val="9"/>
                <w:szCs w:val="9"/>
                <w:color w:val="auto"/>
              </w:rPr>
            </w:pP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60" w:type="dxa"/>
            <w:vAlign w:val="bottom"/>
          </w:tcPr>
          <w:p>
            <w:pPr>
              <w:spacing w:after="0"/>
              <w:rPr>
                <w:sz w:val="9"/>
                <w:szCs w:val="9"/>
                <w:color w:val="auto"/>
              </w:rPr>
            </w:pPr>
          </w:p>
        </w:tc>
        <w:tc>
          <w:tcPr>
            <w:tcW w:w="114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4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Non- controlling</w:t>
            </w:r>
          </w:p>
        </w:tc>
        <w:tc>
          <w:tcPr>
            <w:tcW w:w="140" w:type="dxa"/>
            <w:vAlign w:val="bottom"/>
          </w:tcPr>
          <w:p>
            <w:pPr>
              <w:spacing w:after="0"/>
              <w:rPr>
                <w:sz w:val="9"/>
                <w:szCs w:val="9"/>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86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20" w:type="dxa"/>
            <w:vAlign w:val="bottom"/>
          </w:tcPr>
          <w:p>
            <w:pPr>
              <w:spacing w:after="0"/>
              <w:rPr>
                <w:sz w:val="12"/>
                <w:szCs w:val="12"/>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9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6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14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2"/>
              </w:rPr>
              <w:t>Interest</w:t>
            </w:r>
          </w:p>
        </w:tc>
        <w:tc>
          <w:tcPr>
            <w:tcW w:w="14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Pr>
          <w:p>
            <w:pPr>
              <w:spacing w:after="0"/>
              <w:rPr>
                <w:sz w:val="12"/>
                <w:szCs w:val="12"/>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0" w:type="dxa"/>
            <w:vAlign w:val="bottom"/>
          </w:tcPr>
          <w:p>
            <w:pPr>
              <w:spacing w:after="0"/>
              <w:rPr>
                <w:sz w:val="1"/>
                <w:szCs w:val="1"/>
                <w:color w:val="auto"/>
              </w:rPr>
            </w:pPr>
          </w:p>
        </w:tc>
      </w:tr>
      <w:tr>
        <w:trPr>
          <w:trHeight w:val="133"/>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October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17,684,315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165,169</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15,500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(7,908)</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w w:val="95"/>
              </w:rPr>
              <w:t>(3,493)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11,609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181,054</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Dividends Common ($0.075 per share)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Series B ($2.19 per share)</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Dividends Series B-2 ($10 per share)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146,289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Noncontrolling interest adjustment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15,631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income, net of tax</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3,947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3,947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January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17,830,604</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166,232</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29,669</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(3,961)</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w w:val="95"/>
              </w:rPr>
              <w:t>(3,493)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11,434</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200,059</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124"/>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Dividends Common ($0.075 per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Series B ($2.19 per share)</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Dividends Series B-2 ($10 per share)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149,900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8"/>
        </w:trPr>
        <w:tc>
          <w:tcPr>
            <w:tcW w:w="1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April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17,978,910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167,169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26,582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(4,011)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w w:val="95"/>
              </w:rPr>
              <w:t>(3,493)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11,417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197,844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0"/>
                <w:szCs w:val="10"/>
                <w:color w:val="auto"/>
              </w:rPr>
              <w:t>Dividends Common ($0.075 per share)</w:t>
            </w: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860" w:type="dxa"/>
            <w:vAlign w:val="bottom"/>
            <w:tcBorders>
              <w:top w:val="single" w:sz="8" w:color="CCEEFF"/>
            </w:tcBorders>
            <w:vMerge w:val="continue"/>
          </w:tcPr>
          <w:p>
            <w:pPr>
              <w:spacing w:after="0"/>
              <w:rPr>
                <w:sz w:val="8"/>
                <w:szCs w:val="8"/>
                <w:color w:val="auto"/>
              </w:rPr>
            </w:pPr>
          </w:p>
        </w:tc>
        <w:tc>
          <w:tcPr>
            <w:tcW w:w="82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(1,349)</w:t>
            </w: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ind w:left="520"/>
              <w:spacing w:after="0" w:line="96"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ind w:right="10"/>
              <w:spacing w:after="0" w:line="96"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(1,349)</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ind w:right="10"/>
              <w:spacing w:after="0" w:line="96"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Series B ($2.19 per share)</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Dividends Series B-2 ($10 per share)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compensation</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8"/>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Balance at July 31,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17,978,910</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167,925</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23,945</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(4,496)</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0"/>
                <w:szCs w:val="10"/>
                <w:color w:val="auto"/>
                <w:w w:val="95"/>
              </w:rPr>
              <w:t>(3,493)</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11,330</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195,391</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CONSOLIDATED STATEMENTS OF CASH FLOWS (UNAUDITED)</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w:t>
      </w:r>
    </w:p>
    <w:p>
      <w:pPr>
        <w:spacing w:after="0" w:line="139"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8520"/>
        <w:spacing w:after="0"/>
        <w:rPr>
          <w:sz w:val="20"/>
          <w:szCs w:val="20"/>
          <w:color w:val="auto"/>
        </w:rPr>
      </w:pPr>
      <w:r>
        <w:rPr>
          <w:rFonts w:ascii="Times New Roman" w:cs="Times New Roman" w:eastAsia="Times New Roman" w:hAnsi="Times New Roman"/>
          <w:sz w:val="13"/>
          <w:szCs w:val="13"/>
          <w:b w:val="1"/>
          <w:bCs w:val="1"/>
          <w:color w:val="auto"/>
        </w:rPr>
        <w:t>July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4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0"/>
        </w:trPr>
        <w:tc>
          <w:tcPr>
            <w:tcW w:w="8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9,094</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12,654</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(used in) operating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6,510</w:t>
            </w: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Impairment of intangible asset</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disposal of assets, net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(29,199)</w:t>
            </w: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Gain on legal settlement</w:t>
            </w:r>
          </w:p>
        </w:tc>
        <w:tc>
          <w:tcPr>
            <w:tcW w:w="7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w:t>
            </w: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2,785</w:t>
            </w: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Non-cash lease expense</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w:t>
            </w: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Equity in earnings of investments, net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distributions from equity investments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5,537</w:t>
            </w: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net</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 and receivables/other from related parties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(3,881)</w:t>
            </w:r>
          </w:p>
        </w:tc>
      </w:tr>
      <w:tr>
        <w:trPr>
          <w:trHeight w:val="168"/>
        </w:trPr>
        <w:tc>
          <w:tcPr>
            <w:tcW w:w="8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Cultural costs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w:t>
            </w:r>
          </w:p>
        </w:tc>
      </w:tr>
      <w:tr>
        <w:trPr>
          <w:trHeight w:val="172"/>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w:t>
            </w:r>
          </w:p>
        </w:tc>
      </w:tr>
      <w:tr>
        <w:trPr>
          <w:trHeight w:val="168"/>
        </w:trPr>
        <w:tc>
          <w:tcPr>
            <w:tcW w:w="8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 and growers and suppliers payable</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(4,442)</w:t>
            </w:r>
          </w:p>
        </w:tc>
      </w:tr>
      <w:tr>
        <w:trPr>
          <w:trHeight w:val="168"/>
        </w:trPr>
        <w:tc>
          <w:tcPr>
            <w:tcW w:w="8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liabilities and payables to related parties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(3,073)</w:t>
            </w:r>
          </w:p>
        </w:tc>
      </w:tr>
      <w:tr>
        <w:trPr>
          <w:trHeight w:val="172"/>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Income taxes payable</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r>
      <w:tr>
        <w:trPr>
          <w:trHeight w:val="168"/>
        </w:trPr>
        <w:tc>
          <w:tcPr>
            <w:tcW w:w="8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(1,247)</w:t>
            </w:r>
          </w:p>
        </w:tc>
      </w:tr>
      <w:tr>
        <w:trPr>
          <w:trHeight w:val="16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(12,588)</w:t>
            </w:r>
          </w:p>
        </w:tc>
      </w:tr>
      <w:tr>
        <w:trPr>
          <w:trHeight w:val="170"/>
        </w:trPr>
        <w:tc>
          <w:tcPr>
            <w:tcW w:w="8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(8,960)</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proceeds from sales of assets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98,526</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Net proceeds from legal settlement</w:t>
            </w:r>
          </w:p>
        </w:tc>
        <w:tc>
          <w:tcPr>
            <w:tcW w:w="7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proceeds from sale of real estate development assets</w:t>
            </w:r>
          </w:p>
        </w:tc>
        <w:tc>
          <w:tcPr>
            <w:tcW w:w="7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2,577</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Cash distribution from Trapani Fresh</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Collection on notes receivable</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Equity investment contributions and capitalized interest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mutual water companies and water rights</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w:t>
            </w:r>
          </w:p>
        </w:tc>
      </w:tr>
      <w:tr>
        <w:trPr>
          <w:trHeight w:val="15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provided by investing activities</w:t>
            </w:r>
          </w:p>
        </w:tc>
        <w:tc>
          <w:tcPr>
            <w:tcW w:w="7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92,358</w:t>
            </w:r>
          </w:p>
        </w:tc>
      </w:tr>
      <w:tr>
        <w:trPr>
          <w:trHeight w:val="172"/>
        </w:trPr>
        <w:tc>
          <w:tcPr>
            <w:tcW w:w="8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9"/>
        </w:trPr>
        <w:tc>
          <w:tcPr>
            <w:tcW w:w="8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Borrowings of long-term debt</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115,202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57,940</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(115,527)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(122,827)</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 paid on finance leases and equipment financings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Dividends paid – common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(4,034)</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paid – preferred</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r>
      <w:tr>
        <w:trPr>
          <w:trHeight w:val="168"/>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Exchange of common stock</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(69,646)</w:t>
            </w:r>
          </w:p>
        </w:tc>
      </w:tr>
      <w:tr>
        <w:trPr>
          <w:trHeight w:val="158"/>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(decrease) increase in cash</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10,150</w:t>
            </w:r>
          </w:p>
        </w:tc>
      </w:tr>
      <w:tr>
        <w:trPr>
          <w:trHeight w:val="158"/>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at beginning of period</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857</w:t>
            </w:r>
          </w:p>
        </w:tc>
      </w:tr>
      <w:tr>
        <w:trPr>
          <w:trHeight w:val="188"/>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at end of period</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11,007</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139"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8520"/>
        <w:spacing w:after="0"/>
        <w:rPr>
          <w:sz w:val="20"/>
          <w:szCs w:val="20"/>
          <w:color w:val="auto"/>
        </w:rPr>
      </w:pPr>
      <w:r>
        <w:rPr>
          <w:rFonts w:ascii="Times New Roman" w:cs="Times New Roman" w:eastAsia="Times New Roman" w:hAnsi="Times New Roman"/>
          <w:sz w:val="13"/>
          <w:szCs w:val="13"/>
          <w:b w:val="1"/>
          <w:bCs w:val="1"/>
          <w:color w:val="auto"/>
        </w:rPr>
        <w:t>July 31,</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54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Cash paid during the period for interest (net of amounts capitalized)</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during the period for income taxes, net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Capital expenditures accrued but not paid at period-end</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Cancellation of loan guarantee related to equity investment</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780" w:firstLine="5"/>
        <w:spacing w:after="0" w:line="420" w:lineRule="auto"/>
        <w:tabs>
          <w:tab w:leader="none" w:pos="141"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 and Basis of Presentation Business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Limoneira Company (together with its consolidated subsidiaries, the “Company”) engages primarily in growing citrus and avocados, harvesting citrus, and packing, marketing and selling citrus. The Company is also engaged in residential rentals and other rental operations and real estate development activities.</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markets and sells citrus directly to food service, wholesale and retail customers throughout the United States, Canada, Asia, Australia and other international markets. Through fiscal year 2023, the Company was a member of Sunkist Growers, Inc., an agricultural marketing cooperative, and sold a portion of its oranges, specialty citrus and other crops to Sunkist-licensed and other third-party packinghouses.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 and Preparation</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94" w:lineRule="exact"/>
        <w:rPr>
          <w:sz w:val="20"/>
          <w:szCs w:val="20"/>
          <w:color w:val="auto"/>
        </w:rPr>
      </w:pPr>
    </w:p>
    <w:p>
      <w:pPr>
        <w:ind w:right="8480" w:firstLine="5"/>
        <w:spacing w:after="0" w:line="420" w:lineRule="auto"/>
        <w:tabs>
          <w:tab w:leader="none" w:pos="141"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Comprehensive Income (Loss)</w:t>
      </w:r>
    </w:p>
    <w:p>
      <w:pPr>
        <w:spacing w:after="0" w:line="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Comprehensive income (loss) represents all changes in a company’s net assets, except changes resulting from transactions with stockholders. Other comprehensive income or loss includes foreign currency translation items and defined benefit pension items. Accumulated other comprehensive loss is reported as a component of the Company's stockholders' equity.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other comprehensive (loss) income by component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July 31,</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w w:val="97"/>
              </w:rPr>
              <w:t>Pre-tax</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Tax Expense</w:t>
            </w:r>
          </w:p>
        </w:tc>
        <w:tc>
          <w:tcPr>
            <w:tcW w:w="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160" w:type="dxa"/>
            <w:vAlign w:val="bottom"/>
          </w:tcPr>
          <w:p>
            <w:pPr>
              <w:spacing w:after="0"/>
              <w:rPr>
                <w:sz w:val="10"/>
                <w:szCs w:val="10"/>
                <w:color w:val="auto"/>
              </w:rPr>
            </w:pPr>
          </w:p>
        </w:tc>
        <w:tc>
          <w:tcPr>
            <w:tcW w:w="80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w w:val="97"/>
              </w:rPr>
              <w:t>Pre-tax</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Tax Expense</w:t>
            </w:r>
          </w:p>
        </w:tc>
        <w:tc>
          <w:tcPr>
            <w:tcW w:w="80" w:type="dxa"/>
            <w:vAlign w:val="bottom"/>
          </w:tcPr>
          <w:p>
            <w:pPr>
              <w:spacing w:after="0"/>
              <w:rPr>
                <w:sz w:val="10"/>
                <w:szCs w:val="10"/>
                <w:color w:val="auto"/>
              </w:rPr>
            </w:pPr>
          </w:p>
        </w:tc>
        <w:tc>
          <w:tcPr>
            <w:tcW w:w="78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6"/>
              </w:rPr>
              <w:t>Net Amount</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0" w:type="dxa"/>
            <w:vAlign w:val="bottom"/>
          </w:tcPr>
          <w:p>
            <w:pPr>
              <w:spacing w:after="0"/>
              <w:rPr>
                <w:sz w:val="1"/>
                <w:szCs w:val="1"/>
                <w:color w:val="auto"/>
              </w:rPr>
            </w:pPr>
          </w:p>
        </w:tc>
      </w:tr>
      <w:tr>
        <w:trPr>
          <w:trHeight w:val="160"/>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Nine Months Ended July 31,</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w w:val="97"/>
              </w:rPr>
              <w:t>Pre-tax</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Tax Expense</w:t>
            </w:r>
          </w:p>
        </w:tc>
        <w:tc>
          <w:tcPr>
            <w:tcW w:w="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160" w:type="dxa"/>
            <w:vAlign w:val="bottom"/>
          </w:tcPr>
          <w:p>
            <w:pPr>
              <w:spacing w:after="0"/>
              <w:rPr>
                <w:sz w:val="10"/>
                <w:szCs w:val="10"/>
                <w:color w:val="auto"/>
              </w:rPr>
            </w:pPr>
          </w:p>
        </w:tc>
        <w:tc>
          <w:tcPr>
            <w:tcW w:w="80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w w:val="97"/>
              </w:rPr>
              <w:t>Pre-tax</w:t>
            </w:r>
          </w:p>
        </w:tc>
        <w:tc>
          <w:tcPr>
            <w:tcW w:w="120" w:type="dxa"/>
            <w:vAlign w:val="bottom"/>
          </w:tcPr>
          <w:p>
            <w:pPr>
              <w:spacing w:after="0"/>
              <w:rPr>
                <w:sz w:val="10"/>
                <w:szCs w:val="10"/>
                <w:color w:val="auto"/>
              </w:rPr>
            </w:pPr>
          </w:p>
        </w:tc>
        <w:tc>
          <w:tcPr>
            <w:tcW w:w="94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w w:val="95"/>
              </w:rPr>
              <w:t>Tax Benefit</w:t>
            </w:r>
          </w:p>
        </w:tc>
        <w:tc>
          <w:tcPr>
            <w:tcW w:w="80" w:type="dxa"/>
            <w:vAlign w:val="bottom"/>
          </w:tcPr>
          <w:p>
            <w:pPr>
              <w:spacing w:after="0"/>
              <w:rPr>
                <w:sz w:val="10"/>
                <w:szCs w:val="10"/>
                <w:color w:val="auto"/>
              </w:rPr>
            </w:pPr>
          </w:p>
        </w:tc>
        <w:tc>
          <w:tcPr>
            <w:tcW w:w="78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6"/>
              </w:rPr>
              <w:t>Net Amount</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(Expense)</w:t>
            </w: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pension liability adjustments: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(loss) income before reclassifications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68"/>
        </w:trPr>
        <w:tc>
          <w:tcPr>
            <w:tcW w:w="5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Amounts reclassified to earnings included in “Other income (expense), net”</w:t>
            </w:r>
          </w:p>
        </w:tc>
        <w:tc>
          <w:tcPr>
            <w:tcW w:w="16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0" w:type="dxa"/>
            <w:vAlign w:val="bottom"/>
          </w:tcPr>
          <w:p>
            <w:pPr>
              <w:spacing w:after="0"/>
              <w:rPr>
                <w:sz w:val="1"/>
                <w:szCs w:val="1"/>
                <w:color w:val="auto"/>
              </w:rPr>
            </w:pPr>
          </w:p>
        </w:tc>
      </w:tr>
      <w:tr>
        <w:trPr>
          <w:trHeight w:val="18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income</w:t>
            </w: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 (continued)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Comprehensive Income (Loss) (continued)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changes in accumulated other comprehensive loss by component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Foreign Currency</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Defined Benefit</w:t>
            </w:r>
          </w:p>
        </w:tc>
        <w:tc>
          <w:tcPr>
            <w:tcW w:w="100" w:type="dxa"/>
            <w:vAlign w:val="bottom"/>
          </w:tcPr>
          <w:p>
            <w:pPr>
              <w:spacing w:after="0"/>
              <w:rPr>
                <w:sz w:val="12"/>
                <w:szCs w:val="12"/>
                <w:color w:val="auto"/>
              </w:rPr>
            </w:pP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Accumulated Other</w:t>
            </w:r>
          </w:p>
        </w:tc>
      </w:tr>
      <w:tr>
        <w:trPr>
          <w:trHeight w:val="169"/>
        </w:trPr>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Translation Loss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Pension Plan</w:t>
            </w:r>
          </w:p>
        </w:tc>
        <w:tc>
          <w:tcPr>
            <w:tcW w:w="10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8"/>
              </w:rPr>
              <w:t>Comprehensive Loss</w:t>
            </w:r>
          </w:p>
        </w:tc>
      </w:tr>
      <w:tr>
        <w:trPr>
          <w:trHeight w:val="162"/>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(5,666)</w:t>
            </w:r>
          </w:p>
        </w:tc>
      </w:tr>
      <w:tr>
        <w:trPr>
          <w:trHeight w:val="168"/>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r>
      <w:tr>
        <w:trPr>
          <w:trHeight w:val="188"/>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July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Foreign Currency</w:t>
            </w: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Defined Benefit</w:t>
            </w:r>
          </w:p>
        </w:tc>
        <w:tc>
          <w:tcPr>
            <w:tcW w:w="80" w:type="dxa"/>
            <w:vAlign w:val="bottom"/>
          </w:tcPr>
          <w:p>
            <w:pPr>
              <w:spacing w:after="0"/>
              <w:rPr>
                <w:sz w:val="12"/>
                <w:szCs w:val="12"/>
                <w:color w:val="auto"/>
              </w:rPr>
            </w:pPr>
          </w:p>
        </w:tc>
        <w:tc>
          <w:tcPr>
            <w:tcW w:w="13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0" w:type="dxa"/>
            <w:vAlign w:val="bottom"/>
          </w:tcPr>
          <w:p>
            <w:pPr>
              <w:spacing w:after="0"/>
              <w:rPr>
                <w:sz w:val="1"/>
                <w:szCs w:val="1"/>
                <w:color w:val="auto"/>
              </w:rPr>
            </w:pPr>
          </w:p>
        </w:tc>
      </w:tr>
      <w:tr>
        <w:trPr>
          <w:trHeight w:val="127"/>
        </w:trPr>
        <w:tc>
          <w:tcPr>
            <w:tcW w:w="7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Translation (Loss)</w:t>
            </w: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Comprehensive (Loss)</w:t>
            </w:r>
          </w:p>
        </w:tc>
        <w:tc>
          <w:tcPr>
            <w:tcW w:w="0" w:type="dxa"/>
            <w:vAlign w:val="bottom"/>
          </w:tcPr>
          <w:p>
            <w:pPr>
              <w:spacing w:after="0"/>
              <w:rPr>
                <w:sz w:val="1"/>
                <w:szCs w:val="1"/>
                <w:color w:val="auto"/>
              </w:rPr>
            </w:pPr>
          </w:p>
        </w:tc>
      </w:tr>
      <w:tr>
        <w:trPr>
          <w:trHeight w:val="169"/>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Gain</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Pension Plan</w:t>
            </w:r>
          </w:p>
        </w:tc>
        <w:tc>
          <w:tcPr>
            <w:tcW w:w="80" w:type="dxa"/>
            <w:vAlign w:val="bottom"/>
          </w:tcPr>
          <w:p>
            <w:pPr>
              <w:spacing w:after="0"/>
              <w:rPr>
                <w:sz w:val="14"/>
                <w:szCs w:val="14"/>
                <w:color w:val="auto"/>
              </w:rPr>
            </w:pPr>
          </w:p>
        </w:tc>
        <w:tc>
          <w:tcPr>
            <w:tcW w:w="13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0" w:type="dxa"/>
            <w:vAlign w:val="bottom"/>
          </w:tcPr>
          <w:p>
            <w:pPr>
              <w:spacing w:after="0"/>
              <w:rPr>
                <w:sz w:val="1"/>
                <w:szCs w:val="1"/>
                <w:color w:val="auto"/>
              </w:rPr>
            </w:pPr>
          </w:p>
        </w:tc>
      </w:tr>
      <w:tr>
        <w:trPr>
          <w:trHeight w:val="162"/>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center"/>
              <w:ind w:left="736"/>
              <w:spacing w:after="0"/>
              <w:rPr>
                <w:sz w:val="20"/>
                <w:szCs w:val="20"/>
                <w:color w:val="auto"/>
              </w:rPr>
            </w:pPr>
            <w:r>
              <w:rPr>
                <w:rFonts w:ascii="Times New Roman" w:cs="Times New Roman" w:eastAsia="Times New Roman" w:hAnsi="Times New Roman"/>
                <w:sz w:val="13"/>
                <w:szCs w:val="13"/>
                <w:color w:val="auto"/>
                <w:w w:val="94"/>
              </w:rPr>
              <w:t>(6,184)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w w:val="94"/>
              </w:rPr>
              <w:t>(7,908)</w:t>
            </w:r>
          </w:p>
        </w:tc>
        <w:tc>
          <w:tcPr>
            <w:tcW w:w="0" w:type="dxa"/>
            <w:vAlign w:val="bottom"/>
          </w:tcPr>
          <w:p>
            <w:pPr>
              <w:spacing w:after="0"/>
              <w:rPr>
                <w:sz w:val="1"/>
                <w:szCs w:val="1"/>
                <w:color w:val="auto"/>
              </w:rPr>
            </w:pPr>
          </w:p>
        </w:tc>
      </w:tr>
      <w:tr>
        <w:trPr>
          <w:trHeight w:val="16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left="756"/>
              <w:spacing w:after="0"/>
              <w:rPr>
                <w:sz w:val="20"/>
                <w:szCs w:val="20"/>
                <w:color w:val="auto"/>
              </w:rPr>
            </w:pPr>
            <w:r>
              <w:rPr>
                <w:rFonts w:ascii="Times New Roman" w:cs="Times New Roman" w:eastAsia="Times New Roman" w:hAnsi="Times New Roman"/>
                <w:sz w:val="13"/>
                <w:szCs w:val="13"/>
                <w:color w:val="auto"/>
              </w:rPr>
              <w:t>1,688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left="896"/>
              <w:spacing w:after="0"/>
              <w:rPr>
                <w:sz w:val="20"/>
                <w:szCs w:val="20"/>
                <w:color w:val="auto"/>
              </w:rPr>
            </w:pPr>
            <w:r>
              <w:rPr>
                <w:rFonts w:ascii="Times New Roman" w:cs="Times New Roman" w:eastAsia="Times New Roman" w:hAnsi="Times New Roman"/>
                <w:sz w:val="13"/>
                <w:szCs w:val="13"/>
                <w:color w:val="auto"/>
              </w:rPr>
              <w:t>3,412</w:t>
            </w:r>
          </w:p>
        </w:tc>
        <w:tc>
          <w:tcPr>
            <w:tcW w:w="0" w:type="dxa"/>
            <w:vAlign w:val="bottom"/>
          </w:tcPr>
          <w:p>
            <w:pPr>
              <w:spacing w:after="0"/>
              <w:rPr>
                <w:sz w:val="1"/>
                <w:szCs w:val="1"/>
                <w:color w:val="auto"/>
              </w:rPr>
            </w:pPr>
          </w:p>
        </w:tc>
      </w:tr>
      <w:tr>
        <w:trPr>
          <w:trHeight w:val="18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July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center"/>
              <w:ind w:left="736"/>
              <w:spacing w:after="0"/>
              <w:rPr>
                <w:sz w:val="20"/>
                <w:szCs w:val="20"/>
                <w:color w:val="auto"/>
              </w:rPr>
            </w:pPr>
            <w:r>
              <w:rPr>
                <w:rFonts w:ascii="Times New Roman" w:cs="Times New Roman" w:eastAsia="Times New Roman" w:hAnsi="Times New Roman"/>
                <w:sz w:val="13"/>
                <w:szCs w:val="13"/>
                <w:color w:val="auto"/>
                <w:w w:val="94"/>
              </w:rPr>
              <w:t>(4,496)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w w:val="94"/>
              </w:rPr>
              <w:t>(4,496)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COVID-19 Pandemic</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decline in demand for the Company's products as a result of the COVID-19 pandemic negatively impacted the Company's sales and profitability beginning in the second quarter of fiscal year 2020. The export market for fresh produce continues to experience decreased demand and the COVID-19 pandemic may continue to impact the Company's sales and profitability in future periods. The duration of these trends and the magnitude of such impacts are uncertain and therefore cannot be estimated at this time, as they are influenced by a number of factors, many of which are outside management’s control.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Accounting Standards Board (“FASB”) Accounting Standards Update (“ASU”) 2023-07, Segment Reporting (Topic 280): Improvements to Reportable Segment Disclosures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ASU 2023-07 is intended to improve reportable segment disclosure requirements primarily through enhanced disclosures about significant segment expenses, the chief operating decision maker (“CODM”), and how the CODM uses the reported measure(s) of segment profit or loss. This amendment also requires that a public entity provide all annual disclosures about a reportable segment’s profit or loss and assets currently required by FASB Accounting Standards Codification Topic 280, Segment Reporting, in interim periods.</w:t>
      </w:r>
    </w:p>
    <w:p>
      <w:pPr>
        <w:spacing w:after="0" w:line="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The Company is currently evaluating the impact of this guidance on its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ASU 2023-09, Income Taxes (Topic 740): Improvements to Income Tax Disclosures</w:t>
      </w:r>
    </w:p>
    <w:p>
      <w:pPr>
        <w:spacing w:after="0" w:line="1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ASU 2023-09 requires disaggregated information about a reporting entity’s effective tax rate reconciliation as well as information on income taxes paid. The ASU is effective for public business entities with annual periods beginning after December 15, 2024, with early adoption permitted. The Company is currently evaluating the impact of this guidance on its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 Release No. 33-11275: The Enhancement and Standardization of Climate-Related Disclosures for Investors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March 2024, the SEC adopted final rules under SEC Release No. 33-11275: </w:t>
      </w:r>
      <w:r>
        <w:rPr>
          <w:rFonts w:ascii="Times New Roman" w:cs="Times New Roman" w:eastAsia="Times New Roman" w:hAnsi="Times New Roman"/>
          <w:sz w:val="14"/>
          <w:szCs w:val="14"/>
          <w:i w:val="1"/>
          <w:iCs w:val="1"/>
          <w:color w:val="auto"/>
        </w:rPr>
        <w:t>The Enhancement and Standardization of Climate-Related Disclosures for Investors</w:t>
      </w:r>
      <w:r>
        <w:rPr>
          <w:rFonts w:ascii="Times New Roman" w:cs="Times New Roman" w:eastAsia="Times New Roman" w:hAnsi="Times New Roman"/>
          <w:sz w:val="14"/>
          <w:szCs w:val="14"/>
          <w:color w:val="auto"/>
        </w:rPr>
        <w:t>, which requires registrants to provide certain climate-related information in their registration statements and annual reports. The rules require information about a registrant's climate-related risks that are reasonably likely to have a material impact on its business, results of operations, or financial condition. These requirements are effective for the Company in various fiscal years, starting with its fiscal year beginning November 1, 2026. On April 4, 2024, the SEC determined to voluntarily stay the final rules pending certain legal challenges. The Company is currently evaluating the impact of these final rules on its consolidated financial statements and disclosures.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7760" w:firstLine="5"/>
        <w:spacing w:after="0" w:line="428" w:lineRule="auto"/>
        <w:tabs>
          <w:tab w:leader="none" w:pos="141"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(continued) Concentrations</w:t>
      </w:r>
    </w:p>
    <w:p>
      <w:pPr>
        <w:spacing w:after="0" w:line="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Concentrations of credit risk with respect to revenues and accounts receivable are limited due to a large, diverse customer base. One individual customer represented 13% of revenue for the nine months ended July 31, 2024. One individual customer represented 10% of accounts receivable, net as of July 31,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individual vendor represented more than 10% of accounts payable as of July 31, 2024.</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Lemons procured from third-party growers were 73% and 53% of the Company's lemon supply for the nine months ended July 31, 2024 and 2023, respectively. One third-party grower was 14% of the Company's lemon supply for the nine months ended July 31, 2024.</w:t>
      </w:r>
    </w:p>
    <w:p>
      <w:pPr>
        <w:spacing w:after="0" w:line="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59" w:lineRule="exact"/>
        <w:rPr>
          <w:sz w:val="20"/>
          <w:szCs w:val="20"/>
          <w:color w:val="auto"/>
        </w:rPr>
      </w:pPr>
    </w:p>
    <w:p>
      <w:pPr>
        <w:ind w:right="9600" w:firstLine="5"/>
        <w:spacing w:after="0" w:line="428" w:lineRule="auto"/>
        <w:tabs>
          <w:tab w:leader="none" w:pos="141"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Asset Sales and Disposals Northern Properties</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2022, the Company entered into a Purchase and Sale Agreement, as amended, (the “Agreement”) with PGIM Real Estate Finance, LLC (“PGIM”) to sell 3,537 acres of land and citrus orchards in Tulare County, California (the “Northern Properties”) for a purchase price of approximately $100,405,000. On January 25, 2023, the Board approved the Agreement creating a binding agreement of the Company to sell the Northern Properties and the transaction closed on January 31, 2023. During the quarter ended April 30, 2023, the purchase price was decreased by $397,000 for reimbursement of certain cultural costs and prepaid expenses, resulting in a final purchase price of $100,008,000. After transaction costs the Company received net proceeds of $98,411,000.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is a summary of the transaction (in thousands):</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38"/>
        </w:trPr>
        <w:tc>
          <w:tcPr>
            <w:tcW w:w="9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proceeds received</w:t>
            </w: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85,494</w:t>
            </w:r>
          </w:p>
        </w:tc>
      </w:tr>
      <w:tr>
        <w:trPr>
          <w:trHeight w:val="180"/>
        </w:trPr>
        <w:tc>
          <w:tcPr>
            <w:tcW w:w="9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Debt directly repaid through the transaction</w:t>
            </w: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12,917</w:t>
            </w:r>
          </w:p>
        </w:tc>
      </w:tr>
      <w:tr>
        <w:trPr>
          <w:trHeight w:val="171"/>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proceeds received</w:t>
            </w: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98,411</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book value of assets sold</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9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Cultural costs</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w:t>
            </w:r>
          </w:p>
        </w:tc>
      </w:tr>
      <w:tr>
        <w:trPr>
          <w:trHeight w:val="180"/>
        </w:trPr>
        <w:tc>
          <w:tcPr>
            <w:tcW w:w="9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80"/>
        </w:trPr>
        <w:tc>
          <w:tcPr>
            <w:tcW w:w="9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53,144</w:t>
            </w:r>
          </w:p>
        </w:tc>
      </w:tr>
      <w:tr>
        <w:trPr>
          <w:trHeight w:val="180"/>
        </w:trPr>
        <w:tc>
          <w:tcPr>
            <w:tcW w:w="9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9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r>
      <w:tr>
        <w:trPr>
          <w:trHeight w:val="180"/>
        </w:trPr>
        <w:tc>
          <w:tcPr>
            <w:tcW w:w="9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Accrued liabilities</w:t>
            </w: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1"/>
        </w:trPr>
        <w:tc>
          <w:tcPr>
            <w:tcW w:w="996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58,416</w:t>
            </w:r>
          </w:p>
        </w:tc>
      </w:tr>
      <w:tr>
        <w:trPr>
          <w:trHeight w:val="171"/>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disposal of assets</w:t>
            </w: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39,995</w:t>
            </w:r>
          </w:p>
        </w:tc>
      </w:tr>
      <w:tr>
        <w:trPr>
          <w:trHeight w:val="20"/>
        </w:trPr>
        <w:tc>
          <w:tcPr>
            <w:tcW w:w="9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proceeds were used to pay down all of the Company’s domestic debt except the AgWest Farm Credit $40,000,000 non-revolving line of credit.</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31, 2023, the Company entered into a Farm Management Agreement (“FMA”) with an affiliate of PGIM to provide farming, management and operations services related to the Northern Properties. The FMA had an initial term expiring March 31, 2024, and thereafter continues from year to year unless earlier terminated under the terms of the FMA. Further, on January 31, 2023, the Company entered into a Grower Packing and Marketing Agreement to provide packing, marketing and selling services for lemons harvested on the Northern Properties for a minimum five-year term, subject to certain benchmarking standards.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880" w:firstLine="5"/>
        <w:spacing w:after="0" w:line="428" w:lineRule="auto"/>
        <w:tabs>
          <w:tab w:leader="none" w:pos="141"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Asset Sales and Disposals (continued) Yuma Property</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December 2023, the Company sold 12 acres of real property located in Yuma, Arizona for a sales price of $775,000. After transaction and closing costs, the Company recorded a gain on disposal of assets of approximately $187,000 during the quarter ended January 31,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Cadiz Ranch</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April 2023, the Company determined that citrus farming operations were economically unviable on 670 acres of leased agricultural land at the Cadiz Ranch. As a result, the Company ceased farming operations at the Cadiz Ranch, disposed of the related property, plant and equipment and recorded a loss on disposal of assets of $9,012,000 during the quarter ended April 30, 2023.</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Prepaid Expenses and Other Current Assets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4"/>
        </w:trPr>
        <w:tc>
          <w:tcPr>
            <w:tcW w:w="8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20"/>
                <w:szCs w:val="20"/>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171"/>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supplies and insurance</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held for sale</w:t>
            </w:r>
          </w:p>
        </w:tc>
        <w:tc>
          <w:tcPr>
            <w:tcW w:w="1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tax receivable</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receivable</w:t>
            </w:r>
          </w:p>
        </w:tc>
        <w:tc>
          <w:tcPr>
            <w:tcW w:w="1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Lemon supplier advances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w:t>
            </w:r>
          </w:p>
        </w:tc>
      </w:tr>
      <w:tr>
        <w:trPr>
          <w:trHeight w:val="196"/>
        </w:trPr>
        <w:tc>
          <w:tcPr>
            <w:tcW w:w="8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Real Estate Development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Real estate development assets are comprised primarily of land and land development costs for the East Area II property in the amount of $10,110,000 and $9,987,000 as of July 31, 2024 and October 31, 2023,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East Area I, Retained Property and East Area II</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 for $20,000,000.</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and East Area II, subject to certain reimbursements by the Company. The balance in East Area II includes estimated costs incurred by and reimbursable to LLCB of $3,444,000 as of July 31, 2024 and October 31, 2023, which is included in payables to related parties.</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As of February 1, 2023, the interest rate on the Loan transitioned from the London Interbank Offered Rate (“LIBOR”) to the Bloomberg Short-Term Bank Yield Index rate (“BSBY”) plus 2.85% and was payable monthly. Effective as of February 22, 2024, the Loan maturity date was extended to August 22, 2024 and the interest rate transitioned from the BSBY to the Secured Overnight Financing Rate ("SOFR") plus 2.85%. As of May 3, 2024, the Loan had no outstanding balance and was cancelled. As of July 31, 2024, LLCB had unaudited cash and cash equivalents of $69,856,000.</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Real Estate Development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East Area I, Retained Property and East Area II (continued)</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February 2018, the Company and certain principals from Lewis guaranteed the obligations under the Loan. The guarantors were jointly and severally liable for all Loan obligations in the event of default by LLCB. Additionally, a Reimbursement Agreement was executed between the Lewis guarantors and the Company, which provided for unpaid liabilities of LLCB to be shared pro-rata by the Lewis guarantors and the Company in proportion to their percentage interest in LLCB. The guarantee continued in effect until all of the Loan obligations were fully paid and the Loan terminated. The $1,080,000 estimated value of the guarantee was recorded in the Company’s consolidated balance sheets and, upon cancellation of the Loan in May 2024, was removed from other long-term liabilities and the corresponding value in equity in investments.</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2022, the Company entered into a joint venture with Lewis for the development of the Retained Property. The Company formed LLCB II, LLC (“LLCB II”) as the development entity, contributed the Retained Property to the joint venture and sold a 50% interest to Lewis for $7,975,000. The Company recorded a deferred gain of $465,000 on the transaction, which is included in other long-term liabilities as of July 31, 2024 and October 31, 2023. The joint venture partners will share in the capital contributions to fund project costs until loan proceeds and/or revenues are sufficient to fund the project. The Company made contributions of $400,000 and $275,000 to LLCB II during the nine months ended July 31, 2024 and 2023, respectively.</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Through July 31, 2024, LLCB closed on lot sales representing 1,261 residential units since inception, including 554 residential units in the second quarter of fiscal year 2024. In June 2024, the Company received a cash distribution of $15,005,000 from LLCB.</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Real Estate Development Projects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fiscal year 2020, the Company entered into an agreement to sell its Sevilla property for $2,700,000, which closed in November 2022. After transaction and other costs, the Company received cash proceeds of approximately $2,577,000 and recorded an immaterial loss on disposal of assets during the three months ended January 31,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 Equity in Investments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8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Equity in investments consist of the following (in thousands):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9"/>
        </w:trPr>
        <w:tc>
          <w:tcPr>
            <w:tcW w:w="8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171"/>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Limoneira Lewis Community Builders, LLC</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67,279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66,288</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LLCB II, LLC</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8,869</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Limco Del Mar, Ltd. ("Del Mar")</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Rosales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Romney Property Partnership</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71"/>
        </w:trPr>
        <w:tc>
          <w:tcPr>
            <w:tcW w:w="856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80,375</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78,816</w:t>
            </w: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Unconsolidated Significant Subsidiary</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 for the nine months ended July 31, 2024, this threshold was met for LLCB and thus summarized income statement information for LLCB is presented in this Quarterly Report on Form 10-Q. The full audited financial statements of LLCB for the years ended October 31, 2023, 2022 and 2021 were provided as exhibits to the Annual Report on Form 10-K for the fiscal year ended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6. Equity in Investments (continued)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6"/>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Unconsolidated Significant Subsidiary (continued)</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6"/>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is unaudited summarized financial information for LLCB (in thousands):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73"/>
        </w:trPr>
        <w:tc>
          <w:tcPr>
            <w:tcW w:w="40" w:type="dxa"/>
            <w:vAlign w:val="bottom"/>
            <w:tcBorders>
              <w:bottom w:val="single" w:sz="8" w:color="CCEEFF"/>
            </w:tcBorders>
          </w:tcPr>
          <w:p>
            <w:pPr>
              <w:spacing w:after="0"/>
              <w:rPr>
                <w:sz w:val="15"/>
                <w:szCs w:val="15"/>
                <w:color w:val="auto"/>
              </w:rPr>
            </w:pPr>
          </w:p>
        </w:tc>
        <w:tc>
          <w:tcPr>
            <w:tcW w:w="8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71"/>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91,402</w:t>
            </w:r>
          </w:p>
        </w:tc>
        <w:tc>
          <w:tcPr>
            <w:tcW w:w="960" w:type="dxa"/>
            <w:vAlign w:val="bottom"/>
            <w:gridSpan w:val="3"/>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20" w:type="dxa"/>
            <w:vAlign w:val="bottom"/>
            <w:shd w:val="clear" w:color="auto" w:fill="CCEEFF"/>
          </w:tcPr>
          <w:p>
            <w:pPr>
              <w:spacing w:after="0"/>
              <w:rPr>
                <w:sz w:val="14"/>
                <w:szCs w:val="14"/>
                <w:color w:val="auto"/>
              </w:rPr>
            </w:pPr>
          </w:p>
        </w:tc>
      </w:tr>
      <w:tr>
        <w:trPr>
          <w:trHeight w:val="180"/>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land sold</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50,246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0" w:type="dxa"/>
            <w:vAlign w:val="bottom"/>
            <w:tcBorders>
              <w:bottom w:val="single" w:sz="8" w:color="auto"/>
            </w:tcBorders>
            <w:shd w:val="clear" w:color="auto" w:fill="CCEEFF"/>
          </w:tcPr>
          <w:p>
            <w:pPr>
              <w:spacing w:after="0"/>
              <w:rPr>
                <w:sz w:val="15"/>
                <w:szCs w:val="15"/>
                <w:color w:val="auto"/>
              </w:rPr>
            </w:pPr>
          </w:p>
        </w:tc>
      </w:tr>
      <w:tr>
        <w:trPr>
          <w:trHeight w:val="171"/>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40,880</w:t>
            </w:r>
          </w:p>
        </w:tc>
        <w:tc>
          <w:tcPr>
            <w:tcW w:w="960" w:type="dxa"/>
            <w:vAlign w:val="bottom"/>
            <w:gridSpan w:val="3"/>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20" w:type="dxa"/>
            <w:vAlign w:val="bottom"/>
          </w:tcPr>
          <w:p>
            <w:pPr>
              <w:spacing w:after="0"/>
              <w:rPr>
                <w:sz w:val="14"/>
                <w:szCs w:val="14"/>
                <w:color w:val="auto"/>
              </w:rPr>
            </w:pPr>
          </w:p>
        </w:tc>
      </w:tr>
      <w:tr>
        <w:trPr>
          <w:trHeight w:val="45"/>
        </w:trPr>
        <w:tc>
          <w:tcPr>
            <w:tcW w:w="40" w:type="dxa"/>
            <w:vAlign w:val="bottom"/>
            <w:tcBorders>
              <w:bottom w:val="single" w:sz="8" w:color="CCEEFF"/>
            </w:tcBorders>
          </w:tcPr>
          <w:p>
            <w:pPr>
              <w:spacing w:after="0"/>
              <w:rPr>
                <w:sz w:val="3"/>
                <w:szCs w:val="3"/>
                <w:color w:val="auto"/>
              </w:rPr>
            </w:pPr>
          </w:p>
        </w:tc>
        <w:tc>
          <w:tcPr>
            <w:tcW w:w="852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CCEEFF"/>
            </w:tcBorders>
          </w:tcPr>
          <w:p>
            <w:pPr>
              <w:spacing w:after="0"/>
              <w:rPr>
                <w:sz w:val="3"/>
                <w:szCs w:val="3"/>
                <w:color w:val="auto"/>
              </w:rPr>
            </w:pPr>
          </w:p>
        </w:tc>
        <w:tc>
          <w:tcPr>
            <w:tcW w:w="1140" w:type="dxa"/>
            <w:vAlign w:val="bottom"/>
            <w:tcBorders>
              <w:top w:val="single" w:sz="8" w:color="auto"/>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top w:val="single" w:sz="8" w:color="auto"/>
              <w:bottom w:val="single" w:sz="8" w:color="CCEEFF"/>
            </w:tcBorders>
          </w:tcPr>
          <w:p>
            <w:pPr>
              <w:spacing w:after="0"/>
              <w:rPr>
                <w:sz w:val="3"/>
                <w:szCs w:val="3"/>
                <w:color w:val="auto"/>
              </w:rPr>
            </w:pPr>
          </w:p>
        </w:tc>
        <w:tc>
          <w:tcPr>
            <w:tcW w:w="420" w:type="dxa"/>
            <w:vAlign w:val="bottom"/>
            <w:tcBorders>
              <w:top w:val="single" w:sz="8" w:color="auto"/>
              <w:bottom w:val="single" w:sz="8" w:color="CCEEFF"/>
            </w:tcBorders>
          </w:tcPr>
          <w:p>
            <w:pPr>
              <w:spacing w:after="0"/>
              <w:rPr>
                <w:sz w:val="3"/>
                <w:szCs w:val="3"/>
                <w:color w:val="auto"/>
              </w:rPr>
            </w:pPr>
          </w:p>
        </w:tc>
        <w:tc>
          <w:tcPr>
            <w:tcW w:w="20" w:type="dxa"/>
            <w:vAlign w:val="bottom"/>
            <w:tcBorders>
              <w:top w:val="single" w:sz="8" w:color="auto"/>
              <w:bottom w:val="single" w:sz="8" w:color="CCEEFF"/>
            </w:tcBorders>
          </w:tcPr>
          <w:p>
            <w:pPr>
              <w:spacing w:after="0"/>
              <w:rPr>
                <w:sz w:val="3"/>
                <w:szCs w:val="3"/>
                <w:color w:val="auto"/>
              </w:rPr>
            </w:pPr>
          </w:p>
        </w:tc>
      </w:tr>
      <w:tr>
        <w:trPr>
          <w:trHeight w:val="168"/>
        </w:trPr>
        <w:tc>
          <w:tcPr>
            <w:tcW w:w="8560" w:type="dxa"/>
            <w:vAlign w:val="bottom"/>
            <w:tcBorders>
              <w:top w:val="single" w:sz="8" w:color="CCEEFF"/>
              <w:bottom w:val="single" w:sz="8" w:color="CCEEFF"/>
            </w:tcBorders>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Net income attributable to Limoneira Company</w:t>
            </w:r>
          </w:p>
        </w:tc>
        <w:tc>
          <w:tcPr>
            <w:tcW w:w="180" w:type="dxa"/>
            <w:vAlign w:val="bottom"/>
            <w:tcBorders>
              <w:top w:val="single" w:sz="8" w:color="auto"/>
              <w:bottom w:val="single" w:sz="8" w:color="auto"/>
            </w:tcBorders>
            <w:shd w:val="clear" w:color="auto" w:fill="CCEEFF"/>
          </w:tcPr>
          <w:p>
            <w:pPr>
              <w:jc w:val="right"/>
              <w:ind w:right="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19,765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477</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34"/>
        </w:trPr>
        <w:tc>
          <w:tcPr>
            <w:tcW w:w="40" w:type="dxa"/>
            <w:vAlign w:val="bottom"/>
            <w:tcBorders>
              <w:bottom w:val="single" w:sz="8" w:color="CCEEFF"/>
            </w:tcBorders>
          </w:tcPr>
          <w:p>
            <w:pPr>
              <w:spacing w:after="0"/>
              <w:rPr>
                <w:sz w:val="24"/>
                <w:szCs w:val="24"/>
                <w:color w:val="auto"/>
              </w:rPr>
            </w:pPr>
          </w:p>
        </w:tc>
        <w:tc>
          <w:tcPr>
            <w:tcW w:w="85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171"/>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69,856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12,863</w:t>
            </w:r>
          </w:p>
        </w:tc>
        <w:tc>
          <w:tcPr>
            <w:tcW w:w="20" w:type="dxa"/>
            <w:vAlign w:val="bottom"/>
            <w:shd w:val="clear" w:color="auto" w:fill="CCEEFF"/>
          </w:tcPr>
          <w:p>
            <w:pPr>
              <w:spacing w:after="0"/>
              <w:rPr>
                <w:sz w:val="14"/>
                <w:szCs w:val="14"/>
                <w:color w:val="auto"/>
              </w:rPr>
            </w:pPr>
          </w:p>
        </w:tc>
      </w:tr>
      <w:tr>
        <w:trPr>
          <w:trHeight w:val="350"/>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7. Goodwill and Intangible Assets, Net</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summary of the change in the carrying amount of goodwill is as follows (in thousands):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8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Goodwill Carrying</w:t>
            </w:r>
          </w:p>
        </w:tc>
      </w:tr>
      <w:tr>
        <w:trPr>
          <w:trHeight w:val="186"/>
        </w:trPr>
        <w:tc>
          <w:tcPr>
            <w:tcW w:w="40" w:type="dxa"/>
            <w:vAlign w:val="bottom"/>
          </w:tcPr>
          <w:p>
            <w:pPr>
              <w:spacing w:after="0"/>
              <w:rPr>
                <w:sz w:val="16"/>
                <w:szCs w:val="16"/>
                <w:color w:val="auto"/>
              </w:rPr>
            </w:pPr>
          </w:p>
        </w:tc>
        <w:tc>
          <w:tcPr>
            <w:tcW w:w="85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40" w:type="dxa"/>
            <w:vAlign w:val="bottom"/>
          </w:tcPr>
          <w:p>
            <w:pPr>
              <w:spacing w:after="0"/>
              <w:rPr>
                <w:sz w:val="14"/>
                <w:szCs w:val="14"/>
                <w:color w:val="auto"/>
              </w:rPr>
            </w:pP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31, 2023</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1,512</w:t>
            </w:r>
          </w:p>
        </w:tc>
        <w:tc>
          <w:tcPr>
            <w:tcW w:w="2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6"/>
                <w:szCs w:val="16"/>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2024</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1,505</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is tested for impairment on an annual basis or when an event or changes in circumstances indicate that its carrying value may not be recoverable. There have been no impairment charges recorded against goodwill as of July 31,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consist of the following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3180" w:type="dxa"/>
            <w:vAlign w:val="bottom"/>
          </w:tcPr>
          <w:p>
            <w:pPr>
              <w:spacing w:after="0"/>
              <w:rPr>
                <w:sz w:val="8"/>
                <w:szCs w:val="8"/>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Gross Carrying</w:t>
            </w:r>
          </w:p>
        </w:tc>
        <w:tc>
          <w:tcPr>
            <w:tcW w:w="160" w:type="dxa"/>
            <w:vAlign w:val="bottom"/>
          </w:tcPr>
          <w:p>
            <w:pPr>
              <w:spacing w:after="0"/>
              <w:rPr>
                <w:sz w:val="8"/>
                <w:szCs w:val="8"/>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8"/>
                <w:szCs w:val="8"/>
                <w:color w:val="auto"/>
              </w:rPr>
            </w:pP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98"/>
              </w:rPr>
              <w:t>Net Carrying</w:t>
            </w:r>
          </w:p>
        </w:tc>
        <w:tc>
          <w:tcPr>
            <w:tcW w:w="8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80" w:type="dxa"/>
            <w:vAlign w:val="bottom"/>
          </w:tcPr>
          <w:p>
            <w:pPr>
              <w:spacing w:after="0"/>
              <w:rPr>
                <w:sz w:val="8"/>
                <w:szCs w:val="8"/>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Gross Carrying</w:t>
            </w:r>
          </w:p>
        </w:tc>
        <w:tc>
          <w:tcPr>
            <w:tcW w:w="160" w:type="dxa"/>
            <w:vAlign w:val="bottom"/>
          </w:tcPr>
          <w:p>
            <w:pPr>
              <w:spacing w:after="0"/>
              <w:rPr>
                <w:sz w:val="8"/>
                <w:szCs w:val="8"/>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8"/>
                <w:szCs w:val="8"/>
                <w:color w:val="auto"/>
              </w:rPr>
            </w:pP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Net Carrying</w:t>
            </w:r>
          </w:p>
        </w:tc>
        <w:tc>
          <w:tcPr>
            <w:tcW w:w="8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5"/>
        </w:trPr>
        <w:tc>
          <w:tcPr>
            <w:tcW w:w="318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Useful Life in</w:t>
            </w:r>
          </w:p>
        </w:tc>
        <w:tc>
          <w:tcPr>
            <w:tcW w:w="9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Useful Life in</w:t>
            </w: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00" w:type="dxa"/>
            <w:vAlign w:val="bottom"/>
          </w:tcPr>
          <w:p>
            <w:pPr>
              <w:spacing w:after="0"/>
              <w:rPr>
                <w:sz w:val="13"/>
                <w:szCs w:val="13"/>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16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0" w:type="dxa"/>
            <w:vAlign w:val="bottom"/>
          </w:tcPr>
          <w:p>
            <w:pPr>
              <w:spacing w:after="0"/>
              <w:rPr>
                <w:sz w:val="13"/>
                <w:szCs w:val="13"/>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7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names and trademarks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8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100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Non-competition agreement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water and mineral rights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Indefinite</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Indefinite</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10,004</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6,657</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Amortization expense totaled $177,000 and $178,000 for the three months ended July 31, 2024 and 2023, respectively. Amortization expense totaled $533,000 and $553,000 for the nine months ended July 31, 2024 and 2023,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July 2024, the Company determined that the carrying value of one of its customer relationships was not recoverable, recorded an impairment charge of $643,000 and wrote off the intangible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940" w:type="dxa"/>
            <w:vAlign w:val="bottom"/>
          </w:tcPr>
          <w:p>
            <w:pPr>
              <w:ind w:left="4660"/>
              <w:spacing w:after="0"/>
              <w:rPr>
                <w:sz w:val="20"/>
                <w:szCs w:val="20"/>
                <w:color w:val="auto"/>
              </w:rPr>
            </w:pPr>
            <w:r>
              <w:rPr>
                <w:rFonts w:ascii="Times New Roman" w:cs="Times New Roman" w:eastAsia="Times New Roman" w:hAnsi="Times New Roman"/>
                <w:sz w:val="17"/>
                <w:szCs w:val="17"/>
                <w:b w:val="1"/>
                <w:bCs w:val="1"/>
                <w:color w:val="auto"/>
              </w:rPr>
              <w:t>LIMONEIRA COMPANY</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78"/>
        </w:trPr>
        <w:tc>
          <w:tcPr>
            <w:tcW w:w="20" w:type="dxa"/>
            <w:vAlign w:val="bottom"/>
          </w:tcPr>
          <w:p>
            <w:pPr>
              <w:spacing w:after="0"/>
              <w:rPr>
                <w:sz w:val="24"/>
                <w:szCs w:val="24"/>
                <w:color w:val="auto"/>
              </w:rPr>
            </w:pPr>
          </w:p>
        </w:tc>
        <w:tc>
          <w:tcPr>
            <w:tcW w:w="9940" w:type="dxa"/>
            <w:vAlign w:val="bottom"/>
          </w:tcPr>
          <w:p>
            <w:pPr>
              <w:ind w:left="2900"/>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90"/>
        </w:trPr>
        <w:tc>
          <w:tcPr>
            <w:tcW w:w="9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7. Goodwill and Intangible Assets, Net (continued)</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6"/>
        </w:trPr>
        <w:tc>
          <w:tcPr>
            <w:tcW w:w="9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Estimated future amortization expense of intangible assets as of July 31, 2024 is as follows (in thousands):</w:t>
            </w: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8"/>
        </w:trPr>
        <w:tc>
          <w:tcPr>
            <w:tcW w:w="20" w:type="dxa"/>
            <w:vAlign w:val="bottom"/>
          </w:tcPr>
          <w:p>
            <w:pPr>
              <w:spacing w:after="0"/>
              <w:rPr>
                <w:sz w:val="12"/>
                <w:szCs w:val="12"/>
                <w:color w:val="auto"/>
              </w:rPr>
            </w:pPr>
          </w:p>
        </w:tc>
        <w:tc>
          <w:tcPr>
            <w:tcW w:w="9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 (remaining three months)</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0"/>
        </w:trPr>
        <w:tc>
          <w:tcPr>
            <w:tcW w:w="20" w:type="dxa"/>
            <w:vAlign w:val="bottom"/>
          </w:tcPr>
          <w:p>
            <w:pPr>
              <w:spacing w:after="0"/>
              <w:rPr>
                <w:sz w:val="15"/>
                <w:szCs w:val="15"/>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r>
      <w:tr>
        <w:trPr>
          <w:trHeight w:val="180"/>
        </w:trPr>
        <w:tc>
          <w:tcPr>
            <w:tcW w:w="20" w:type="dxa"/>
            <w:vAlign w:val="bottom"/>
          </w:tcPr>
          <w:p>
            <w:pPr>
              <w:spacing w:after="0"/>
              <w:rPr>
                <w:sz w:val="15"/>
                <w:szCs w:val="15"/>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r>
      <w:tr>
        <w:trPr>
          <w:trHeight w:val="180"/>
        </w:trPr>
        <w:tc>
          <w:tcPr>
            <w:tcW w:w="20" w:type="dxa"/>
            <w:vAlign w:val="bottom"/>
          </w:tcPr>
          <w:p>
            <w:pPr>
              <w:spacing w:after="0"/>
              <w:rPr>
                <w:sz w:val="15"/>
                <w:szCs w:val="15"/>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80"/>
        </w:trPr>
        <w:tc>
          <w:tcPr>
            <w:tcW w:w="20" w:type="dxa"/>
            <w:vAlign w:val="bottom"/>
          </w:tcPr>
          <w:p>
            <w:pPr>
              <w:spacing w:after="0"/>
              <w:rPr>
                <w:sz w:val="15"/>
                <w:szCs w:val="15"/>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80"/>
        </w:trPr>
        <w:tc>
          <w:tcPr>
            <w:tcW w:w="20" w:type="dxa"/>
            <w:vAlign w:val="bottom"/>
          </w:tcPr>
          <w:p>
            <w:pPr>
              <w:spacing w:after="0"/>
              <w:rPr>
                <w:sz w:val="15"/>
                <w:szCs w:val="15"/>
                <w:color w:val="auto"/>
              </w:rPr>
            </w:pPr>
          </w:p>
        </w:tc>
        <w:tc>
          <w:tcPr>
            <w:tcW w:w="9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96"/>
        </w:trPr>
        <w:tc>
          <w:tcPr>
            <w:tcW w:w="20" w:type="dxa"/>
            <w:vAlign w:val="bottom"/>
          </w:tcPr>
          <w:p>
            <w:pPr>
              <w:spacing w:after="0"/>
              <w:rPr>
                <w:sz w:val="16"/>
                <w:szCs w:val="16"/>
                <w:color w:val="auto"/>
              </w:rPr>
            </w:pPr>
          </w:p>
        </w:tc>
        <w:tc>
          <w:tcPr>
            <w:tcW w:w="99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r>
      <w:tr>
        <w:trPr>
          <w:trHeight w:val="20"/>
        </w:trPr>
        <w:tc>
          <w:tcPr>
            <w:tcW w:w="20" w:type="dxa"/>
            <w:vAlign w:val="bottom"/>
          </w:tcPr>
          <w:p>
            <w:pPr>
              <w:spacing w:after="0" w:line="20" w:lineRule="exact"/>
              <w:rPr>
                <w:sz w:val="1"/>
                <w:szCs w:val="1"/>
                <w:color w:val="auto"/>
              </w:rPr>
            </w:pPr>
          </w:p>
        </w:tc>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Other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 in Mutual Water Companies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investments in various not-for-profit mutual water companies provide it with the right to receive a proportionate share of water from each of the not-for-profit mutual water companies that the Company has invested in and do not constitute voting shares and/or rights. In January 2023, the Company sold an investment in a mutual water company with a net book value of $1,320,000 as part of the Northern Properties sale described in Note 3 - Asset Sales and Disposals. Amounts included in other assets in the consolidated balance sheets as of July 31, 2024 and October 31, 2023 were $6,215,000 and $5,703,000, respectively.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Accrued Liabilities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Accrued liabilities consist of the following (in thousands):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0" w:type="dxa"/>
            <w:vAlign w:val="bottom"/>
          </w:tcPr>
          <w:p>
            <w:pPr>
              <w:spacing w:after="0"/>
              <w:rPr>
                <w:sz w:val="1"/>
                <w:szCs w:val="1"/>
                <w:color w:val="auto"/>
              </w:rPr>
            </w:pPr>
          </w:p>
        </w:tc>
      </w:tr>
      <w:tr>
        <w:trPr>
          <w:trHeight w:val="171"/>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0" w:type="dxa"/>
            <w:vAlign w:val="bottom"/>
          </w:tcPr>
          <w:p>
            <w:pPr>
              <w:spacing w:after="0"/>
              <w:rPr>
                <w:sz w:val="1"/>
                <w:szCs w:val="1"/>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taxes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0" w:type="dxa"/>
            <w:vAlign w:val="bottom"/>
          </w:tcPr>
          <w:p>
            <w:pPr>
              <w:spacing w:after="0"/>
              <w:rPr>
                <w:sz w:val="1"/>
                <w:szCs w:val="1"/>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 Long-Term 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8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is comprised of the following (in thousands):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0" w:type="dxa"/>
            <w:vAlign w:val="bottom"/>
          </w:tcPr>
          <w:p>
            <w:pPr>
              <w:spacing w:after="0"/>
              <w:rPr>
                <w:sz w:val="1"/>
                <w:szCs w:val="1"/>
                <w:color w:val="auto"/>
              </w:rPr>
            </w:pPr>
          </w:p>
        </w:tc>
      </w:tr>
      <w:tr>
        <w:trPr>
          <w:trHeight w:val="125"/>
        </w:trPr>
        <w:tc>
          <w:tcPr>
            <w:tcW w:w="856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AgWest Farm Credit revolving and non-revolving lines of credit: the interest rate of the revolving line of credit is variable based on the one-month</w:t>
            </w:r>
          </w:p>
        </w:tc>
        <w:tc>
          <w:tcPr>
            <w:tcW w:w="18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SOFR, which was 5.34% at July 31, 2024, plus 1.78%. The interest rate for the $40.0 million outstanding balance of the non-revolving line of credit is</w:t>
            </w: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at 3.57% through July 1, 2025 and variable thereafter. Interest is payable monthly and the principal is due in full on July 1, 2026.</w:t>
            </w:r>
          </w:p>
        </w:tc>
        <w:tc>
          <w:tcPr>
            <w:tcW w:w="18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Banco de Chile term loan: The interest rate is fixed at 6.48%. The loan is payable in annual installments through January 2025.</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Banco de Chile COVID-19 loans: The interest rates are fixed at 3.48%. The loans are payable in monthly installments through September 2024.</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44"/>
        </w:trPr>
        <w:tc>
          <w:tcPr>
            <w:tcW w:w="85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Banco de Chile COVID-19 loans: The interest rates are fixed at 3.48% and 4.26%. The loans are payable in monthly installments through September</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41,009</w:t>
            </w:r>
          </w:p>
        </w:tc>
        <w:tc>
          <w:tcPr>
            <w:tcW w:w="0" w:type="dxa"/>
            <w:vAlign w:val="bottom"/>
          </w:tcPr>
          <w:p>
            <w:pPr>
              <w:spacing w:after="0"/>
              <w:rPr>
                <w:sz w:val="1"/>
                <w:szCs w:val="1"/>
                <w:color w:val="auto"/>
              </w:rPr>
            </w:pP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8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Long-Term Debt (continued)</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entered into a Master Loan Agreement (the “MLA”) with AgWest Farm Credit, formerly known as Farm Credit West,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March 2020, the Company entered into a revolving equity line of credit promissory note and loan agreement with the Lender for a $15,000,000 Revolving Equity Line of Credit (the “RELOC”) secured by a first lien on the Windfall Investors, LLC property. The RELOC featured a 3-year draw period followed by 20 years of fully amortized loan payments. On March 31, 2023, the draw period expired and the RELOC was closed as there was no balance outstanding.</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Supplements provide aggregate borrowing capacity of $115,000,000 comprised of $75,000,000 under the Revolving Credit Supplement, and $40,000,000 under the Non-Revolving Credit Supplement. As of July 31, 2024, the Company's outstanding borrowings under the Supplements were $40,000,000 and it had $75,000,000 available to borrow.</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January 2023, the Company used the proceeds from the Northern Properties sale as described in Note 3 - Asset Sales and Disposals to reduce the Company's long-term debt.</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interest rate in effect under the Revolving Credit Supplement automatically adjusts on the first day of each month. The interest rate for any amount outstanding under the Revolving Credit Supplement was based on the one-month LIBOR plus or minus an applicable margin. As of January 1, 2023, the rate transitioned from LIBOR to SOFR. The applicable margin ranges from 1.68% to 2.28% depending on the ratio of current assets, plus the remaining available commitment divided by current liabilities. On each anniversary of July 1, the Company has the option to convert the interest rate in use under the Revolving Credit Supplement from the preceding SOFR-based calculation to a variable interest rate. The Company may prepay any amounts outstanding under the Revolving Credit Supplement without penalty.</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interest rate in effect under the Non-Revolving Credit Supplement is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All indebtedness under the MLA, including any indebtedness under the Supplements, is secured by a first lien on Company-owned stock or participation certificates, Company funds maintained with the Lender, the Lender’s unallocated surplus, certain of the Company’s agricultural properties,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on an annual basis. In September 2023, the Lender modified the covenant to defer measurement as of October 31, 2023 and resume a debt service coverage ratio of 1.25:1.0 measured as of October 31, 2024.</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December 2023, the Lender declared an annual cash patronage dividend of 1.25% of average eligible loan balances and the Company received $558,000 in the second quarter of fiscal year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February 2023, the Lender declared an annual cash patronage dividend of 1.25% of average eligible loan balances and the Company received $1,413,000 in the second quarter of fiscal year 2023.</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Interest is capitalized on non-bearing orchards, real estate development projects and significant construction in progress. The Company capitalized interest of $347,000 and $207,000 during the three months ended July 31, 2024 and 2023, and $501,000 and $513,000 for the nine months ended July 31, 2024 and 2023, respectively. Capitalized interest is included in property, plant and equipment, real estate development assets and equity in investments in the Company’s consolidated balance sheets.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11. Other Long-Term Liabilities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8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long-term liabilities consist of the following (in thousands):</w:t>
            </w: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19"/>
        </w:trPr>
        <w:tc>
          <w:tcPr>
            <w:tcW w:w="8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171"/>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guarantee</w:t>
            </w: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18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w:t>
            </w:r>
          </w:p>
        </w:tc>
      </w:tr>
      <w:tr>
        <w:trPr>
          <w:trHeight w:val="18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r>
      <w:tr>
        <w:trPr>
          <w:trHeight w:val="171"/>
        </w:trPr>
        <w:tc>
          <w:tcPr>
            <w:tcW w:w="85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4,555</w:t>
            </w: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Leases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Lessor Arrangements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enters into leasing transactions in which it rents certain of its assets and the Company is the lessor. These lease contracts are typically classified as operating leases with remaining terms ranging from one month to 19 years with various renewal terms available. All of the residential rentals have month-to-month lease terms.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Company's rental operations revenue consists of the following (in thousands):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40" w:type="dxa"/>
            <w:vAlign w:val="bottom"/>
            <w:tcBorders>
              <w:bottom w:val="single" w:sz="8" w:color="auto"/>
            </w:tcBorders>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48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revenue</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r>
      <w:tr>
        <w:trPr>
          <w:trHeight w:val="180"/>
        </w:trPr>
        <w:tc>
          <w:tcPr>
            <w:tcW w:w="20" w:type="dxa"/>
            <w:vAlign w:val="bottom"/>
          </w:tcPr>
          <w:p>
            <w:pPr>
              <w:spacing w:after="0"/>
              <w:rPr>
                <w:sz w:val="15"/>
                <w:szCs w:val="15"/>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Variable lease revenue</w:t>
            </w: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96"/>
        </w:trPr>
        <w:tc>
          <w:tcPr>
            <w:tcW w:w="20" w:type="dxa"/>
            <w:vAlign w:val="bottom"/>
          </w:tcPr>
          <w:p>
            <w:pPr>
              <w:spacing w:after="0"/>
              <w:rPr>
                <w:sz w:val="16"/>
                <w:szCs w:val="16"/>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revenue</w:t>
            </w: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w:t>
            </w: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Lessee Arrangements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enters into leasing transactions in which the Company is the lessee. These lease contracts are classified as either operating or finance leases. The Company’s lease contracts are generally for agricultural land, packinghouse facilities, equipment and vehicles with remaining lease terms ranging from one to four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Lease costs consist of the following (in thousands):</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8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23"/>
                <w:szCs w:val="23"/>
                <w:color w:val="auto"/>
              </w:rPr>
            </w:pPr>
          </w:p>
        </w:tc>
      </w:tr>
      <w:tr>
        <w:trPr>
          <w:trHeight w:val="186"/>
        </w:trPr>
        <w:tc>
          <w:tcPr>
            <w:tcW w:w="49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40" w:type="dxa"/>
            <w:vAlign w:val="bottom"/>
            <w:tcBorders>
              <w:bottom w:val="single" w:sz="8" w:color="auto"/>
            </w:tcBorders>
          </w:tcPr>
          <w:p>
            <w:pPr>
              <w:spacing w:after="0"/>
              <w:rPr>
                <w:sz w:val="16"/>
                <w:szCs w:val="16"/>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lease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4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Short-term lease costs</w:t>
            </w: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r>
      <w:tr>
        <w:trPr>
          <w:trHeight w:val="19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12. Leases (continued)</w:t>
            </w:r>
          </w:p>
        </w:tc>
        <w:tc>
          <w:tcPr>
            <w:tcW w:w="4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Lessee Arrangements (continued)</w:t>
            </w: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8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consists of the following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4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ROU assets</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assets</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14"/>
                <w:szCs w:val="14"/>
                <w:color w:val="auto"/>
              </w:rPr>
            </w:pPr>
          </w:p>
        </w:tc>
        <w:tc>
          <w:tcPr>
            <w:tcW w:w="4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Non-current finance lease liabilities</w:t>
            </w:r>
          </w:p>
        </w:tc>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Borders>
              <w:bottom w:val="single" w:sz="8" w:color="CCEEFF"/>
            </w:tcBorders>
            <w:shd w:val="clear" w:color="auto" w:fill="CCEEFF"/>
          </w:tcPr>
          <w:p>
            <w:pPr>
              <w:spacing w:after="0"/>
              <w:rPr>
                <w:sz w:val="14"/>
                <w:szCs w:val="14"/>
                <w:color w:val="auto"/>
              </w:rPr>
            </w:pPr>
          </w:p>
        </w:tc>
        <w:tc>
          <w:tcPr>
            <w:tcW w:w="44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consists of the following (in thousands):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44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4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4440" w:type="dxa"/>
            <w:vAlign w:val="bottom"/>
          </w:tcPr>
          <w:p>
            <w:pPr>
              <w:spacing w:after="0"/>
              <w:rPr>
                <w:sz w:val="15"/>
                <w:szCs w:val="15"/>
                <w:color w:val="auto"/>
              </w:rPr>
            </w:pPr>
          </w:p>
        </w:tc>
        <w:tc>
          <w:tcPr>
            <w:tcW w:w="2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44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4440" w:type="dxa"/>
            <w:vAlign w:val="bottom"/>
          </w:tcPr>
          <w:p>
            <w:pPr>
              <w:spacing w:after="0"/>
              <w:rPr>
                <w:sz w:val="15"/>
                <w:szCs w:val="15"/>
                <w:color w:val="auto"/>
              </w:rPr>
            </w:pPr>
          </w:p>
        </w:tc>
        <w:tc>
          <w:tcPr>
            <w:tcW w:w="2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ROU assets obtained in exchange for new operating lease liabilities</w:t>
            </w:r>
          </w:p>
        </w:tc>
        <w:tc>
          <w:tcPr>
            <w:tcW w:w="44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Leased assets obtained in exchange for new finance lease liabilities</w:t>
            </w:r>
          </w:p>
        </w:tc>
        <w:tc>
          <w:tcPr>
            <w:tcW w:w="4440" w:type="dxa"/>
            <w:vAlign w:val="bottom"/>
          </w:tcPr>
          <w:p>
            <w:pPr>
              <w:spacing w:after="0"/>
              <w:rPr>
                <w:sz w:val="16"/>
                <w:szCs w:val="16"/>
                <w:color w:val="auto"/>
              </w:rPr>
            </w:pPr>
          </w:p>
        </w:tc>
        <w:tc>
          <w:tcPr>
            <w:tcW w:w="2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Basic and Diluted Net Income (Loss) Per Share</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unvested, restricted stock and conversion of preferred stock. The computations for basic and diluted net income (loss) per common share are as follows (in thousands,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24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57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60" w:type="dxa"/>
            <w:vAlign w:val="bottom"/>
            <w:tcBorders>
              <w:bottom w:val="single" w:sz="8" w:color="auto"/>
            </w:tcBorders>
          </w:tcPr>
          <w:p>
            <w:pPr>
              <w:spacing w:after="0"/>
              <w:rPr>
                <w:sz w:val="16"/>
                <w:szCs w:val="16"/>
                <w:color w:val="auto"/>
              </w:rPr>
            </w:pPr>
          </w:p>
        </w:tc>
      </w:tr>
      <w:tr>
        <w:trPr>
          <w:trHeight w:val="173"/>
        </w:trPr>
        <w:tc>
          <w:tcPr>
            <w:tcW w:w="57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net income (loss) per common share:</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applicable to common stock</w:t>
            </w: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6,468</w:t>
            </w:r>
          </w:p>
        </w:tc>
        <w:tc>
          <w:tcPr>
            <w:tcW w:w="80" w:type="dxa"/>
            <w:vAlign w:val="bottom"/>
          </w:tcPr>
          <w:p>
            <w:pPr>
              <w:spacing w:after="0"/>
              <w:rPr>
                <w:sz w:val="15"/>
                <w:szCs w:val="15"/>
                <w:color w:val="auto"/>
              </w:rPr>
            </w:pP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9,199</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12,479</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unvested, restricted stock</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7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Numerator: Net income (loss) for basic EPS</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6,373</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12,285</w:t>
            </w: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Weighted average common shares–basic</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17,756</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17,597</w:t>
            </w:r>
          </w:p>
        </w:tc>
      </w:tr>
      <w:tr>
        <w:trPr>
          <w:trHeight w:val="17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income (loss) per common share</w:t>
            </w:r>
          </w:p>
        </w:tc>
        <w:tc>
          <w:tcPr>
            <w:tcW w:w="8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0.70</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3"/>
        </w:trPr>
        <w:tc>
          <w:tcPr>
            <w:tcW w:w="5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net income (loss) per common share:</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for basic EPS</w:t>
            </w: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12,285</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dilutive preferred stock</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71"/>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 Net income (loss) for diluted EPS</w:t>
            </w: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w:t>
            </w:r>
          </w:p>
        </w:tc>
      </w:tr>
      <w:tr>
        <w:trPr>
          <w:trHeight w:val="17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shares–basic</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17,756</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17,597</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dilutive preferred stock</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r>
      <w:tr>
        <w:trPr>
          <w:trHeight w:val="17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Denominator: Weighted average common shares–diluted</w:t>
            </w:r>
          </w:p>
        </w:tc>
        <w:tc>
          <w:tcPr>
            <w:tcW w:w="8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18,363</w:t>
            </w:r>
          </w:p>
        </w:tc>
        <w:tc>
          <w:tcPr>
            <w:tcW w:w="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17,621</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17,701</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18,381</w:t>
            </w:r>
          </w:p>
        </w:tc>
      </w:tr>
      <w:tr>
        <w:trPr>
          <w:trHeight w:val="196"/>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income (loss) per common share</w:t>
            </w:r>
          </w:p>
        </w:tc>
        <w:tc>
          <w:tcPr>
            <w:tcW w:w="84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Diluted net income (loss)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income (loss) per common share was calculated under the two-class method for the three and nine months ended July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Related-Party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transactions with equity method investments and various related parties summarized in Note 6 - Equity in Investments and in the tables below (in thousands):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July 31, 2024</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October 31, 2023</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Balance Sheet</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Balance Sheet</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Ref</w:t>
            </w: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Related-Party</w:t>
            </w:r>
          </w:p>
        </w:tc>
        <w:tc>
          <w:tcPr>
            <w:tcW w:w="80" w:type="dxa"/>
            <w:vAlign w:val="bottom"/>
          </w:tcPr>
          <w:p>
            <w:pPr>
              <w:spacing w:after="0"/>
              <w:rPr>
                <w:sz w:val="9"/>
                <w:szCs w:val="9"/>
                <w:color w:val="auto"/>
              </w:rPr>
            </w:pPr>
          </w:p>
        </w:tc>
        <w:tc>
          <w:tcPr>
            <w:tcW w:w="1060" w:type="dxa"/>
            <w:vAlign w:val="bottom"/>
            <w:gridSpan w:val="2"/>
          </w:tcPr>
          <w:p>
            <w:pPr>
              <w:spacing w:after="0" w:line="104" w:lineRule="exact"/>
              <w:rPr>
                <w:sz w:val="20"/>
                <w:szCs w:val="20"/>
                <w:color w:val="auto"/>
              </w:rPr>
            </w:pPr>
            <w:r>
              <w:rPr>
                <w:rFonts w:ascii="Times New Roman" w:cs="Times New Roman" w:eastAsia="Times New Roman" w:hAnsi="Times New Roman"/>
                <w:sz w:val="11"/>
                <w:szCs w:val="11"/>
                <w:b w:val="1"/>
                <w:bCs w:val="1"/>
                <w:color w:val="auto"/>
              </w:rPr>
              <w:t>Receivables/Other</w:t>
            </w:r>
          </w:p>
        </w:tc>
        <w:tc>
          <w:tcPr>
            <w:tcW w:w="80" w:type="dxa"/>
            <w:vAlign w:val="bottom"/>
          </w:tcPr>
          <w:p>
            <w:pPr>
              <w:spacing w:after="0"/>
              <w:rPr>
                <w:sz w:val="9"/>
                <w:szCs w:val="9"/>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Other Assets</w:t>
            </w:r>
          </w:p>
        </w:tc>
        <w:tc>
          <w:tcPr>
            <w:tcW w:w="1000" w:type="dxa"/>
            <w:vAlign w:val="bottom"/>
            <w:gridSpan w:val="2"/>
          </w:tcPr>
          <w:p>
            <w:pPr>
              <w:ind w:left="40"/>
              <w:spacing w:after="0" w:line="104" w:lineRule="exact"/>
              <w:rPr>
                <w:sz w:val="20"/>
                <w:szCs w:val="20"/>
                <w:color w:val="auto"/>
              </w:rPr>
            </w:pPr>
            <w:r>
              <w:rPr>
                <w:rFonts w:ascii="Times New Roman" w:cs="Times New Roman" w:eastAsia="Times New Roman" w:hAnsi="Times New Roman"/>
                <w:sz w:val="11"/>
                <w:szCs w:val="11"/>
                <w:b w:val="1"/>
                <w:bCs w:val="1"/>
                <w:color w:val="auto"/>
              </w:rPr>
              <w:t>Payables to Related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spacing w:after="0" w:line="104" w:lineRule="exact"/>
              <w:rPr>
                <w:sz w:val="20"/>
                <w:szCs w:val="20"/>
                <w:color w:val="auto"/>
              </w:rPr>
            </w:pPr>
            <w:r>
              <w:rPr>
                <w:rFonts w:ascii="Times New Roman" w:cs="Times New Roman" w:eastAsia="Times New Roman" w:hAnsi="Times New Roman"/>
                <w:sz w:val="11"/>
                <w:szCs w:val="11"/>
                <w:b w:val="1"/>
                <w:bCs w:val="1"/>
                <w:color w:val="auto"/>
              </w:rPr>
              <w:t>Receivables/Other</w:t>
            </w:r>
          </w:p>
        </w:tc>
        <w:tc>
          <w:tcPr>
            <w:tcW w:w="100" w:type="dxa"/>
            <w:vAlign w:val="bottom"/>
          </w:tcPr>
          <w:p>
            <w:pPr>
              <w:spacing w:after="0"/>
              <w:rPr>
                <w:sz w:val="9"/>
                <w:szCs w:val="9"/>
                <w:color w:val="auto"/>
              </w:rPr>
            </w:pPr>
          </w:p>
        </w:tc>
        <w:tc>
          <w:tcPr>
            <w:tcW w:w="860" w:type="dxa"/>
            <w:vAlign w:val="bottom"/>
            <w:vMerge w:val="restart"/>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Other Assets</w:t>
            </w:r>
          </w:p>
        </w:tc>
        <w:tc>
          <w:tcPr>
            <w:tcW w:w="108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1"/>
                <w:szCs w:val="11"/>
                <w:b w:val="1"/>
                <w:bCs w:val="1"/>
                <w:color w:val="auto"/>
              </w:rPr>
              <w:t>Payables to Related</w:t>
            </w:r>
          </w:p>
        </w:tc>
        <w:tc>
          <w:tcPr>
            <w:tcW w:w="0" w:type="dxa"/>
            <w:vAlign w:val="bottom"/>
          </w:tcPr>
          <w:p>
            <w:pPr>
              <w:spacing w:after="0"/>
              <w:rPr>
                <w:sz w:val="1"/>
                <w:szCs w:val="1"/>
                <w:color w:val="auto"/>
              </w:rPr>
            </w:pPr>
          </w:p>
        </w:tc>
      </w:tr>
      <w:tr>
        <w:trPr>
          <w:trHeight w:val="153"/>
        </w:trPr>
        <w:tc>
          <w:tcPr>
            <w:tcW w:w="460" w:type="dxa"/>
            <w:vAlign w:val="bottom"/>
            <w:gridSpan w:val="2"/>
            <w:vMerge w:val="continue"/>
          </w:tcPr>
          <w:p>
            <w:pPr>
              <w:spacing w:after="0"/>
              <w:rPr>
                <w:sz w:val="13"/>
                <w:szCs w:val="13"/>
                <w:color w:val="auto"/>
              </w:rPr>
            </w:pPr>
          </w:p>
        </w:tc>
        <w:tc>
          <w:tcPr>
            <w:tcW w:w="4400" w:type="dxa"/>
            <w:vAlign w:val="bottom"/>
            <w:gridSpan w:val="2"/>
            <w:vMerge w:val="continue"/>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from Related Parties</w:t>
            </w: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Parties</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from Related Parties</w:t>
            </w: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Parties</w:t>
            </w:r>
          </w:p>
        </w:tc>
        <w:tc>
          <w:tcPr>
            <w:tcW w:w="0" w:type="dxa"/>
            <w:vAlign w:val="bottom"/>
          </w:tcPr>
          <w:p>
            <w:pPr>
              <w:spacing w:after="0"/>
              <w:rPr>
                <w:sz w:val="1"/>
                <w:szCs w:val="1"/>
                <w:color w:val="auto"/>
              </w:rPr>
            </w:pPr>
          </w:p>
        </w:tc>
      </w:tr>
      <w:tr>
        <w:trPr>
          <w:trHeight w:val="165"/>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Mutual water companies</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523</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Cadiz / Fenner / WAM</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YMIDD</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FGF</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8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2,519</w:t>
            </w: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LLCB</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3,444</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Rosales</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Del Mar</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11280"/>
          </w:cols>
          <w:pgMar w:left="300" w:top="125" w:right="319" w:bottom="1440" w:gutter="0" w:footer="0" w:header="0"/>
        </w:sectPr>
      </w:pPr>
    </w:p>
    <w:p>
      <w:pPr>
        <w:ind w:left="3940"/>
        <w:spacing w:after="0"/>
        <w:rPr>
          <w:sz w:val="20"/>
          <w:szCs w:val="20"/>
          <w:color w:val="auto"/>
        </w:rPr>
      </w:pPr>
      <w:r>
        <w:rPr>
          <w:rFonts w:ascii="Times New Roman" w:cs="Times New Roman" w:eastAsia="Times New Roman" w:hAnsi="Times New Roman"/>
          <w:sz w:val="11"/>
          <w:szCs w:val="11"/>
          <w:b w:val="1"/>
          <w:bCs w:val="1"/>
          <w:color w:val="auto"/>
        </w:rPr>
        <w:t>Three Months Ended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26035</wp:posOffset>
            </wp:positionV>
            <wp:extent cx="270827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8275" cy="6985"/>
                    </a:xfrm>
                    <a:prstGeom prst="rect">
                      <a:avLst/>
                    </a:prstGeom>
                    <a:noFill/>
                  </pic:spPr>
                </pic:pic>
              </a:graphicData>
            </a:graphic>
          </wp:anchor>
        </w:drawing>
      </w:r>
    </w:p>
    <w:p>
      <w:pPr>
        <w:spacing w:after="0" w:line="2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1"/>
          <w:szCs w:val="11"/>
          <w:b w:val="1"/>
          <w:bCs w:val="1"/>
          <w:color w:val="auto"/>
        </w:rPr>
        <w:t>Consolidated Statement of Operations</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Times New Roman" w:cs="Times New Roman" w:eastAsia="Times New Roman" w:hAnsi="Times New Roman"/>
          <w:sz w:val="11"/>
          <w:szCs w:val="11"/>
          <w:b w:val="1"/>
          <w:bCs w:val="1"/>
          <w:color w:val="auto"/>
        </w:rPr>
        <w:t>Three Months Ended July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26035</wp:posOffset>
            </wp:positionV>
            <wp:extent cx="270827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08275" cy="698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 of Operations</w:t>
      </w:r>
    </w:p>
    <w:p>
      <w:pPr>
        <w:spacing w:after="0" w:line="22" w:lineRule="exact"/>
        <w:rPr>
          <w:sz w:val="20"/>
          <w:szCs w:val="20"/>
          <w:color w:val="auto"/>
        </w:rPr>
      </w:pPr>
    </w:p>
    <w:p>
      <w:pPr>
        <w:sectPr>
          <w:pgSz w:w="11900" w:h="16838" w:orient="portrait"/>
          <w:cols w:equalWidth="0" w:num="2">
            <w:col w:w="7060" w:space="720"/>
            <w:col w:w="3500"/>
          </w:cols>
          <w:pgMar w:left="300" w:top="125" w:right="319" w:bottom="1440" w:gutter="0" w:footer="0" w:header="0"/>
          <w:type w:val="continuous"/>
        </w:sectPr>
      </w:pPr>
    </w:p>
    <w:tbl>
      <w:tblPr>
        <w:tblLayout w:type="fixed"/>
        <w:tblInd w:w="20" w:type="dxa"/>
        <w:tblCellMar>
          <w:top w:w="0" w:type="dxa"/>
          <w:left w:w="0" w:type="dxa"/>
          <w:bottom w:w="0" w:type="dxa"/>
          <w:right w:w="0" w:type="dxa"/>
        </w:tblCellMar>
      </w:tblPr>
      <w:tr>
        <w:trPr>
          <w:trHeight w:val="118"/>
        </w:trPr>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Ref</w:t>
            </w:r>
          </w:p>
        </w:tc>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Related-Party</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1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Agribusiness Expense</w:t>
            </w: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Dividends Paid</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1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Agribusiness Expense</w:t>
            </w:r>
          </w:p>
        </w:tc>
        <w:tc>
          <w:tcPr>
            <w:tcW w:w="8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Dividends Paid</w:t>
            </w:r>
          </w:p>
        </w:tc>
        <w:tc>
          <w:tcPr>
            <w:tcW w:w="0" w:type="dxa"/>
            <w:vAlign w:val="bottom"/>
          </w:tcPr>
          <w:p>
            <w:pPr>
              <w:spacing w:after="0"/>
              <w:rPr>
                <w:sz w:val="1"/>
                <w:szCs w:val="1"/>
                <w:color w:val="auto"/>
              </w:rPr>
            </w:pPr>
          </w:p>
        </w:tc>
      </w:tr>
      <w:tr>
        <w:trPr>
          <w:trHeight w:val="153"/>
        </w:trPr>
        <w:tc>
          <w:tcPr>
            <w:tcW w:w="440" w:type="dxa"/>
            <w:vAlign w:val="bottom"/>
            <w:gridSpan w:val="2"/>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Other Operations</w:t>
            </w:r>
          </w:p>
        </w:tc>
        <w:tc>
          <w:tcPr>
            <w:tcW w:w="18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9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Other Operations</w:t>
            </w: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Employees</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Mutual water companies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Cooperative association</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Cadiz / Fenner / WAM</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YMIDD</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FGF</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Owner</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0" w:type="dxa"/>
            <w:vAlign w:val="bottom"/>
          </w:tcPr>
          <w:p>
            <w:pPr>
              <w:spacing w:after="0"/>
              <w:rPr>
                <w:sz w:val="1"/>
                <w:szCs w:val="1"/>
                <w:color w:val="auto"/>
              </w:rPr>
            </w:pPr>
          </w:p>
        </w:tc>
      </w:tr>
      <w:tr>
        <w:trPr>
          <w:trHeight w:val="165"/>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Rosales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5" w:right="319" w:bottom="1440" w:gutter="0" w:footer="0" w:header="0"/>
          <w:type w:val="continuous"/>
        </w:sectPr>
      </w:pP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1"/>
          <w:szCs w:val="11"/>
          <w:b w:val="1"/>
          <w:bCs w:val="1"/>
          <w:color w:val="auto"/>
        </w:rPr>
        <w:t>Nine Months Ended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26035</wp:posOffset>
            </wp:positionV>
            <wp:extent cx="270827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08275" cy="6985"/>
                    </a:xfrm>
                    <a:prstGeom prst="rect">
                      <a:avLst/>
                    </a:prstGeom>
                    <a:noFill/>
                  </pic:spPr>
                </pic:pic>
              </a:graphicData>
            </a:graphic>
          </wp:anchor>
        </w:drawing>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1"/>
          <w:szCs w:val="11"/>
          <w:b w:val="1"/>
          <w:bCs w:val="1"/>
          <w:color w:val="auto"/>
        </w:rPr>
        <w:t>Consolidated Statement of Operations</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Times New Roman" w:cs="Times New Roman" w:eastAsia="Times New Roman" w:hAnsi="Times New Roman"/>
          <w:sz w:val="11"/>
          <w:szCs w:val="11"/>
          <w:b w:val="1"/>
          <w:bCs w:val="1"/>
          <w:color w:val="auto"/>
        </w:rPr>
        <w:t>Nine Months Ended July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26035</wp:posOffset>
            </wp:positionV>
            <wp:extent cx="270827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08275" cy="698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 of Operations</w:t>
      </w:r>
    </w:p>
    <w:p>
      <w:pPr>
        <w:spacing w:after="0" w:line="22" w:lineRule="exact"/>
        <w:rPr>
          <w:sz w:val="20"/>
          <w:szCs w:val="20"/>
          <w:color w:val="auto"/>
        </w:rPr>
      </w:pPr>
    </w:p>
    <w:p>
      <w:pPr>
        <w:sectPr>
          <w:pgSz w:w="11900" w:h="16838" w:orient="portrait"/>
          <w:cols w:equalWidth="0" w:num="2">
            <w:col w:w="7060" w:space="720"/>
            <w:col w:w="3500"/>
          </w:cols>
          <w:pgMar w:left="300" w:top="125" w:right="319" w:bottom="1440" w:gutter="0" w:footer="0" w:header="0"/>
          <w:type w:val="continuous"/>
        </w:sectPr>
      </w:pPr>
    </w:p>
    <w:tbl>
      <w:tblPr>
        <w:tblLayout w:type="fixed"/>
        <w:tblInd w:w="20" w:type="dxa"/>
        <w:tblCellMar>
          <w:top w:w="0" w:type="dxa"/>
          <w:left w:w="0" w:type="dxa"/>
          <w:bottom w:w="0" w:type="dxa"/>
          <w:right w:w="0" w:type="dxa"/>
        </w:tblCellMar>
      </w:tblPr>
      <w:tr>
        <w:trPr>
          <w:trHeight w:val="116"/>
        </w:trPr>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Ref</w:t>
            </w:r>
          </w:p>
        </w:tc>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Related-Party</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080" w:type="dxa"/>
            <w:vAlign w:val="bottom"/>
            <w:tcBorders>
              <w:top w:val="single" w:sz="8" w:color="auto"/>
            </w:tcBorders>
            <w:gridSpan w:val="2"/>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Agribusiness Expense</w:t>
            </w:r>
          </w:p>
        </w:tc>
        <w:tc>
          <w:tcPr>
            <w:tcW w:w="100" w:type="dxa"/>
            <w:vAlign w:val="bottom"/>
          </w:tcPr>
          <w:p>
            <w:pPr>
              <w:spacing w:after="0"/>
              <w:rPr>
                <w:sz w:val="10"/>
                <w:szCs w:val="10"/>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Dividends Paid</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180" w:type="dxa"/>
            <w:vAlign w:val="bottom"/>
            <w:tcBorders>
              <w:top w:val="single" w:sz="8" w:color="auto"/>
            </w:tcBorders>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Agribusiness Expense</w:t>
            </w:r>
          </w:p>
        </w:tc>
        <w:tc>
          <w:tcPr>
            <w:tcW w:w="8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Dividends Paid</w:t>
            </w:r>
          </w:p>
        </w:tc>
        <w:tc>
          <w:tcPr>
            <w:tcW w:w="0" w:type="dxa"/>
            <w:vAlign w:val="bottom"/>
          </w:tcPr>
          <w:p>
            <w:pPr>
              <w:spacing w:after="0"/>
              <w:rPr>
                <w:sz w:val="1"/>
                <w:szCs w:val="1"/>
                <w:color w:val="auto"/>
              </w:rPr>
            </w:pPr>
          </w:p>
        </w:tc>
      </w:tr>
      <w:tr>
        <w:trPr>
          <w:trHeight w:val="154"/>
        </w:trPr>
        <w:tc>
          <w:tcPr>
            <w:tcW w:w="440" w:type="dxa"/>
            <w:vAlign w:val="bottom"/>
            <w:gridSpan w:val="2"/>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Other Operations</w:t>
            </w:r>
          </w:p>
        </w:tc>
        <w:tc>
          <w:tcPr>
            <w:tcW w:w="18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9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Other Operations</w:t>
            </w: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Employees</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Mutual water companies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8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Cooperative association</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Cadiz / Fenner / WAM</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1,914</w:t>
            </w:r>
          </w:p>
        </w:tc>
        <w:tc>
          <w:tcPr>
            <w:tcW w:w="8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YMIDD</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FGF</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Owner</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0" w:type="dxa"/>
            <w:vAlign w:val="bottom"/>
          </w:tcPr>
          <w:p>
            <w:pPr>
              <w:spacing w:after="0"/>
              <w:rPr>
                <w:sz w:val="1"/>
                <w:szCs w:val="1"/>
                <w:color w:val="auto"/>
              </w:rPr>
            </w:pPr>
          </w:p>
        </w:tc>
      </w:tr>
      <w:tr>
        <w:trPr>
          <w:trHeight w:val="165"/>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Rosales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40" w:hanging="135"/>
        <w:spacing w:after="0"/>
        <w:tabs>
          <w:tab w:leader="none" w:pos="14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Employees - The Company rents certain of its residential housing assets to employees on a month-to-month basis and recorded rental income from employees.</w:t>
      </w:r>
    </w:p>
    <w:p>
      <w:pPr>
        <w:spacing w:after="0" w:line="102" w:lineRule="exact"/>
        <w:rPr>
          <w:rFonts w:ascii="Times New Roman" w:cs="Times New Roman" w:eastAsia="Times New Roman" w:hAnsi="Times New Roman"/>
          <w:sz w:val="17"/>
          <w:szCs w:val="17"/>
          <w:color w:val="auto"/>
          <w:vertAlign w:val="superscript"/>
        </w:rPr>
      </w:pPr>
    </w:p>
    <w:p>
      <w:pPr>
        <w:ind w:firstLine="5"/>
        <w:spacing w:after="0" w:line="230" w:lineRule="auto"/>
        <w:tabs>
          <w:tab w:leader="none" w:pos="145"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pacing w:after="0" w:line="92" w:lineRule="exact"/>
        <w:rPr>
          <w:rFonts w:ascii="Times New Roman" w:cs="Times New Roman" w:eastAsia="Times New Roman" w:hAnsi="Times New Roman"/>
          <w:sz w:val="18"/>
          <w:szCs w:val="18"/>
          <w:color w:val="auto"/>
          <w:vertAlign w:val="superscript"/>
        </w:rPr>
      </w:pPr>
    </w:p>
    <w:p>
      <w:pPr>
        <w:ind w:firstLine="5"/>
        <w:spacing w:after="0" w:line="230" w:lineRule="auto"/>
        <w:tabs>
          <w:tab w:leader="none" w:pos="154"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Cooperative association - The Company has representation on the board of directors of a non-profit cooperative association that provides pest control services for the agricultural industry. The Company purchased services and supplies from and had immaterial payments due to the cooperative association.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Related-Party Transactions (continued)</w:t>
      </w:r>
    </w:p>
    <w:p>
      <w:pPr>
        <w:spacing w:after="0" w:line="117" w:lineRule="exact"/>
        <w:rPr>
          <w:sz w:val="20"/>
          <w:szCs w:val="20"/>
          <w:color w:val="auto"/>
        </w:rPr>
      </w:pPr>
    </w:p>
    <w:p>
      <w:pPr>
        <w:jc w:val="both"/>
        <w:ind w:firstLine="5"/>
        <w:spacing w:after="0" w:line="247" w:lineRule="auto"/>
        <w:tabs>
          <w:tab w:leader="none" w:pos="151"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Cadiz / Fenner / WAM - A member of the Company’s board of directors served as the CEO, President and a member of the board of directors of Cadiz, Inc. through December 31, 2023. As of January 1, 2024, Cadiz, Inc. is no longer a related-party. In 2013, the Company entered a long-term lease agreement (the “Lease”) with Cadiz Real Estate, LLC (“Cadiz”), a wholly owned subsidiary of Cadiz, Inc., and leased 670 acres located in eastern San Bernardino County, California. In 2016, Cadiz assigned this lease to Fenner Valley Farms, LLC (“Fenner”), a subsidiary of Water Asset Management, LLC (“WAM”). As of the date of the lease assignment, the Company no longer had any related-party transactions with Cadiz. An affiliate of WAM is the holder of 9,300 shares of the Company's Series B-2 convertible preferred stock and the Company paid dividends to such affiliate. The annual base rent was equal to the sum of $200 per planted acre and 20% of gross revenues from the sale of harvested lemons (less operating expenses), not to exceed $1,200 per acre per year. Upon the adoption of ASC 842, the Company recorded a ROU asset and corresponding lease liability, which were written off in fiscal year 2023 upon cessation of farming operations.</w:t>
      </w:r>
    </w:p>
    <w:p>
      <w:pPr>
        <w:spacing w:after="0" w:line="97" w:lineRule="exact"/>
        <w:rPr>
          <w:rFonts w:ascii="Times New Roman" w:cs="Times New Roman" w:eastAsia="Times New Roman" w:hAnsi="Times New Roman"/>
          <w:sz w:val="18"/>
          <w:szCs w:val="18"/>
          <w:color w:val="auto"/>
          <w:vertAlign w:val="superscript"/>
        </w:rPr>
      </w:pPr>
    </w:p>
    <w:p>
      <w:pPr>
        <w:ind w:firstLine="5"/>
        <w:spacing w:after="0" w:line="254" w:lineRule="auto"/>
        <w:tabs>
          <w:tab w:leader="none" w:pos="142"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has a receivable outstanding.</w:t>
      </w:r>
    </w:p>
    <w:p>
      <w:pPr>
        <w:spacing w:after="0" w:line="91" w:lineRule="exact"/>
        <w:rPr>
          <w:rFonts w:ascii="Times New Roman" w:cs="Times New Roman" w:eastAsia="Times New Roman" w:hAnsi="Times New Roman"/>
          <w:sz w:val="17"/>
          <w:szCs w:val="17"/>
          <w:color w:val="auto"/>
          <w:vertAlign w:val="superscript"/>
        </w:rPr>
      </w:pPr>
    </w:p>
    <w:p>
      <w:pPr>
        <w:ind w:firstLine="5"/>
        <w:spacing w:after="0" w:line="254" w:lineRule="auto"/>
        <w:tabs>
          <w:tab w:leader="none" w:pos="142"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FGF - The Company has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w:t>
      </w:r>
    </w:p>
    <w:p>
      <w:pPr>
        <w:spacing w:after="0" w:line="69" w:lineRule="exact"/>
        <w:rPr>
          <w:rFonts w:ascii="Times New Roman" w:cs="Times New Roman" w:eastAsia="Times New Roman" w:hAnsi="Times New Roman"/>
          <w:sz w:val="17"/>
          <w:szCs w:val="17"/>
          <w:color w:val="auto"/>
          <w:vertAlign w:val="superscript"/>
        </w:rPr>
      </w:pPr>
    </w:p>
    <w:p>
      <w:pPr>
        <w:ind w:left="140" w:hanging="135"/>
        <w:spacing w:after="0"/>
        <w:tabs>
          <w:tab w:leader="none" w:pos="14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LLCB - Refer to Note 5 - Real Estate Development.</w:t>
      </w:r>
    </w:p>
    <w:p>
      <w:pPr>
        <w:spacing w:after="0" w:line="90" w:lineRule="exact"/>
        <w:rPr>
          <w:rFonts w:ascii="Times New Roman" w:cs="Times New Roman" w:eastAsia="Times New Roman" w:hAnsi="Times New Roman"/>
          <w:sz w:val="17"/>
          <w:szCs w:val="17"/>
          <w:color w:val="auto"/>
          <w:vertAlign w:val="superscript"/>
        </w:rPr>
      </w:pPr>
    </w:p>
    <w:p>
      <w:pPr>
        <w:ind w:left="140" w:hanging="135"/>
        <w:spacing w:after="0"/>
        <w:tabs>
          <w:tab w:leader="none" w:pos="14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Principal owner - The Company has one principal owner with ownership shares over 10% and paid dividends to such owner.</w:t>
      </w:r>
    </w:p>
    <w:p>
      <w:pPr>
        <w:spacing w:after="0" w:line="102" w:lineRule="exact"/>
        <w:rPr>
          <w:rFonts w:ascii="Times New Roman" w:cs="Times New Roman" w:eastAsia="Times New Roman" w:hAnsi="Times New Roman"/>
          <w:sz w:val="17"/>
          <w:szCs w:val="17"/>
          <w:color w:val="auto"/>
          <w:vertAlign w:val="superscript"/>
        </w:rPr>
      </w:pPr>
    </w:p>
    <w:p>
      <w:pPr>
        <w:ind w:firstLine="5"/>
        <w:spacing w:after="0" w:line="254" w:lineRule="auto"/>
        <w:tabs>
          <w:tab w:leader="none" w:pos="196"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Rosales - The Company has an equity interest in Rosales as further described in Note 6 - Equity in Investments. The Company recognizes lemon sales to Rosales, procures lemons and oranges from Rosales and has amounts due to and due from Rosales for such sales and consignments.</w:t>
      </w:r>
    </w:p>
    <w:p>
      <w:pPr>
        <w:spacing w:after="0" w:line="80" w:lineRule="exact"/>
        <w:rPr>
          <w:rFonts w:ascii="Times New Roman" w:cs="Times New Roman" w:eastAsia="Times New Roman" w:hAnsi="Times New Roman"/>
          <w:sz w:val="17"/>
          <w:szCs w:val="17"/>
          <w:color w:val="auto"/>
          <w:vertAlign w:val="superscript"/>
        </w:rPr>
      </w:pPr>
    </w:p>
    <w:p>
      <w:pPr>
        <w:ind w:firstLine="5"/>
        <w:spacing w:after="0" w:line="254" w:lineRule="auto"/>
        <w:tabs>
          <w:tab w:leader="none" w:pos="198"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Del Mar - The Company has an interest in Del Mar as a general partner and as a limited partner as further described in Note 6 - Equity in Investments. Del Mar markets lemons through the Company and the Company has a payable due to Del Mar for such lemon procurement.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Income Taxes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effective tax rate for the nine months ended July 31, 2024 was higher than the federal statutory tax rate of 21% mainly due to foreign jurisdictions that are taxed at different rates, state taxes, tax impact of stock-based compensation, executive compensation, nondeductible tax items and valuation allowances on certain deferred tax assets of foreign subsidiaries. The Company has no material uncertain tax positions as of July 31, 2024. The Company recognizes interest expense and penalties related to income tax matters as a component of income tax expense. There was no accrued interest or penalties associated with uncertain tax positions as of July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Retirement Plans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Limoneira Company Retirement Plan (the “Plan”) was a noncontributory, defined benefit, single employer pension plan, which provided retirement benefits for all eligible employees. Benefits paid by the Plan were calculated based on years of service, highest five-year average earnings, primary Social Security benefit and retirement age. Effective June 2004, the Company froze the Plan and no additional benefits accrued to participants subsequent to that date. The Plan was administered by Principal Bank and Mercer Human Resource Consulting. In fiscal year 2021, the Company terminated the Plan effective December 31, 2021.</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three months ended January 31, 2023, the Company made funding contributions of $2,500,000 to fully fund and settle the plan obligations.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Plan was funded consistent with the funding requirements of federal law and regulations. Plan assets were invested in a group trust consisting primarily of pooled funds, mutual funds,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16. Retirement Plans (continued)</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7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net periodic pension cost for the Plan were as follows (in thousands):</w:t>
            </w: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6"/>
        </w:trPr>
        <w:tc>
          <w:tcPr>
            <w:tcW w:w="8560" w:type="dxa"/>
            <w:vAlign w:val="bottom"/>
          </w:tcPr>
          <w:p>
            <w:pPr>
              <w:spacing w:after="0"/>
              <w:rPr>
                <w:sz w:val="24"/>
                <w:szCs w:val="24"/>
                <w:color w:val="auto"/>
              </w:rPr>
            </w:pPr>
          </w:p>
        </w:tc>
        <w:tc>
          <w:tcPr>
            <w:tcW w:w="228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24"/>
                <w:szCs w:val="24"/>
                <w:color w:val="auto"/>
              </w:rPr>
            </w:pPr>
          </w:p>
        </w:tc>
      </w:tr>
      <w:tr>
        <w:trPr>
          <w:trHeight w:val="188"/>
        </w:trPr>
        <w:tc>
          <w:tcPr>
            <w:tcW w:w="85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40" w:type="dxa"/>
            <w:vAlign w:val="bottom"/>
            <w:tcBorders>
              <w:bottom w:val="single" w:sz="8" w:color="auto"/>
            </w:tcBorders>
          </w:tcPr>
          <w:p>
            <w:pPr>
              <w:spacing w:after="0"/>
              <w:rPr>
                <w:sz w:val="16"/>
                <w:szCs w:val="16"/>
                <w:color w:val="auto"/>
              </w:rPr>
            </w:pPr>
          </w:p>
        </w:tc>
      </w:tr>
      <w:tr>
        <w:trPr>
          <w:trHeight w:val="173"/>
        </w:trPr>
        <w:tc>
          <w:tcPr>
            <w:tcW w:w="85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Administrative expenses</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96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9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service cost</w:t>
            </w:r>
          </w:p>
        </w:tc>
        <w:tc>
          <w:tcPr>
            <w:tcW w:w="96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loss recognized</w:t>
            </w:r>
          </w:p>
        </w:tc>
        <w:tc>
          <w:tcPr>
            <w:tcW w:w="9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96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w:t>
            </w:r>
          </w:p>
        </w:tc>
      </w:tr>
      <w:tr>
        <w:trPr>
          <w:trHeight w:val="20"/>
        </w:trPr>
        <w:tc>
          <w:tcPr>
            <w:tcW w:w="8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Commitments and Contingencies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was party to a lawsuit, initiated on March 27, 2018, against Southern California Edison in Superior Court of the State of California, County of Los Angeles whereby the Company claimed unspecified damages, attorneys’ fees and other costs, as a result of the Thomas Fire in fiscal year 2018. On April 18, 2023, the Company entered into a Confidential Settlement Agreement and Release (the “Settlement Agreement”) with Southern California Edison Company and Edison International to formally resolve any and all claims related to the fire. Under the terms of the Settlement Agreement, the Company was awarded a total settlement of $9,000,000. On May 19, 2023, the Company received $6,109,000, net of legal and related costs, of which $3,840,000 was recorded in agribusiness revenues and $2,269,000 was recorded in gain on legal settlement as of April 30,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Stock-based Compensation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common stock on the date of grant, and all are classified as equity awards.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 Performance Awards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restricted stock grants are made to management under the Stock Plan ("Performance Awards"). Historically the Company granted awards to management each December based on the achievement of certain annual financial performance and other criteria achieved during the previous fiscal year. These grants were based on a percentage of the employee’s base salary divided by the stock price on the grant date once the performance criteria were met, and generally vested over a two-year period as service was provided. During December 2023, 36,127 shares of stock with a per share price of $19.57 were granted to management for fiscal year 2023 performance, resulting in total compensation expense of approximately $707,000, with $293,000 recognized in the fiscal year ended October 31, 2023, and the balance will be recognized over the next two years as the shares vest.</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April 2024, 4,330 shares of stock with a weighted average per share price of $19.49 were granted to management and vested upon issuance. The related compensation expense of $84,000 was recognized upon vesting. During May 2024, 35,779 shares of stock with a per share price of $20.07 were granted to management. The related compensation expense of approximately $718,000 will be recognized over three years as the shares vest.</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May 2024, the Company entered into Performance Share-Based Agreements with members of management whereby the employees may be granted common stock in the future based on the achievement of certain long-term performance goals. The Company recorded $197,000 of stock compensation expense related to these awards during the nine months ended July 31, 2024.</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Stock-based Compensation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Awards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restricted stock grants are made to key executives under the Stock Plan (“Executive Awards”). These grants generally vest over a three-year period as service is provided. During November 2023, the Company granted 53,078 shares of stock with a per share price of $14.13 to key executives. The related compensation expense of approximately $750,000 will be recognized equally over the next three years as the shares vest.</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fiscal year 2022, the Company entered into Retention Bonus Agreements with key executives (collectively, the “Retention Bonus Agreements”) whereby the executives will be eligible to receive cash and restricted stock grants. During December 2023, the Company granted 12,709 shares of stock with a per share price of $19.57 to key executives related to the Retention Bonus Agreements. The related compensation expense of approximately $249,000 had $115,000 recognized in the fiscal year ended October 31, 2023, and the balance will be recognized over the next year as the shares vest. During June 2024, the Company granted 40,926 shares of stock with a per share price of $20.36. The related compensation expense of approximately $833,000 will be recognized over the next year as the shares vest.</w:t>
      </w:r>
    </w:p>
    <w:p>
      <w:pPr>
        <w:spacing w:after="0" w:line="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November 2023, the Company entered into Performance Share-Based Award Agreements with key executives whereby the executives may be granted common stock in the future based on the achievement of certain long-term performance goals. The Company recorded $292,000 of stock compensation expense related to these awards during the nine months ended July 31,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Director Awards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restricted stock grants are made to non-employee directors under the Stock Plan on an annual basis that generally vest after a one-year period (“Director Awards”). During January 2024, 609 shares of stock were granted as Director Awards with a per share price of $20.37. During March 2024, an additional 26,478 shares of stock were granted as Director Awards with a per share price of $19.26.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Exchange of Common Stock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nine months ended July 31, 2024 and 2023, members of management exchanged 99,167 and 1,594 shares of common stock with fair values totaling $1,835,000 and $26,000, respectively, at the dates of the exchanges, for the payment of payroll taxes associated with the vesting of shares under the Stock Plan.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Segment Information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primarily includes sales, farm management, farming and harvest costs, brokered fruit costs of oranges and specialty citrus, other crops, fallowing revenue, shipping revenue and shipping costs. During fiscal year 2024, the Company changed its reporting of other revenue and other costs and includes these items in the other agribusiness segment instead of the fresh lemons segment. Prior year's information has been restated to conform to the current year's presentation.</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impairment of intangible asset, gain or loss on disposal of assets, gain on legal settlement, total other income (expense) and income taxes, or specifically identify them to its operating segments. The lemon packing segment earns packing revenue for packing lemons grown on its orchards and lemons procured from third-party growers. Intersegment revenues represent packing revenues related to lemons grown on the Company’s orchards.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Segment Information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information for the three months ended July 31, 2024 is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20" w:type="dxa"/>
            <w:vAlign w:val="bottom"/>
          </w:tcPr>
          <w:p>
            <w:pPr>
              <w:spacing w:after="0"/>
              <w:rPr>
                <w:sz w:val="11"/>
                <w:szCs w:val="11"/>
                <w:color w:val="auto"/>
              </w:rPr>
            </w:pPr>
          </w:p>
        </w:tc>
        <w:tc>
          <w:tcPr>
            <w:tcW w:w="80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94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80" w:type="dxa"/>
            <w:vAlign w:val="bottom"/>
          </w:tcPr>
          <w:p>
            <w:pPr>
              <w:spacing w:after="0"/>
              <w:rPr>
                <w:sz w:val="11"/>
                <w:szCs w:val="11"/>
                <w:color w:val="auto"/>
              </w:rPr>
            </w:pPr>
          </w:p>
        </w:tc>
        <w:tc>
          <w:tcPr>
            <w:tcW w:w="80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0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84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9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36,746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5,200</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63,305</w:t>
            </w:r>
          </w:p>
        </w:tc>
        <w:tc>
          <w:tcPr>
            <w:tcW w:w="0" w:type="dxa"/>
            <w:vAlign w:val="bottom"/>
          </w:tcPr>
          <w:p>
            <w:pPr>
              <w:spacing w:after="0"/>
              <w:rPr>
                <w:sz w:val="1"/>
                <w:szCs w:val="1"/>
                <w:color w:val="auto"/>
              </w:rPr>
            </w:pPr>
          </w:p>
        </w:tc>
      </w:tr>
      <w:tr>
        <w:trPr>
          <w:trHeight w:val="168"/>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Intersegment revenue</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10,499</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(10,499)</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36,746</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15,699</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(10,499)</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13,897</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6,006</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61,849</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63,305</w:t>
            </w:r>
          </w:p>
        </w:tc>
        <w:tc>
          <w:tcPr>
            <w:tcW w:w="0" w:type="dxa"/>
            <w:vAlign w:val="bottom"/>
          </w:tcPr>
          <w:p>
            <w:pPr>
              <w:spacing w:after="0"/>
              <w:rPr>
                <w:sz w:val="1"/>
                <w:szCs w:val="1"/>
                <w:color w:val="auto"/>
              </w:rPr>
            </w:pPr>
          </w:p>
        </w:tc>
      </w:tr>
      <w:tr>
        <w:trPr>
          <w:trHeight w:val="168"/>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32,977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11,144</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(10,499)</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4,104</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5,912</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43,638</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52,197</w:t>
            </w: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0" w:type="dxa"/>
            <w:vAlign w:val="bottom"/>
          </w:tcPr>
          <w:p>
            <w:pPr>
              <w:spacing w:after="0"/>
              <w:rPr>
                <w:sz w:val="1"/>
                <w:szCs w:val="1"/>
                <w:color w:val="auto"/>
              </w:rPr>
            </w:pPr>
          </w:p>
        </w:tc>
      </w:tr>
      <w:tr>
        <w:trPr>
          <w:trHeight w:val="16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3,769</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4,555</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9,793</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16,412</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(7,419)</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information for the three months ended July 31, 2023 is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20" w:type="dxa"/>
            <w:vAlign w:val="bottom"/>
          </w:tcPr>
          <w:p>
            <w:pPr>
              <w:spacing w:after="0"/>
              <w:rPr>
                <w:sz w:val="11"/>
                <w:szCs w:val="11"/>
                <w:color w:val="auto"/>
              </w:rPr>
            </w:pPr>
          </w:p>
        </w:tc>
        <w:tc>
          <w:tcPr>
            <w:tcW w:w="80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94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80" w:type="dxa"/>
            <w:vAlign w:val="bottom"/>
          </w:tcPr>
          <w:p>
            <w:pPr>
              <w:spacing w:after="0"/>
              <w:rPr>
                <w:sz w:val="11"/>
                <w:szCs w:val="11"/>
                <w:color w:val="auto"/>
              </w:rPr>
            </w:pPr>
          </w:p>
        </w:tc>
        <w:tc>
          <w:tcPr>
            <w:tcW w:w="80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0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84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9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32,739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5,472</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51,092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52,497</w:t>
            </w:r>
          </w:p>
        </w:tc>
        <w:tc>
          <w:tcPr>
            <w:tcW w:w="0" w:type="dxa"/>
            <w:vAlign w:val="bottom"/>
          </w:tcPr>
          <w:p>
            <w:pPr>
              <w:spacing w:after="0"/>
              <w:rPr>
                <w:sz w:val="1"/>
                <w:szCs w:val="1"/>
                <w:color w:val="auto"/>
              </w:rPr>
            </w:pPr>
          </w:p>
        </w:tc>
      </w:tr>
      <w:tr>
        <w:trPr>
          <w:trHeight w:val="168"/>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Intersegment revenue</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9,684</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(9,684)</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32,739</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15,156</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(9,684)</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9,419</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51,092</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52,497</w:t>
            </w:r>
          </w:p>
        </w:tc>
        <w:tc>
          <w:tcPr>
            <w:tcW w:w="0" w:type="dxa"/>
            <w:vAlign w:val="bottom"/>
          </w:tcPr>
          <w:p>
            <w:pPr>
              <w:spacing w:after="0"/>
              <w:rPr>
                <w:sz w:val="1"/>
                <w:szCs w:val="1"/>
                <w:color w:val="auto"/>
              </w:rPr>
            </w:pPr>
          </w:p>
        </w:tc>
      </w:tr>
      <w:tr>
        <w:trPr>
          <w:trHeight w:val="168"/>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30,118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13,140</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8,506</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45,110</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52,027</w:t>
            </w: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6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2,621</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4,247</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(5,796)</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information for the nine months ended July 31, 2024 is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20" w:type="dxa"/>
            <w:vAlign w:val="bottom"/>
          </w:tcPr>
          <w:p>
            <w:pPr>
              <w:spacing w:after="0"/>
              <w:rPr>
                <w:sz w:val="11"/>
                <w:szCs w:val="11"/>
                <w:color w:val="auto"/>
              </w:rPr>
            </w:pPr>
          </w:p>
        </w:tc>
        <w:tc>
          <w:tcPr>
            <w:tcW w:w="78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940" w:type="dxa"/>
            <w:vAlign w:val="bottom"/>
            <w:vMerge w:val="restart"/>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8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2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84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9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94,971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143,445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147,642</w:t>
            </w:r>
          </w:p>
        </w:tc>
        <w:tc>
          <w:tcPr>
            <w:tcW w:w="0" w:type="dxa"/>
            <w:vAlign w:val="bottom"/>
          </w:tcPr>
          <w:p>
            <w:pPr>
              <w:spacing w:after="0"/>
              <w:rPr>
                <w:sz w:val="1"/>
                <w:szCs w:val="1"/>
                <w:color w:val="auto"/>
              </w:rPr>
            </w:pPr>
          </w:p>
        </w:tc>
      </w:tr>
      <w:tr>
        <w:trPr>
          <w:trHeight w:val="16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Intersegment revenue</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28,129</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(28,129)</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94,971</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43,885</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(28,129)</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16,245</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16,473</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143,445</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147,642</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90,687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35,450</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(28,129)</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5,529</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16,119</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119,656</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25,140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144,796</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5,331</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6,273</w:t>
            </w:r>
          </w:p>
        </w:tc>
        <w:tc>
          <w:tcPr>
            <w:tcW w:w="0" w:type="dxa"/>
            <w:vAlign w:val="bottom"/>
          </w:tcPr>
          <w:p>
            <w:pPr>
              <w:spacing w:after="0"/>
              <w:rPr>
                <w:sz w:val="1"/>
                <w:szCs w:val="1"/>
                <w:color w:val="auto"/>
              </w:rPr>
            </w:pPr>
          </w:p>
        </w:tc>
      </w:tr>
      <w:tr>
        <w:trPr>
          <w:trHeight w:val="163"/>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8,435</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10,716</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18,458</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(21,885)</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information for the nine months ended July 31, 2023 is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20" w:type="dxa"/>
            <w:vAlign w:val="bottom"/>
          </w:tcPr>
          <w:p>
            <w:pPr>
              <w:spacing w:after="0"/>
              <w:rPr>
                <w:sz w:val="10"/>
                <w:szCs w:val="10"/>
                <w:color w:val="auto"/>
              </w:rPr>
            </w:pPr>
          </w:p>
        </w:tc>
        <w:tc>
          <w:tcPr>
            <w:tcW w:w="78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0"/>
                <w:szCs w:val="10"/>
                <w:color w:val="auto"/>
              </w:rPr>
            </w:pPr>
          </w:p>
        </w:tc>
        <w:tc>
          <w:tcPr>
            <w:tcW w:w="940" w:type="dxa"/>
            <w:vAlign w:val="bottom"/>
            <w:vMerge w:val="restart"/>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80" w:type="dxa"/>
            <w:vAlign w:val="bottom"/>
          </w:tcPr>
          <w:p>
            <w:pPr>
              <w:spacing w:after="0"/>
              <w:rPr>
                <w:sz w:val="10"/>
                <w:szCs w:val="10"/>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0"/>
                <w:szCs w:val="10"/>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0"/>
                <w:szCs w:val="10"/>
                <w:color w:val="auto"/>
              </w:rPr>
            </w:pPr>
          </w:p>
        </w:tc>
        <w:tc>
          <w:tcPr>
            <w:tcW w:w="92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0"/>
                <w:szCs w:val="10"/>
                <w:color w:val="auto"/>
              </w:rPr>
            </w:pPr>
          </w:p>
        </w:tc>
        <w:tc>
          <w:tcPr>
            <w:tcW w:w="84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0"/>
                <w:szCs w:val="10"/>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92,002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134,296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4,172</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138,468</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Intersegment revenue</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27,356</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(27,356)</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92,002</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44,899</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(27,356)</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7,065</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17,686</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134,296</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4,172</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138,468</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 (gains)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36,568</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(27,356)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4,053</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15,749</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120,665</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111,485</w:t>
            </w:r>
          </w:p>
        </w:tc>
        <w:tc>
          <w:tcPr>
            <w:tcW w:w="0" w:type="dxa"/>
            <w:vAlign w:val="bottom"/>
          </w:tcPr>
          <w:p>
            <w:pPr>
              <w:spacing w:after="0"/>
              <w:rPr>
                <w:sz w:val="1"/>
                <w:szCs w:val="1"/>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5,610</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6,510</w:t>
            </w:r>
          </w:p>
        </w:tc>
        <w:tc>
          <w:tcPr>
            <w:tcW w:w="0" w:type="dxa"/>
            <w:vAlign w:val="bottom"/>
          </w:tcPr>
          <w:p>
            <w:pPr>
              <w:spacing w:after="0"/>
              <w:rPr>
                <w:sz w:val="1"/>
                <w:szCs w:val="1"/>
                <w:color w:val="auto"/>
              </w:rPr>
            </w:pPr>
          </w:p>
        </w:tc>
      </w:tr>
      <w:tr>
        <w:trPr>
          <w:trHeight w:val="163"/>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8,331</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1,937</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8,021</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12,452</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20,473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Revenues related to rental operations are included in “Corporate and Other.” The detail of other agribusiness revenues is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80" w:type="dxa"/>
            <w:vAlign w:val="bottom"/>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68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Oranges</w:t>
            </w:r>
          </w:p>
        </w:tc>
        <w:tc>
          <w:tcPr>
            <w:tcW w:w="20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Specialty citrus and other crops</w:t>
            </w:r>
          </w:p>
        </w:tc>
        <w:tc>
          <w:tcPr>
            <w:tcW w:w="2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4,163</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 management</w:t>
            </w:r>
          </w:p>
        </w:tc>
        <w:tc>
          <w:tcPr>
            <w:tcW w:w="20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6,787</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agribusiness revenues</w:t>
            </w:r>
          </w:p>
        </w:tc>
        <w:tc>
          <w:tcPr>
            <w:tcW w:w="20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36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8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Subsequent Events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evaluated events subsequent to July 31, 2024 through the date of this filing, to assess the need for potential recognition or disclosure in this Quarterly Report. Based upon this evaluation, except as described in the notes to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ind w:right="5580"/>
        <w:spacing w:after="0" w:line="42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Item 2. Management’s Discussion and Analysis of Financial Condition and Results of Operations </w:t>
      </w:r>
      <w:r>
        <w:rPr>
          <w:rFonts w:ascii="Times New Roman" w:cs="Times New Roman" w:eastAsia="Times New Roman" w:hAnsi="Times New Roman"/>
          <w:sz w:val="14"/>
          <w:szCs w:val="14"/>
          <w:b w:val="1"/>
          <w:bCs w:val="1"/>
          <w:color w:val="auto"/>
        </w:rPr>
        <w:t>Overview</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10,500 acres of land, water resources and other assets to maximize long-term stockholder value. Our current operations consist of fruit production, sales and marketing, rental operations, real estate and capital investment activities.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one of California’s oldest citrus growers and are one of the largest growers of lemons in the United States. According to the California Avocado Commission, we are one of the largest growers of avocados in the United States. In addition to growing lemons and avocados, we grow oranges and other crops. We have agricultural plantings throughout Ventura and San Luis Obispo Counties in California, Yuma County in Arizona, La Serena, Chile and Jujuy, Argentina, which collectively consist of approximately 3,400 acres of lemons, 1,200 acres of avocados, 100 acres of oranges and 400 acres of wine grapes.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PDA and San Pablo farming operations in Chile and our Trapani Fresh farming operations in Argentina. We use ground water from the San Joaquin Valley Basin and water from local water and irrigation districts in Tulare County, which is in California’s San Joaquin Valley.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than 100 years, we have been making strategic investments in California agriculture and real estate. We currently have an interest in three real estate development projects in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projects include multi-family housing, single-family homes and apartments of approximately 800 units in various stages of planning and development.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Division Summary</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other crops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Agribusiness Summary</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market and sell citrus directly to our food service, wholesale and retail customers throughout the United States, Canada, Asia, Australia, Europe and certain other international markets. We sell our avocados and oranges to third-party packinghouses. Additionally, we sell our wine grapes to various wine producers.</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14"/>
          <w:szCs w:val="14"/>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avocado producing business is important to us and we are currently assessing all of our farmland in Ventura County for opportunities to expand our plantings of avocados. While avocado production is cyclical as avocados typically bear fruit on a bi-annual basis, the profitability and cash flow realized from our avocados helps to diversify our fruit production base.</w:t>
      </w:r>
    </w:p>
    <w:p>
      <w:pPr>
        <w:spacing w:after="0" w:line="61" w:lineRule="exact"/>
        <w:rPr>
          <w:sz w:val="20"/>
          <w:szCs w:val="20"/>
          <w:color w:val="auto"/>
        </w:rPr>
      </w:pPr>
    </w:p>
    <w:p>
      <w:pPr>
        <w:ind w:right="1080"/>
        <w:spacing w:after="0" w:line="427" w:lineRule="auto"/>
        <w:rPr>
          <w:sz w:val="20"/>
          <w:szCs w:val="20"/>
          <w:color w:val="auto"/>
        </w:rPr>
      </w:pPr>
      <w:r>
        <w:rPr>
          <w:rFonts w:ascii="Times New Roman" w:cs="Times New Roman" w:eastAsia="Times New Roman" w:hAnsi="Times New Roman"/>
          <w:sz w:val="14"/>
          <w:szCs w:val="14"/>
          <w:color w:val="auto"/>
        </w:rPr>
        <w:t xml:space="preserve">In addition to growing lemons and avocados, we grow oranges and other crops. We regularly monitor the demand for the fruit we grow in the current marketplace to identify trends. </w:t>
      </w:r>
      <w:r>
        <w:rPr>
          <w:rFonts w:ascii="Times New Roman" w:cs="Times New Roman" w:eastAsia="Times New Roman" w:hAnsi="Times New Roman"/>
          <w:sz w:val="14"/>
          <w:szCs w:val="14"/>
          <w:b w:val="1"/>
          <w:bCs w:val="1"/>
          <w:i w:val="1"/>
          <w:iCs w:val="1"/>
          <w:color w:val="auto"/>
        </w:rPr>
        <w:t>Rental Operations Summary</w:t>
      </w:r>
    </w:p>
    <w:p>
      <w:pPr>
        <w:jc w:val="both"/>
        <w:spacing w:after="0" w:line="267" w:lineRule="auto"/>
        <w:rPr>
          <w:sz w:val="20"/>
          <w:szCs w:val="20"/>
          <w:color w:val="auto"/>
        </w:rPr>
      </w:pPr>
      <w:r>
        <w:rPr>
          <w:rFonts w:ascii="Times New Roman" w:cs="Times New Roman" w:eastAsia="Times New Roman" w:hAnsi="Times New Roman"/>
          <w:sz w:val="14"/>
          <w:szCs w:val="14"/>
          <w:color w:val="auto"/>
        </w:rPr>
        <w:t>Our rental operations include our residential and commercial rentals, leased land operations and organic recycling. Our residential rental units generate cash flows that we use to partially fund the operating costs of our business and provide affordable housing to many of our employees, including our agribusiness employees. We believe that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 Estate Development Summary</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Water and Mineral Rights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8,600 acre-feet of adjudicated water rights in the Santa Paula Basin (aquifer) and the un-adjudicated Fillmore Basin (aquifer). Our Windfall Farms property located in San Luis Obispo County, California obtains water from wells that derive water from the Paso Robles Basin (aquifer). Our farming operations in Yuma, Arizona source water from the Colorado River through the YMIDD, where we have access to approximately 11,700 acre-feet of Class 3 Colorado River water rights. We use ground water provided by wells and surface water for our PDA and San Pablo farming operations in La Serena, Chile and our Trapani Fresh farming operations in Argentina.</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California received above average precipitation during the 2022 - 2023 rainfall season and is experiencing above average precipitation for the 2023 - 2024 rainfall season, after experiencing three years of below average precipitation and drought conditions. The above average precipitation helped to alleviate the drought conditions in California. As of July 31, 2024, the state was free from severe drought conditions and Ventura County was free from any drought conditions. We continue to assess the impact drought conditions may have on our California orchards.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August 2024, the U.S. Bureau of Reclamation announced that Lake Mead will operate in a Tier 1 shortage in 2025, which requires Arizona to forfeit approximately 18% of the state's yearly allotment of water from Lake Mead. In response to this and prior years' water shortages, we entered into fallowing agreements during fiscal years 2023 and 2022 and continue to assess the impact these reductions may have on our Arizona orchards.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December 1, 2023, we announced the commencement of a strategic review process to explore potential alternatives aimed at maximizing stockholder value. Potential strategic alternatives could include, but not be limited to, a sale of all or parts of the Company and its assets, a merger or other transaction. The Board has not set a timetable for completion of the review and no transaction or other outcome is guaranteed to take place. At this time, we cannot predict the impact that such strategic alternatives might have on our business, operations or financial condition.</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December 2023, we sold 12 acres of real property located in Yuma, Arizona for a sales price of $0.8 million. After transaction and closing costs, we recorded a gain on sale of approximately $0.2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April 2024, the Company conducted an organization restructuring which resulted in severance benefits of approximately $1.2 million.</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30, 2024, our real estate development joint venture with The Lewis Group of Companies (“Lewis”) closed an additional 554 residential homesites at the Harvest at Limoneira master planned community in Santa Paula, CA (“Harvest”) and we recorded equity in earnings of investments of $16.6 million in the second quarter of fiscal year 2024. On June 5, 2024, we received a cash distribution of $15.0 million from the joint venture.</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May 7, 2024, we announced that the Santa Paula City Council approved the proposal brought forward by the Company's real estate development joint venture with Lewis to increase the number of entitled lots at Harvest from 1,500 dwelling units to 2,050 dwelling units. The Santa Paula City Council approved an amendment allowing for the 550-unit increase on April 3, 2024. The 550-unit increase will provide 250 additional single family for-sale homesites within Phase 3 of Harvest. Additionally, the Company in partnership with Lewis plans to construct 300 multi-family rental homes on a mixed-use portion of the project.</w:t>
      </w:r>
    </w:p>
    <w:p>
      <w:pPr>
        <w:spacing w:after="0" w:line="87" w:lineRule="exact"/>
        <w:rPr>
          <w:sz w:val="20"/>
          <w:szCs w:val="20"/>
          <w:color w:val="auto"/>
        </w:rPr>
      </w:pPr>
    </w:p>
    <w:p>
      <w:pPr>
        <w:ind w:right="40"/>
        <w:spacing w:after="0" w:line="419" w:lineRule="auto"/>
        <w:rPr>
          <w:sz w:val="20"/>
          <w:szCs w:val="20"/>
          <w:color w:val="auto"/>
        </w:rPr>
      </w:pPr>
      <w:r>
        <w:rPr>
          <w:rFonts w:ascii="Times New Roman" w:cs="Times New Roman" w:eastAsia="Times New Roman" w:hAnsi="Times New Roman"/>
          <w:sz w:val="14"/>
          <w:szCs w:val="14"/>
          <w:color w:val="auto"/>
        </w:rPr>
        <w:t xml:space="preserve">On July 12, 2024, we declared a cash dividend of $0.075 per common share paid on July 19, 2024, in the aggregate amount of approximately $1.4 million to stockholders of record as of July 8, 2024. </w:t>
      </w:r>
      <w:r>
        <w:rPr>
          <w:rFonts w:ascii="Times New Roman" w:cs="Times New Roman" w:eastAsia="Times New Roman" w:hAnsi="Times New Roman"/>
          <w:sz w:val="14"/>
          <w:szCs w:val="14"/>
          <w:b w:val="1"/>
          <w:bCs w:val="1"/>
          <w:color w:val="auto"/>
        </w:rPr>
        <w:t>COVID-19 Pandemic</w:t>
      </w:r>
    </w:p>
    <w:p>
      <w:pPr>
        <w:jc w:val="both"/>
        <w:spacing w:after="0" w:line="287" w:lineRule="auto"/>
        <w:rPr>
          <w:sz w:val="20"/>
          <w:szCs w:val="20"/>
          <w:color w:val="auto"/>
        </w:rPr>
      </w:pPr>
      <w:r>
        <w:rPr>
          <w:rFonts w:ascii="Times New Roman" w:cs="Times New Roman" w:eastAsia="Times New Roman" w:hAnsi="Times New Roman"/>
          <w:sz w:val="14"/>
          <w:szCs w:val="14"/>
          <w:color w:val="auto"/>
        </w:rPr>
        <w:t>The COVID-19 pandemic has had an adverse impact on the industries and markets in which we conduct business. In particular, the export market for fresh produce significantly declined due to the COVID-19 pandemic impacts and continues to experience decreased demand.</w:t>
      </w:r>
    </w:p>
    <w:p>
      <w:pPr>
        <w:spacing w:after="0" w:line="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decline in demand for the Company's products negatively impacted our sales and profitability for the last four fiscal years. The COVID-19 pandemic may continue to impact our sales and profitability in future periods. The duration of these trends and the magnitude of such impacts are uncertain and therefore cannot be estimated at this time, as they are influenced by a number of factors, many of which are outside management’s control, including, but not limited, to those presented in Item 1A. Risk Factors of our Annual Report on Form 10-K for the year ended October 31, 2023.</w:t>
      </w:r>
    </w:p>
    <w:p>
      <w:pPr>
        <w:spacing w:after="0" w:line="2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Given the economic uncertainty as a result of the COVID-19 pandemic over the past four fiscal years, we have taken actions to improve our current liquidity position, including strategically selling certain assets, temporarily postponing capital expenditures and substantially reducing discretionary spending.</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is continued uncertainty around the breadth and duration of our export market business disruptions related to the COVID-19 pandemic. The ongoing impact of the COVID-19 pandemic on our results of operations, financial condition, or liquidity for fiscal year 2024 and beyond cannot be estimated at this time.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86"/>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shows the results of operations (in thousands):</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900" w:type="dxa"/>
            <w:vAlign w:val="bottom"/>
          </w:tcPr>
          <w:p>
            <w:pPr>
              <w:spacing w:after="0"/>
              <w:rPr>
                <w:sz w:val="23"/>
                <w:szCs w:val="23"/>
                <w:color w:val="auto"/>
              </w:rPr>
            </w:pPr>
          </w:p>
        </w:tc>
        <w:tc>
          <w:tcPr>
            <w:tcW w:w="222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0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59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00" w:type="dxa"/>
            <w:vAlign w:val="bottom"/>
            <w:tcBorders>
              <w:bottom w:val="single" w:sz="8" w:color="auto"/>
            </w:tcBorders>
          </w:tcPr>
          <w:p>
            <w:pPr>
              <w:spacing w:after="0"/>
              <w:rPr>
                <w:sz w:val="16"/>
                <w:szCs w:val="16"/>
                <w:color w:val="auto"/>
              </w:rPr>
            </w:pPr>
          </w:p>
        </w:tc>
      </w:tr>
      <w:tr>
        <w:trPr>
          <w:trHeight w:val="171"/>
        </w:trPr>
        <w:tc>
          <w:tcPr>
            <w:tcW w:w="59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0"/>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Agribusiness</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61,849</w:t>
            </w:r>
          </w:p>
        </w:tc>
        <w:tc>
          <w:tcPr>
            <w:tcW w:w="100" w:type="dxa"/>
            <w:vAlign w:val="bottom"/>
          </w:tcPr>
          <w:p>
            <w:pPr>
              <w:spacing w:after="0"/>
              <w:rPr>
                <w:sz w:val="15"/>
                <w:szCs w:val="15"/>
                <w:color w:val="auto"/>
              </w:rPr>
            </w:pP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51,092</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143,445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134,296</w:t>
            </w:r>
          </w:p>
        </w:tc>
      </w:tr>
      <w:tr>
        <w:trPr>
          <w:trHeight w:val="18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operations</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w:t>
            </w:r>
          </w:p>
        </w:tc>
      </w:tr>
      <w:tr>
        <w:trPr>
          <w:trHeight w:val="17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63,305</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138,468</w:t>
            </w:r>
          </w:p>
        </w:tc>
      </w:tr>
      <w:tr>
        <w:trPr>
          <w:trHeight w:val="18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Agribusiness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45,437</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126,275</w:t>
            </w:r>
          </w:p>
        </w:tc>
      </w:tr>
      <w:tr>
        <w:trPr>
          <w:trHeight w:val="18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operations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w:t>
            </w:r>
          </w:p>
        </w:tc>
      </w:tr>
      <w:tr>
        <w:trPr>
          <w:trHeight w:val="180"/>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intangible asset</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loss on disposal of assets, net</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(29,199)</w:t>
            </w:r>
          </w:p>
        </w:tc>
      </w:tr>
      <w:tr>
        <w:trPr>
          <w:trHeight w:val="180"/>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legal settlement</w:t>
            </w:r>
          </w:p>
        </w:tc>
        <w:tc>
          <w:tcPr>
            <w:tcW w:w="8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r>
      <w:tr>
        <w:trPr>
          <w:trHeight w:val="18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19,907</w:t>
            </w:r>
          </w:p>
        </w:tc>
      </w:tr>
      <w:tr>
        <w:trPr>
          <w:trHeight w:val="17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54,312</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117,995</w:t>
            </w:r>
          </w:p>
        </w:tc>
      </w:tr>
      <w:tr>
        <w:trPr>
          <w:trHeight w:val="18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Agribusiness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16,412</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8,021</w:t>
            </w:r>
          </w:p>
        </w:tc>
      </w:tr>
      <w:tr>
        <w:trPr>
          <w:trHeight w:val="18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operations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180"/>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intangible asset</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(loss) on disposal of assets, net</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29,199</w:t>
            </w:r>
          </w:p>
        </w:tc>
      </w:tr>
      <w:tr>
        <w:trPr>
          <w:trHeight w:val="180"/>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legal settlement</w:t>
            </w:r>
          </w:p>
        </w:tc>
        <w:tc>
          <w:tcPr>
            <w:tcW w:w="8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r>
      <w:tr>
        <w:trPr>
          <w:trHeight w:val="18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(19,907)</w:t>
            </w:r>
          </w:p>
        </w:tc>
      </w:tr>
      <w:tr>
        <w:trPr>
          <w:trHeight w:val="17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20,473</w:t>
            </w:r>
          </w:p>
        </w:tc>
      </w:tr>
      <w:tr>
        <w:trPr>
          <w:trHeight w:val="18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8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net of patronage dividends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80"/>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in earnings of investments, net</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r>
      <w:tr>
        <w:trPr>
          <w:trHeight w:val="18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r>
      <w:tr>
        <w:trPr>
          <w:trHeight w:val="171"/>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16,572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w:t>
            </w:r>
          </w:p>
        </w:tc>
      </w:tr>
      <w:tr>
        <w:trPr>
          <w:trHeight w:val="17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 (provision) benefit</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18,191</w:t>
            </w:r>
          </w:p>
        </w:tc>
      </w:tr>
      <w:tr>
        <w:trPr>
          <w:trHeight w:val="18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(3,019)</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(5,537)</w:t>
            </w:r>
          </w:p>
        </w:tc>
      </w:tr>
      <w:tr>
        <w:trPr>
          <w:trHeight w:val="17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12,654</w:t>
            </w:r>
          </w:p>
        </w:tc>
      </w:tr>
      <w:tr>
        <w:trPr>
          <w:trHeight w:val="18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96"/>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Limoneira Company</w:t>
            </w: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pension settlement cost, impairment of intangible asset, (gain) loss on disposal of assets, net, cash bonus related to sale of assets, gain on legal settlement and severance benefits are important measures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1" w:name="page32"/>
    <w:bookmarkEnd w:id="31"/>
    <w:p>
      <w:pPr>
        <w:jc w:val="both"/>
        <w:spacing w:after="0" w:line="287" w:lineRule="auto"/>
        <w:rPr>
          <w:sz w:val="20"/>
          <w:szCs w:val="20"/>
          <w:color w:val="auto"/>
        </w:rPr>
      </w:pPr>
      <w:r>
        <w:rPr>
          <w:rFonts w:ascii="Times New Roman" w:cs="Times New Roman" w:eastAsia="Times New Roman" w:hAnsi="Times New Roman"/>
          <w:sz w:val="14"/>
          <w:szCs w:val="14"/>
          <w:color w:val="auto"/>
        </w:rPr>
        <w:t>EBITDA and adjusted EBITDA are summarized and reconciled to net income (loss) attributable to Limoneira Company which management considers to be the most directly comparable financial measure calculated and presented in accordance with GAAP,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24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r>
      <w:tr>
        <w:trPr>
          <w:trHeight w:val="188"/>
        </w:trPr>
        <w:tc>
          <w:tcPr>
            <w:tcW w:w="57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00" w:type="dxa"/>
            <w:vAlign w:val="bottom"/>
            <w:tcBorders>
              <w:bottom w:val="single" w:sz="8" w:color="auto"/>
            </w:tcBorders>
          </w:tcPr>
          <w:p>
            <w:pPr>
              <w:spacing w:after="0"/>
              <w:rPr>
                <w:sz w:val="16"/>
                <w:szCs w:val="16"/>
                <w:color w:val="auto"/>
              </w:rPr>
            </w:pPr>
          </w:p>
        </w:tc>
      </w:tr>
      <w:tr>
        <w:trPr>
          <w:trHeight w:val="173"/>
        </w:trPr>
        <w:tc>
          <w:tcPr>
            <w:tcW w:w="57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Limoneira Company</w:t>
            </w: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9,575</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12,855</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 of patronage dividends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5,537</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6,273</w:t>
            </w: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w:t>
            </w:r>
          </w:p>
        </w:tc>
      </w:tr>
      <w:tr>
        <w:trPr>
          <w:trHeight w:val="17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11,973</w:t>
            </w:r>
          </w:p>
        </w:tc>
        <w:tc>
          <w:tcPr>
            <w:tcW w:w="80" w:type="dxa"/>
            <w:vAlign w:val="bottom"/>
          </w:tcPr>
          <w:p>
            <w:pPr>
              <w:spacing w:after="0"/>
              <w:rPr>
                <w:sz w:val="14"/>
                <w:szCs w:val="14"/>
                <w:color w:val="auto"/>
              </w:rPr>
            </w:pP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Pr>
          <w:p>
            <w:pPr>
              <w:spacing w:after="0"/>
              <w:rPr>
                <w:sz w:val="14"/>
                <w:szCs w:val="14"/>
                <w:color w:val="auto"/>
              </w:rPr>
            </w:pP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20,667</w:t>
            </w:r>
          </w:p>
        </w:tc>
        <w:tc>
          <w:tcPr>
            <w:tcW w:w="80" w:type="dxa"/>
            <w:vAlign w:val="bottom"/>
          </w:tcPr>
          <w:p>
            <w:pPr>
              <w:spacing w:after="0"/>
              <w:rPr>
                <w:sz w:val="14"/>
                <w:szCs w:val="14"/>
                <w:color w:val="auto"/>
              </w:rPr>
            </w:pPr>
          </w:p>
        </w:tc>
        <w:tc>
          <w:tcPr>
            <w:tcW w:w="8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25,071</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settlement cost</w:t>
            </w:r>
          </w:p>
        </w:tc>
        <w:tc>
          <w:tcPr>
            <w:tcW w:w="8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intangible asset</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disposal of assets, net</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(29,199)</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bonus related to sale of assets</w:t>
            </w:r>
          </w:p>
        </w:tc>
        <w:tc>
          <w:tcPr>
            <w:tcW w:w="8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legal settlement</w:t>
            </w:r>
          </w:p>
        </w:tc>
        <w:tc>
          <w:tcPr>
            <w:tcW w:w="8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benefits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25,518</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w:t>
            </w:r>
          </w:p>
        </w:tc>
      </w:tr>
      <w:tr>
        <w:trPr>
          <w:trHeight w:val="20"/>
        </w:trPr>
        <w:tc>
          <w:tcPr>
            <w:tcW w:w="5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 July 31, 2024 Compared to the Three Months Ended July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Total net revenues for the three months ended July 31, 2024 were $63.3 million, compared to $52.5 million for the three months ended July 31, 2023. The 21% increase of $10.8 million was primarily due to increased agribusiness revenues from avocados and lemons. This was partially offset by decreased agribusiness revenues from specialty citrus and other crops and farm management, as detailed below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26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1"/>
        </w:trPr>
        <w:tc>
          <w:tcPr>
            <w:tcW w:w="592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4"/>
                <w:szCs w:val="14"/>
                <w:color w:val="auto"/>
              </w:rPr>
            </w:pPr>
          </w:p>
        </w:tc>
      </w:tr>
      <w:tr>
        <w:trPr>
          <w:trHeight w:val="17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Lemons</w:t>
            </w: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41,946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3,735</w:t>
            </w:r>
          </w:p>
        </w:tc>
        <w:tc>
          <w:tcPr>
            <w:tcW w:w="98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Avocados</w:t>
            </w: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13,897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10,435</w:t>
            </w:r>
          </w:p>
        </w:tc>
        <w:tc>
          <w:tcPr>
            <w:tcW w:w="9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301%</w:t>
            </w:r>
          </w:p>
        </w:tc>
      </w:tr>
      <w:tr>
        <w:trPr>
          <w:trHeight w:val="18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Oranges</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(130)</w:t>
            </w:r>
          </w:p>
        </w:tc>
        <w:tc>
          <w:tcPr>
            <w:tcW w:w="98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w w:val="97"/>
              </w:rPr>
              <w:t>(10)%</w:t>
            </w:r>
          </w:p>
        </w:tc>
      </w:tr>
      <w:tr>
        <w:trPr>
          <w:trHeight w:val="18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Specialty citrus and other crops</w:t>
            </w: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(1,350)</w:t>
            </w:r>
          </w:p>
        </w:tc>
        <w:tc>
          <w:tcPr>
            <w:tcW w:w="9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7"/>
              </w:rPr>
              <w:t>(71)%</w:t>
            </w:r>
          </w:p>
        </w:tc>
      </w:tr>
      <w:tr>
        <w:trPr>
          <w:trHeight w:val="18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 management</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(2,181)</w:t>
            </w:r>
          </w:p>
        </w:tc>
        <w:tc>
          <w:tcPr>
            <w:tcW w:w="98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w w:val="97"/>
              </w:rPr>
              <w:t>(41)%</w:t>
            </w:r>
          </w:p>
        </w:tc>
      </w:tr>
      <w:tr>
        <w:trPr>
          <w:trHeight w:val="18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248</w:t>
            </w:r>
          </w:p>
        </w:tc>
        <w:tc>
          <w:tcPr>
            <w:tcW w:w="98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color w:val="auto"/>
              </w:rPr>
              <w:t>29%</w:t>
            </w:r>
          </w:p>
        </w:tc>
      </w:tr>
      <w:tr>
        <w:trPr>
          <w:trHeight w:val="196"/>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Agribusiness revenues</w:t>
            </w: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61,849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51,092</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10,757</w:t>
            </w:r>
          </w:p>
        </w:tc>
        <w:tc>
          <w:tcPr>
            <w:tcW w:w="980" w:type="dxa"/>
            <w:vAlign w:val="bottom"/>
            <w:tcBorders>
              <w:bottom w:val="single" w:sz="8" w:color="auto"/>
            </w:tcBorders>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21%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left="260" w:hanging="255"/>
        <w:spacing w:after="0" w:line="264"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Lemons: The increase in the third quarter of fiscal year 2024, compared to the same period of fiscal year 2023, was primarily due to increased volume and higher prices of fresh lemons sold. During the third quarter of fiscal years 2024 and 2023, fresh packed lemon sales were $25.8 million and $24.2 million, in aggregate, on 1,400,000 and 1,352,000 cartons of lemons sold at average per carton prices of $18.43 and $17.92, respectively. Lemon revenues in the third quarter of fiscal years 2024 and 2023 included brokered lemons and other lemon sales of $9.8 million and $8.0 million, lemon packing of $5.2 million and $5.5 million and lemon by-product sales of $1.2 million and $0.6 million, respectively.</w:t>
      </w:r>
    </w:p>
    <w:p>
      <w:pPr>
        <w:spacing w:after="0" w:line="34" w:lineRule="exact"/>
        <w:rPr>
          <w:rFonts w:ascii="Times New Roman" w:cs="Times New Roman" w:eastAsia="Times New Roman" w:hAnsi="Times New Roman"/>
          <w:sz w:val="14"/>
          <w:szCs w:val="14"/>
          <w:color w:val="auto"/>
        </w:rPr>
      </w:pPr>
    </w:p>
    <w:p>
      <w:pPr>
        <w:jc w:val="both"/>
        <w:ind w:left="260" w:hanging="255"/>
        <w:spacing w:after="0" w:line="270"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Avocados: The increase in the third quarter of fiscal year 2024, compared to the same period of fiscal year 2023, was primarily due to increased volume and higher prices of avocados sold. The California avocado crop typically experiences alternating years of high and low production due to plant physiology. During the third quarter of fiscal years 2024 and 2023, we sold 8,855,000 and 2,822,000 pounds of avocados at an average per pound price of $1.57 and $0.99, respectively.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2" w:name="page33"/>
    <w:bookmarkEnd w:id="32"/>
    <w:p>
      <w:pPr>
        <w:ind w:left="26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Oranges: The decrease in the third quarter of fiscal year 2024, compared to the same period of fiscal year 2023, was primarily due to decreased volume, partially offset by higher prices of oranges sold. During the third quarter of fiscal years 2024 and 2023, we sold 43,000 and 71,000 cartons of oranges at an average per carton price of $26.98 and $18.17, respectively.</w:t>
      </w:r>
    </w:p>
    <w:p>
      <w:pPr>
        <w:spacing w:after="0" w:line="7" w:lineRule="exact"/>
        <w:rPr>
          <w:rFonts w:ascii="Times New Roman" w:cs="Times New Roman" w:eastAsia="Times New Roman" w:hAnsi="Times New Roman"/>
          <w:sz w:val="14"/>
          <w:szCs w:val="14"/>
          <w:color w:val="auto"/>
        </w:rPr>
      </w:pPr>
    </w:p>
    <w:p>
      <w:pPr>
        <w:jc w:val="both"/>
        <w:ind w:left="260" w:hanging="255"/>
        <w:spacing w:after="0" w:line="270"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Specialty citrus and other crops: The decrease in the third quarter of fiscal year 2024, compared to the same period of fiscal year 2023, was primarily due to decreased volume and lower prices of specialty citrus sold. During the third quarter of fiscal years 2024 and 2023, we sold 25,000 and 70,000 40-pound carton equivalents of specialty citrus at an average per carton price of $22.00 and $25.88, respectively.</w:t>
      </w:r>
    </w:p>
    <w:p>
      <w:pPr>
        <w:spacing w:after="0" w:line="29"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Farm management: Farm management revenue is comprised primarily of Northern Properties farming, management and operations services. The decrease in farm management revenues in the third quarter of fiscal year 2024, compared to the same period of fiscal year 2023, was primarily due to farm management decisions based on weather and crop conditions.</w:t>
      </w:r>
    </w:p>
    <w:p>
      <w:pPr>
        <w:spacing w:after="0" w:line="60" w:lineRule="exact"/>
        <w:rPr>
          <w:rFonts w:ascii="Times New Roman" w:cs="Times New Roman" w:eastAsia="Times New Roman" w:hAnsi="Times New Roman"/>
          <w:sz w:val="14"/>
          <w:szCs w:val="14"/>
          <w:i w:val="1"/>
          <w:iCs w:val="1"/>
          <w:color w:val="auto"/>
        </w:rPr>
      </w:pPr>
    </w:p>
    <w:p>
      <w:pPr>
        <w:ind w:left="260" w:hanging="255"/>
        <w:spacing w:after="0" w:line="287" w:lineRule="auto"/>
        <w:tabs>
          <w:tab w:leader="none" w:pos="256"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Other: Other revenue is comprised primarily of fallowing and freight revenue. The increase in other revenue in the third quarter of fiscal year 2024, compared to the same period of fiscal year 2023, was primarily due to fallowing revenue.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operations revenue in the third quarters of fiscal years 2024 and 2023 were $1.5 million and $1.4 million,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Total costs and expenses in the third quarter of fiscal year 2024 were $54.3 million, compared to $54.0 million in the same period of fiscal year 2023. The increase of $0.3 million was primarily due to an increase in selling, general and administrative expenses and the 2024 impairment of intangible asset, partially offset by the decrease in loss on disposal of assets and a decrease in agribusiness costs and expenses. Agribusiness costs and expenses are detailed below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26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1"/>
        </w:trPr>
        <w:tc>
          <w:tcPr>
            <w:tcW w:w="590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4"/>
                <w:szCs w:val="14"/>
                <w:color w:val="auto"/>
              </w:rPr>
            </w:pPr>
          </w:p>
        </w:tc>
      </w:tr>
      <w:tr>
        <w:trPr>
          <w:trHeight w:val="17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Packing costs</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11,144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(1,996)</w:t>
            </w:r>
          </w:p>
        </w:tc>
        <w:tc>
          <w:tcPr>
            <w:tcW w:w="980" w:type="dxa"/>
            <w:vAlign w:val="bottom"/>
            <w:shd w:val="clear" w:color="auto" w:fill="CCEEFF"/>
          </w:tcPr>
          <w:p>
            <w:pPr>
              <w:jc w:val="center"/>
              <w:ind w:right="309"/>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Harvest costs</w:t>
            </w: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(1,859)</w:t>
            </w:r>
          </w:p>
        </w:tc>
        <w:tc>
          <w:tcPr>
            <w:tcW w:w="98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Growing costs</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(2,916)</w:t>
            </w:r>
          </w:p>
        </w:tc>
        <w:tc>
          <w:tcPr>
            <w:tcW w:w="980" w:type="dxa"/>
            <w:vAlign w:val="bottom"/>
            <w:shd w:val="clear" w:color="auto" w:fill="CCEEFF"/>
          </w:tcPr>
          <w:p>
            <w:pPr>
              <w:jc w:val="center"/>
              <w:ind w:right="309"/>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grower and supplier costs</w:t>
            </w: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19,860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5,285</w:t>
            </w:r>
          </w:p>
        </w:tc>
        <w:tc>
          <w:tcPr>
            <w:tcW w:w="98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costs</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14</w:t>
            </w:r>
          </w:p>
        </w:tc>
        <w:tc>
          <w:tcPr>
            <w:tcW w:w="980" w:type="dxa"/>
            <w:vAlign w:val="bottom"/>
            <w:shd w:val="clear" w:color="auto" w:fill="CCEEFF"/>
          </w:tcPr>
          <w:p>
            <w:pPr>
              <w:jc w:val="center"/>
              <w:ind w:right="309"/>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64</w:t>
            </w:r>
          </w:p>
        </w:tc>
        <w:tc>
          <w:tcPr>
            <w:tcW w:w="980" w:type="dxa"/>
            <w:vAlign w:val="bottom"/>
            <w:tcBorders>
              <w:bottom w:val="single" w:sz="8" w:color="auto"/>
            </w:tcBorders>
          </w:tcPr>
          <w:p>
            <w:pPr>
              <w:jc w:val="center"/>
              <w:ind w:right="309"/>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Agribusiness costs and expenses</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45,437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(1,408)</w:t>
            </w:r>
          </w:p>
        </w:tc>
        <w:tc>
          <w:tcPr>
            <w:tcW w:w="980" w:type="dxa"/>
            <w:vAlign w:val="bottom"/>
            <w:tcBorders>
              <w:bottom w:val="single" w:sz="8" w:color="auto"/>
            </w:tcBorders>
            <w:shd w:val="clear" w:color="auto" w:fill="CCEEFF"/>
          </w:tcPr>
          <w:p>
            <w:pPr>
              <w:jc w:val="center"/>
              <w:ind w:right="309"/>
              <w:spacing w:after="0"/>
              <w:rPr>
                <w:sz w:val="20"/>
                <w:szCs w:val="20"/>
                <w:color w:val="auto"/>
              </w:rPr>
            </w:pPr>
            <w:r>
              <w:rPr>
                <w:rFonts w:ascii="Times New Roman" w:cs="Times New Roman" w:eastAsia="Times New Roman" w:hAnsi="Times New Roman"/>
                <w:sz w:val="14"/>
                <w:szCs w:val="14"/>
                <w:color w:val="auto"/>
                <w:w w:val="99"/>
              </w:rPr>
              <w:t>(3)%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left="260" w:hanging="255"/>
        <w:spacing w:after="0" w:line="270"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Packing costs: Packing costs consist primarily of the costs to pack lemons for sale such as labor and benefits, cardboard cartons, fruit treatments, packing and shipping supplies, subcontracted costs and facility operating costs. During the third quarter of fiscal years 2024 and 2023, we packed and sold 1,400,000 and 1,352,000 cartons of lemons at average per carton costs of $7.96 and $9.72, respectively. The decrease in per carton packing costs was primarily due to higher volume and decreased costs for labor and benefits and facility operating costs.</w:t>
      </w:r>
    </w:p>
    <w:p>
      <w:pPr>
        <w:spacing w:after="0" w:line="29"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Harvest costs: The decrease in the third quarter of fiscal year 2024, compared to the same period of fiscal year 2023, was primarily due to decreased volume of lemons harvested, partially offset by increased volume of avocados harvested.</w:t>
      </w:r>
    </w:p>
    <w:p>
      <w:pPr>
        <w:spacing w:after="0" w:line="7" w:lineRule="exact"/>
        <w:rPr>
          <w:rFonts w:ascii="Times New Roman" w:cs="Times New Roman" w:eastAsia="Times New Roman" w:hAnsi="Times New Roman"/>
          <w:sz w:val="14"/>
          <w:szCs w:val="14"/>
          <w:i w:val="1"/>
          <w:iCs w:val="1"/>
          <w:color w:val="auto"/>
        </w:rPr>
      </w:pPr>
    </w:p>
    <w:p>
      <w:pPr>
        <w:jc w:val="both"/>
        <w:ind w:left="260" w:hanging="255"/>
        <w:spacing w:after="0" w:line="270" w:lineRule="auto"/>
        <w:tabs>
          <w:tab w:leader="none" w:pos="256"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Growing costs: Growing costs, also referred to as cultural costs, consist of orchard maintenance costs such as cultivation, fertilization and soil amendments, pest control, pruning and irrigation. The decrease in the third quarter of fiscal year 2024, compared to the same period in fiscal year 2023, was primarily due to farm management decisions based on weather, harvest timing and crop conditions.</w:t>
      </w:r>
    </w:p>
    <w:p>
      <w:pPr>
        <w:spacing w:after="0" w:line="18" w:lineRule="exact"/>
        <w:rPr>
          <w:rFonts w:ascii="Times New Roman" w:cs="Times New Roman" w:eastAsia="Times New Roman" w:hAnsi="Times New Roman"/>
          <w:sz w:val="14"/>
          <w:szCs w:val="14"/>
          <w:i w:val="1"/>
          <w:iCs w:val="1"/>
          <w:color w:val="auto"/>
        </w:rPr>
      </w:pPr>
    </w:p>
    <w:p>
      <w:pPr>
        <w:jc w:val="both"/>
        <w:ind w:left="260" w:hanging="255"/>
        <w:spacing w:after="0" w:line="259" w:lineRule="auto"/>
        <w:tabs>
          <w:tab w:leader="none" w:pos="256"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Third-party grower and supplier costs: We sell fruit that we grow and fruit that we procure from other growers and suppliers. The cost of procuring fruit from other growers and suppliers is referred to as third-party grower and supplier costs. The increase in the third quarter of fiscal year 2024, compared to the same period of fiscal year 2023, was primarily due to increased volume and higher prices of third-party grower fruit. In the third quarter of fiscal years 2024 and 2023, we incurred costs for third-party grower fruit of $10.5 million and $6.4 million, respectively. Of the 1,400,000 and 1,352,000 cartons of lemons packed and sold during the third quarter of fiscal years 2024 and 2023, 869,000 (62%) and 594,000 (44%), were procured from third-party growers at average per carton prices of $12.06 and $10.78, respectively. Additionally, in the third quarter of fiscal years 2024 and 2023, we incurred $9.4 million and $8.2 million, respectively, of costs for purchased, packed fruit for resale.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3" w:name="page34"/>
    <w:bookmarkEnd w:id="33"/>
    <w:p>
      <w:pPr>
        <w:ind w:left="260" w:hanging="255"/>
        <w:spacing w:after="0"/>
        <w:tabs>
          <w:tab w:leader="none" w:pos="26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Other costs: Other costs in the third quarter of fiscal year 2024 were similar to the same period of fiscal year 2023.</w:t>
      </w:r>
    </w:p>
    <w:p>
      <w:pPr>
        <w:spacing w:after="0" w:line="61" w:lineRule="exact"/>
        <w:rPr>
          <w:rFonts w:ascii="Times New Roman" w:cs="Times New Roman" w:eastAsia="Times New Roman" w:hAnsi="Times New Roman"/>
          <w:sz w:val="14"/>
          <w:szCs w:val="14"/>
          <w:i w:val="1"/>
          <w:iCs w:val="1"/>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Depreciation and amortization: Depreciation and amortization expense in the third quarter of fiscal year 2024 was similar to the same period of fiscal year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operations expenses were $1.3 million and $1.0 million in the third quarter of fiscal years 2024 and 2023, respectively.</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(Gain) loss on disposal of assets, net was immaterial and $1.5 million in the third quarter of fiscal years 2024 and 2023, respectively. The fiscal year 2023 loss on disposal of assets, net was primarily due to orchard disposals.</w:t>
      </w:r>
    </w:p>
    <w:p>
      <w:pPr>
        <w:spacing w:after="0" w:line="6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costs and expenses were $7.0 million and $4.6 million in the third quarter of fiscal years 2024 and 2023, respectively. The 51% increase of $2.4 million was primarily due to:</w:t>
      </w:r>
    </w:p>
    <w:p>
      <w:pPr>
        <w:spacing w:after="0" w:line="71" w:lineRule="exact"/>
        <w:rPr>
          <w:sz w:val="20"/>
          <w:szCs w:val="20"/>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 million net increase in salaries, benefits and incentive compensation;</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$0.9 million net increase in selling expenses;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$0.2 million net decrease in other selling, general and administrative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other income (expense) was $0.2 million and $(0.1) million in the third quarter of fiscal years 2024 and 2023, respectively. The increase of $0.3 million in total other income was primarily due to increased equity earnings related to LLCB.</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recorded an estimated income tax (provision) benefit of $(3.0) million and $0.4 million in the third quarter of fiscal years 2024 and 2023 on pre-tax income (loss) of $9.2 million and $(1.6) million, respectively. The tax provision recorded for the third quarter of fiscal year 2024 differs from the U.S. federal statutory tax rate of 21.0% due primarily to foreign jurisdictions that are taxed at different rates, state taxes, tax impact of stock-based compensation, executive compensation, nondeductible tax items and valuation allowances on certain deferred tax assets of foreign subsidiaries. Our projected annual effective blended tax rate for fiscal year 2024, excluding discrete items, is approximately 33.0%.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 represents 10% and 49% of PDA and Trapani Fresh, respectively, of the net loss in the third quarter of fiscal years 2024 and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July 31, 2024 Compared to the Nine Months Ended July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net revenues for the nine months ended July 31, 2024 were $147.6 million, compared to $138.5 million for the nine months ended July 31, 2023. The 7% increase of $9.1 million was primarily due to increased agribusiness revenues from avocados and lemons, partially offset by decreased agribusiness revenues from specialty citrus and other crops, as detailed below ($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Lemons</w:t>
            </w:r>
          </w:p>
        </w:tc>
        <w:tc>
          <w:tcPr>
            <w:tcW w:w="25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1,182</w:t>
            </w:r>
          </w:p>
        </w:tc>
        <w:tc>
          <w:tcPr>
            <w:tcW w:w="960" w:type="dxa"/>
            <w:vAlign w:val="bottom"/>
            <w:shd w:val="clear" w:color="auto" w:fill="CCEEFF"/>
          </w:tcPr>
          <w:p>
            <w:pPr>
              <w:jc w:val="center"/>
              <w:ind w:right="269"/>
              <w:spacing w:after="0"/>
              <w:rPr>
                <w:sz w:val="20"/>
                <w:szCs w:val="20"/>
                <w:color w:val="auto"/>
              </w:rPr>
            </w:pPr>
            <w:r>
              <w:rPr>
                <w:rFonts w:ascii="Times New Roman" w:cs="Times New Roman" w:eastAsia="Times New Roman" w:hAnsi="Times New Roman"/>
                <w:sz w:val="14"/>
                <w:szCs w:val="14"/>
                <w:color w:val="auto"/>
                <w:w w:val="96"/>
              </w:rPr>
              <w:t>1%</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Avocados</w:t>
            </w:r>
          </w:p>
        </w:tc>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9,180</w:t>
            </w:r>
          </w:p>
        </w:tc>
        <w:tc>
          <w:tcPr>
            <w:tcW w:w="9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Oranges</w:t>
            </w:r>
          </w:p>
        </w:tc>
        <w:tc>
          <w:tcPr>
            <w:tcW w:w="2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(364)</w:t>
            </w:r>
          </w:p>
        </w:tc>
        <w:tc>
          <w:tcPr>
            <w:tcW w:w="96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Specialty citrus and other crops</w:t>
            </w:r>
          </w:p>
        </w:tc>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(1,688)</w:t>
            </w:r>
          </w:p>
        </w:tc>
        <w:tc>
          <w:tcPr>
            <w:tcW w:w="96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 management</w:t>
            </w:r>
          </w:p>
        </w:tc>
        <w:tc>
          <w:tcPr>
            <w:tcW w:w="2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509</w:t>
            </w:r>
          </w:p>
        </w:tc>
        <w:tc>
          <w:tcPr>
            <w:tcW w:w="960" w:type="dxa"/>
            <w:vAlign w:val="bottom"/>
            <w:shd w:val="clear" w:color="auto" w:fill="CCEEFF"/>
          </w:tcPr>
          <w:p>
            <w:pPr>
              <w:jc w:val="center"/>
              <w:ind w:right="269"/>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7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330</w:t>
            </w:r>
          </w:p>
        </w:tc>
        <w:tc>
          <w:tcPr>
            <w:tcW w:w="9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Agribusiness revenues</w:t>
            </w:r>
          </w:p>
        </w:tc>
        <w:tc>
          <w:tcPr>
            <w:tcW w:w="25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9,149</w:t>
            </w:r>
          </w:p>
        </w:tc>
        <w:tc>
          <w:tcPr>
            <w:tcW w:w="960" w:type="dxa"/>
            <w:vAlign w:val="bottom"/>
            <w:tcBorders>
              <w:top w:val="single" w:sz="8" w:color="auto"/>
              <w:bottom w:val="single" w:sz="8" w:color="auto"/>
            </w:tcBorders>
            <w:shd w:val="clear" w:color="auto" w:fill="CCEEFF"/>
          </w:tcPr>
          <w:p>
            <w:pPr>
              <w:jc w:val="center"/>
              <w:ind w:right="269"/>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429"/>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6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8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4" w:name="page35"/>
    <w:bookmarkEnd w:id="34"/>
    <w:p>
      <w:pPr>
        <w:jc w:val="both"/>
        <w:ind w:left="260" w:hanging="255"/>
        <w:spacing w:after="0" w:line="261"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Lemons: The increase in the first nine months of fiscal year 2024, compared to the same period of fiscal year 2023, was primarily due to higher prices, partially offset by decreased volume of fresh lemons sold. During the first nine months of fiscal years 2024 and 2023, fresh packed lemon sales were $75.6 million and $75.6 million, in aggregate, on 3,983,000 and 4,206,000 cartons of lemons sold at average per carton prices of $18.98 and $17.96, respectively. Lemon revenues in the first nine months of fiscal years 2024 and 2023 included brokered lemons and other lemon sales of $16.5 million and $11.9 million, lemon packing of $15.8 million and $17.5 million, and lemon by-product sales of $2.9 million and $3.1 million, respectively, and included legal settlement proceeds of $1.4 million allocated to lemons in fiscal year 2023.</w:t>
      </w:r>
    </w:p>
    <w:p>
      <w:pPr>
        <w:spacing w:after="0" w:line="26" w:lineRule="exact"/>
        <w:rPr>
          <w:rFonts w:ascii="Times New Roman" w:cs="Times New Roman" w:eastAsia="Times New Roman" w:hAnsi="Times New Roman"/>
          <w:sz w:val="14"/>
          <w:szCs w:val="14"/>
          <w:color w:val="auto"/>
        </w:rPr>
      </w:pPr>
    </w:p>
    <w:p>
      <w:pPr>
        <w:jc w:val="both"/>
        <w:ind w:left="260" w:hanging="255"/>
        <w:spacing w:after="0" w:line="264"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Avocados: The increase in the first nine months of fiscal year 2024, compared to the same period in fiscal year 2023, was primarily due to increased volume and higher prices of avocados sold. The California avocado crop typically experiences alternating years of high and low production due to plant physiology. During the first nine months of fiscal years 2024 and 2023, we sold 10,450,000 and 3,763,000 pounds of avocados at an average per pound price of $1.55 and $1.06, respectively. In addition, avocado revenues in fiscal year 2023 included legal settlement proceeds of $2.4 million allocated to avocados and crop insurance proceeds of $0.7 million.</w:t>
      </w:r>
    </w:p>
    <w:p>
      <w:pPr>
        <w:spacing w:after="0" w:line="34"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Oranges: The decrease in the first nine months of fiscal year 2024, compared to the same period of fiscal year 2023, was primarily due to decreased volume, partially offset by higher prices of oranges sold. During the first nine months of fiscal years 2024 and 2023, we sold 189,000 and 223,000 cartons of oranges at an average per carton price of $18.31 and $17.15, respectively.</w:t>
      </w:r>
    </w:p>
    <w:p>
      <w:pPr>
        <w:spacing w:after="0" w:line="7" w:lineRule="exact"/>
        <w:rPr>
          <w:rFonts w:ascii="Times New Roman" w:cs="Times New Roman" w:eastAsia="Times New Roman" w:hAnsi="Times New Roman"/>
          <w:sz w:val="14"/>
          <w:szCs w:val="14"/>
          <w:color w:val="auto"/>
        </w:rPr>
      </w:pPr>
    </w:p>
    <w:p>
      <w:pPr>
        <w:jc w:val="both"/>
        <w:ind w:left="260" w:hanging="255"/>
        <w:spacing w:after="0" w:line="270"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Specialty citrus and other crops: The decrease in the first nine months of fiscal year 2024, compared to the same period of fiscal year 2023, was primarily due to decreased volume, partially offset by higher prices of specialty citrus sold. During the first nine months of fiscal years 2024 and 2023, we sold 71,000 and 165,000 40-pound carton equivalents of specialty citrus at an average per carton price of $26.61 and $24.70, respectively.</w:t>
      </w:r>
    </w:p>
    <w:p>
      <w:pPr>
        <w:spacing w:after="0" w:line="18"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Farm management: Farm management revenue is comprised primarily of Northern Properties farming, management and operations services. The increase in farm management revenues in the first nine months of fiscal year 2024, compared to the same period of fiscal year 2023, was primarily due to farm management decisions based on weather and crop conditions.</w:t>
      </w:r>
    </w:p>
    <w:p>
      <w:pPr>
        <w:spacing w:after="0" w:line="18" w:lineRule="exact"/>
        <w:rPr>
          <w:rFonts w:ascii="Times New Roman" w:cs="Times New Roman" w:eastAsia="Times New Roman" w:hAnsi="Times New Roman"/>
          <w:sz w:val="14"/>
          <w:szCs w:val="14"/>
          <w:i w:val="1"/>
          <w:iCs w:val="1"/>
          <w:color w:val="auto"/>
        </w:rPr>
      </w:pPr>
    </w:p>
    <w:p>
      <w:pPr>
        <w:ind w:left="260" w:hanging="255"/>
        <w:spacing w:after="0" w:line="287" w:lineRule="auto"/>
        <w:tabs>
          <w:tab w:leader="none" w:pos="256"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Other: Other revenue is comprised primarily of fallowing and freight revenue. The increase in other revenue in the first nine months of fiscal year 2024, compared to the same period of fiscal year 2023, was primarily due to fallowing revenue.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operations revenue in both the first nine months of fiscal years 2024 and 2023 was $4.2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Total costs and expenses in the first nine months of fiscal year 2024 were $151.1 million, compared to $118.0 million in the same period of fiscal year 2023. The 28% increase of $33.1 million was primarily due to the 2023 net gain on disposal of assets, the 2023 gain on legal settlement and an increase in selling, general and administrative expenses, partially offset by a decrease in agribusiness costs and expenses. Agribusiness costs and expenses are detailed below ($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1"/>
        </w:trPr>
        <w:tc>
          <w:tcPr>
            <w:tcW w:w="6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14"/>
                <w:szCs w:val="14"/>
                <w:color w:val="auto"/>
              </w:rPr>
            </w:pPr>
          </w:p>
        </w:tc>
      </w:tr>
      <w:tr>
        <w:trPr>
          <w:trHeight w:val="17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Packing costs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(1,118)</w:t>
            </w:r>
          </w:p>
        </w:tc>
        <w:tc>
          <w:tcPr>
            <w:tcW w:w="96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w w:val="99"/>
              </w:rPr>
              <w:t>(3)%</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Harvest costs</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(7,433)</w:t>
            </w:r>
          </w:p>
        </w:tc>
        <w:tc>
          <w:tcPr>
            <w:tcW w:w="96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Growing costs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(4,882)</w:t>
            </w:r>
          </w:p>
        </w:tc>
        <w:tc>
          <w:tcPr>
            <w:tcW w:w="96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grower and supplier costs</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12,569</w:t>
            </w:r>
          </w:p>
        </w:tc>
        <w:tc>
          <w:tcPr>
            <w:tcW w:w="9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costs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(145)</w:t>
            </w:r>
          </w:p>
        </w:tc>
        <w:tc>
          <w:tcPr>
            <w:tcW w:w="96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w w:val="99"/>
              </w:rPr>
              <w:t>(6)%</w:t>
            </w:r>
          </w:p>
        </w:tc>
      </w:tr>
      <w:tr>
        <w:trPr>
          <w:trHeight w:val="18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(279)</w:t>
            </w:r>
          </w:p>
        </w:tc>
        <w:tc>
          <w:tcPr>
            <w:tcW w:w="96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color w:val="auto"/>
                <w:w w:val="99"/>
              </w:rPr>
              <w:t>(5)%</w:t>
            </w:r>
          </w:p>
        </w:tc>
      </w:tr>
      <w:tr>
        <w:trPr>
          <w:trHeight w:val="196"/>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Agribusiness costs and expenses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124,987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126,275</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(1,288)</w:t>
            </w:r>
          </w:p>
        </w:tc>
        <w:tc>
          <w:tcPr>
            <w:tcW w:w="960" w:type="dxa"/>
            <w:vAlign w:val="bottom"/>
            <w:tcBorders>
              <w:bottom w:val="single" w:sz="8" w:color="auto"/>
            </w:tcBorders>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w w:val="99"/>
              </w:rPr>
              <w:t>(1)%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left="260" w:hanging="255"/>
        <w:spacing w:after="0" w:line="270" w:lineRule="auto"/>
        <w:tabs>
          <w:tab w:leader="none" w:pos="256"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Packing costs: Packing costs consist primarily of the costs to pack lemons for sale such as labor and benefits, cardboard cartons, fruit treatments, packing and shipping supplies, subcontracted costs and facility operating costs. During the first nine months of fiscal years 2024 and 2023, we packed and sold 3,983,000 and 4,206,000 cartons of lemons at average per carton costs of $8.90 and $8.69, respectively. The increase in per carton packing costs was primarily due to increased subcontracted costs and decreased volume of lemons packed and sold.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5" w:name="page36"/>
    <w:bookmarkEnd w:id="35"/>
    <w:p>
      <w:pPr>
        <w:ind w:left="260" w:hanging="255"/>
        <w:spacing w:after="0" w:line="287" w:lineRule="auto"/>
        <w:tabs>
          <w:tab w:leader="none" w:pos="256"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Harvest costs: The decrease in the first nine months of fiscal year 2024, compared to the same period in fiscal year 2023, was primarily due to decreased volume of lemons harvested related to the sale of the Northern Properties, partially offset by increased volume of avocados harvested.</w:t>
      </w:r>
    </w:p>
    <w:p>
      <w:pPr>
        <w:spacing w:after="0" w:line="7" w:lineRule="exact"/>
        <w:rPr>
          <w:rFonts w:ascii="Times New Roman" w:cs="Times New Roman" w:eastAsia="Times New Roman" w:hAnsi="Times New Roman"/>
          <w:sz w:val="14"/>
          <w:szCs w:val="14"/>
          <w:i w:val="1"/>
          <w:iCs w:val="1"/>
          <w:color w:val="auto"/>
        </w:rPr>
      </w:pPr>
    </w:p>
    <w:p>
      <w:pPr>
        <w:jc w:val="both"/>
        <w:ind w:left="260" w:hanging="255"/>
        <w:spacing w:after="0" w:line="270" w:lineRule="auto"/>
        <w:tabs>
          <w:tab w:leader="none" w:pos="256"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Growing costs: Growing costs, also referred to as cultural costs, consist of orchard maintenance costs such as cultivation, fertilization and soil amendments, pest control, pruning and irrigation. The decrease in the first nine months of fiscal year 2024, compared to the same period in fiscal year 2023, was primarily due to farm management decisions based on weather, harvest timing and crop conditions.</w:t>
      </w:r>
    </w:p>
    <w:p>
      <w:pPr>
        <w:spacing w:after="0" w:line="29" w:lineRule="exact"/>
        <w:rPr>
          <w:rFonts w:ascii="Times New Roman" w:cs="Times New Roman" w:eastAsia="Times New Roman" w:hAnsi="Times New Roman"/>
          <w:sz w:val="14"/>
          <w:szCs w:val="14"/>
          <w:i w:val="1"/>
          <w:iCs w:val="1"/>
          <w:color w:val="auto"/>
        </w:rPr>
      </w:pPr>
    </w:p>
    <w:p>
      <w:pPr>
        <w:jc w:val="both"/>
        <w:ind w:left="260" w:hanging="255"/>
        <w:spacing w:after="0" w:line="258" w:lineRule="auto"/>
        <w:tabs>
          <w:tab w:leader="none" w:pos="256"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Third-party grower and supplier costs: We sell fruit that we grow and fruit that we procure from other growers and suppliers. The cost of procuring fruit from other growers and suppliers is referred to as third-party grower and supplier costs. The increase in the first nine months of fiscal year 2024, compared to the same period of fiscal year 2023, was primarily due to increased volume and higher prices of third-party grower fruit sold. In the first nine months of fiscal years 2024 and 2023, we incurred costs for third-party grower fruit of $37.6 million and $26.9 million, respectively. Of the 3,983,000 and 4,206,000 cartons of lemons packed and sold during the first nine months of fiscal years 2024 and 2023, 2,921,000 (73%) and 2,224,000 (53%), were procured from third-party growers at average per carton prices of $12.89 and $12.11, respectively. The increased volume for third-party grower fruit was primarily due to the sale of the Northern Properties and the related marketing agreement. Additionally, in the first nine months of fiscal years 2024 and 2023, we incurred $15.9 million and $14.0 million, respectively, of costs for purchased, packed fruit for resale.</w:t>
      </w:r>
    </w:p>
    <w:p>
      <w:pPr>
        <w:spacing w:after="0" w:line="29" w:lineRule="exact"/>
        <w:rPr>
          <w:rFonts w:ascii="Times New Roman" w:cs="Times New Roman" w:eastAsia="Times New Roman" w:hAnsi="Times New Roman"/>
          <w:sz w:val="14"/>
          <w:szCs w:val="14"/>
          <w:i w:val="1"/>
          <w:iCs w:val="1"/>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Other costs: Other costs in the first nine months of fiscal year 2024 were similar to the same period of fiscal year 2023.</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Depreciation and amortization: Depreciation and amortization expense in the first nine months of fiscal year 2024 were similar to the same period of fiscal year 2023.</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Other operations expenses were $3.9 million and $3.3 million in the first nine months of fiscal years 2024 and 2023, respectively. The increase in other operations expenses was primarily due to severance benefits in fiscal year 2024.</w:t>
      </w:r>
    </w:p>
    <w:p>
      <w:pPr>
        <w:spacing w:after="0" w:line="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Gain on disposal of assets, net was $0.1 million and $29.2 million in the first nine months of fiscal years 2024 and 2023, respectively. The decrease was primarily due to the 2023 gain on the sale of the Northern Properties, partially offset by the 2023 loss on disposal of Cadiz Ranch assets.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Gain on legal settlement was $2.3 million in the first nine months of fiscal year 2023 due to the Settlement Agreement related to the Thomas fire.</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costs and expenses were $21.7 million and $19.9 million in the first nine months of fiscal years 2024 and 2023, respectively. The 9% increase of $1.8 million was primarily due to:</w:t>
      </w:r>
    </w:p>
    <w:p>
      <w:pPr>
        <w:spacing w:after="0" w:line="71" w:lineRule="exact"/>
        <w:rPr>
          <w:sz w:val="20"/>
          <w:szCs w:val="20"/>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$0.9 million net increase in selling expenses;</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$0.6 million net increase in salaries, benefits and incentive compensation;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 million net increase in other selling, general and administrative expenses, primarily associated with our strategic initiatives.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Total other income (expense) was $16.6 million and $(2.3) million in the first nine months of fiscal years 2024 and 2023, respectively. The increase of $18.9 million in total other income was primarily due to:</w:t>
      </w:r>
    </w:p>
    <w:p>
      <w:pPr>
        <w:spacing w:after="0" w:line="71" w:lineRule="exact"/>
        <w:rPr>
          <w:sz w:val="20"/>
          <w:szCs w:val="20"/>
          <w:color w:val="auto"/>
        </w:rPr>
      </w:pPr>
    </w:p>
    <w:p>
      <w:pPr>
        <w:ind w:left="260" w:hanging="255"/>
        <w:spacing w:after="0"/>
        <w:tabs>
          <w:tab w:leader="none" w:pos="2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$16.6 million increase of equity in earnings of investments, net, primarily due to LLCB's closing of 554 residential homesites in 2024;</w:t>
      </w:r>
    </w:p>
    <w:p>
      <w:pPr>
        <w:spacing w:after="0" w:line="49"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$2.9 million decrease of other expense, net primarily due to pension settlement cost in 2023; and</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$0.4 million increase of interest expense, net of patronage dividends due to decreased patronage dividends.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recorded an estimated income tax provision of $4.1 million and $5.5 million in the first nine months of fiscal years 2024 and 2023 on pre-tax income of $13.1 million and $18.2 million, respectively. The tax provision recorded for the first nine months of fiscal year 2024 differs from the U.S. federal statutory tax rate of 21.0% due primarily to foreign jurisdictions that are taxed at different rates, state taxes, tax impact of stock-based compensation, executive compensation, nondeductible tax items and valuation allowances on certain deferred tax assets of foreign subsidiaries. Our projected annual effective blended tax rate for fiscal year 2024, excluding discrete items, is approximately 33.0%.</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 represents 10% and 49% of PDA and Trapani Fresh, respectively, of the net loss in the first nine months of fiscal years 2024 and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Results of Operations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19 - Segment Information for additional information regarding our operating segments.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 July 31, 2024 Compared to the Three Months Ended July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segment results of operations for the three months ended July 31, 2024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20" w:type="dxa"/>
            <w:vAlign w:val="bottom"/>
          </w:tcPr>
          <w:p>
            <w:pPr>
              <w:spacing w:after="0"/>
              <w:rPr>
                <w:sz w:val="11"/>
                <w:szCs w:val="11"/>
                <w:color w:val="auto"/>
              </w:rPr>
            </w:pPr>
          </w:p>
        </w:tc>
        <w:tc>
          <w:tcPr>
            <w:tcW w:w="78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940" w:type="dxa"/>
            <w:vAlign w:val="bottom"/>
            <w:vMerge w:val="restart"/>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8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2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84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9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36,746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63,305</w:t>
            </w:r>
          </w:p>
        </w:tc>
        <w:tc>
          <w:tcPr>
            <w:tcW w:w="0" w:type="dxa"/>
            <w:vAlign w:val="bottom"/>
          </w:tcPr>
          <w:p>
            <w:pPr>
              <w:spacing w:after="0"/>
              <w:rPr>
                <w:sz w:val="1"/>
                <w:szCs w:val="1"/>
                <w:color w:val="auto"/>
              </w:rPr>
            </w:pPr>
          </w:p>
        </w:tc>
      </w:tr>
      <w:tr>
        <w:trPr>
          <w:trHeight w:val="16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Intersegment revenue</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10,499</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(10,499)</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36,746</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15,699</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(10,499)</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13,897</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6,006</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61,849</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63,305</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32,977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11,144</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(10,499)</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4,104</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5,912</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43,638</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52,197</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0" w:type="dxa"/>
            <w:vAlign w:val="bottom"/>
          </w:tcPr>
          <w:p>
            <w:pPr>
              <w:spacing w:after="0"/>
              <w:rPr>
                <w:sz w:val="1"/>
                <w:szCs w:val="1"/>
                <w:color w:val="auto"/>
              </w:rPr>
            </w:pPr>
          </w:p>
        </w:tc>
      </w:tr>
      <w:tr>
        <w:trPr>
          <w:trHeight w:val="163"/>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3,769</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4,555</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9,793</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16,412</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(7,419)</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segment results of operations for the three months ended July 31, 2023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20" w:type="dxa"/>
            <w:vAlign w:val="bottom"/>
          </w:tcPr>
          <w:p>
            <w:pPr>
              <w:spacing w:after="0"/>
              <w:rPr>
                <w:sz w:val="11"/>
                <w:szCs w:val="11"/>
                <w:color w:val="auto"/>
              </w:rPr>
            </w:pPr>
          </w:p>
        </w:tc>
        <w:tc>
          <w:tcPr>
            <w:tcW w:w="78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940" w:type="dxa"/>
            <w:vAlign w:val="bottom"/>
            <w:vMerge w:val="restart"/>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8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2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84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9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32,739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51,092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52,497</w:t>
            </w:r>
          </w:p>
        </w:tc>
        <w:tc>
          <w:tcPr>
            <w:tcW w:w="0" w:type="dxa"/>
            <w:vAlign w:val="bottom"/>
          </w:tcPr>
          <w:p>
            <w:pPr>
              <w:spacing w:after="0"/>
              <w:rPr>
                <w:sz w:val="1"/>
                <w:szCs w:val="1"/>
                <w:color w:val="auto"/>
              </w:rPr>
            </w:pPr>
          </w:p>
        </w:tc>
      </w:tr>
      <w:tr>
        <w:trPr>
          <w:trHeight w:val="16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Intersegment revenue</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9,684</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(9,684)</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32,739</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15,156</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(9,684)</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9,419</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51,092</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52,497</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30,118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13,140</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(9,684)</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8,506</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45,110</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52,027</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63"/>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2,621</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4,247</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(5,796)</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5380"/>
        <w:spacing w:after="0" w:line="428" w:lineRule="auto"/>
        <w:rPr>
          <w:sz w:val="20"/>
          <w:szCs w:val="20"/>
          <w:color w:val="auto"/>
        </w:rPr>
      </w:pPr>
      <w:r>
        <w:rPr>
          <w:rFonts w:ascii="Times New Roman" w:cs="Times New Roman" w:eastAsia="Times New Roman" w:hAnsi="Times New Roman"/>
          <w:sz w:val="14"/>
          <w:szCs w:val="14"/>
          <w:i w:val="1"/>
          <w:iCs w:val="1"/>
          <w:color w:val="auto"/>
        </w:rPr>
        <w:t xml:space="preserve">The following analysis should be read in conjunction with the previous section “Results of Operations.” </w:t>
      </w:r>
      <w:r>
        <w:rPr>
          <w:rFonts w:ascii="Times New Roman" w:cs="Times New Roman" w:eastAsia="Times New Roman" w:hAnsi="Times New Roman"/>
          <w:sz w:val="14"/>
          <w:szCs w:val="14"/>
          <w:b w:val="1"/>
          <w:bCs w:val="1"/>
          <w:i w:val="1"/>
          <w:iCs w:val="1"/>
          <w:color w:val="auto"/>
        </w:rPr>
        <w:t>Fresh Lemons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Fresh lemons segment revenue is comprised of sales of fresh lemons, lemon by-products, brokered lemons and other lemon revenue. For the third quarter of fiscal years 2024 and 2023, our fresh lemons segment total net revenues were $36.7 million and $32.7 million, respectively. The 12% increase of $4.0 million was primarily due to:</w:t>
      </w:r>
    </w:p>
    <w:p>
      <w:pPr>
        <w:spacing w:after="0" w:line="61" w:lineRule="exact"/>
        <w:rPr>
          <w:sz w:val="20"/>
          <w:szCs w:val="20"/>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Fresh packed lemon sales increase of $1.6 million;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Lemon by-products sales increase of $0.6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Brokered lemons and other lemon sales increase of $1.8 million.</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and expenses associated with our fresh lemons segment include growing costs, harvest costs, cost of lemons we procure from third-party growers and suppliers and packing service charges incurred from the lemon packing segment to pack lemons for sale. For the third quarter of fiscal years 2024 and 2023, our fresh lemons segment costs and expenses were $33.0 million and $30.1 million, respectively. The 9% increase of $2.9 million was primarily due to:</w:t>
      </w:r>
    </w:p>
    <w:p>
      <w:pPr>
        <w:spacing w:after="0" w:line="83" w:lineRule="exact"/>
        <w:rPr>
          <w:sz w:val="20"/>
          <w:szCs w:val="20"/>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Harvest costs decrease of $3.0 million;</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costs decrease of $0.8 million;</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grower and supplier costs increase of $5.9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Intersegment costs and expenses increase of $0.8 million.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Lemon Packing</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Lemon packing segment revenue is comprised of packing revenue and intersegment packing revenue. For the third quarter of fiscal years 2024 and 2023, our lemon packing segment total net revenues were $15.7 million and $15.2 million, respectively. The 4% increase of $0.5 million was primarily due to increased volume of lemons packed and sold.</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and expenses associated with our lemon packing segment consist of the costs to pack lemons for sale such as labor and benefits, cardboard cartons, fruit treatments, packing and shipping supplies, subcontracted costs and facility operating costs. For the third quarter of fiscal years 2024 and 2023, our lemon packing costs and expenses were $11.1 million and $13.1 million, respectively. The 15% decrease of $2.0 million was primarily due to decreased costs for labor and benefits and facility operating costs in the third quarter of fiscal year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third quarter of fiscal years 2024 and 2023, lemon packing segment operating income per carton sold was $3.25 and $1.49, respectively.</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lemon packing segment included $10.5 million and $9.7 million of intersegment revenues for the third quarter of fiscal years 2024 and 2023, respectively, that were charged to the fresh lemons segment to pack lemons for sale. Such intersegment revenues and expenses are eliminated in our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Avocados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third quarter of fiscal years 2024 and 2023, our avocados segment revenues were $13.9 million and $3.5 million, respectively.</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Costs and expenses associated with our avocados segment include growing and harvest costs. For the third quarter of fiscal years 2024 and 2023, our avocados segment costs and expenses were $4.1 million and $3.0 million, respectively. The increase of $1.1 million was primarily due to the following:</w:t>
      </w:r>
    </w:p>
    <w:p>
      <w:pPr>
        <w:spacing w:after="0" w:line="61" w:lineRule="exact"/>
        <w:rPr>
          <w:sz w:val="20"/>
          <w:szCs w:val="20"/>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Harvest costs increase of $1.2 million;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costs decrease of $0.1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Agribusiness</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other agribusiness segment total net revenues were $6.0 million and $9.4 million for the third quarter of fiscal years 2024 and 2023, respectively. The 36% decrease of $3.4 million was primarily due to:</w:t>
      </w:r>
    </w:p>
    <w:p>
      <w:pPr>
        <w:spacing w:after="0" w:line="71" w:lineRule="exact"/>
        <w:rPr>
          <w:sz w:val="20"/>
          <w:szCs w:val="20"/>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 management revenues decrease of $2.2 million;</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Specialty citrus and other crops revenues decrease of $1.4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revenues increase of $0.2 million.</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Costs and expenses associated with our other agribusiness segment include growing costs, harvest costs, purchased fruit costs and freight costs. Our other agribusiness costs and expenses were $5.9 million and $8.5 million for the third quarter of fiscal years 2024 and 2023, respectively. The 30% decrease of $2.6 million was primarily due to:</w:t>
      </w:r>
    </w:p>
    <w:p>
      <w:pPr>
        <w:spacing w:after="0" w:line="71" w:lineRule="exact"/>
        <w:rPr>
          <w:sz w:val="20"/>
          <w:szCs w:val="20"/>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costs decrease of $2.0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Purchased fruit costs decrease of $0.6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agribusiness depreciation and amortization expenses were $1.8 million and $1.7 million for the third quarter of fiscal years 2024 and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corporate and other operations had revenues of $1.5 million and $1.4 million for the third quarter of fiscal years 2024 and 2023, respectively.</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and expenses in our corporate and other operations were approximately $8.6 million and $6.9 million for the third quarter of fiscal years 2024 and 2023, respectively, and include selling, general and administrative costs and expenses, impairment of intangible asset, (gain) loss on disposal of assets, net and gain on legal settlement, none of which are allocated to the operating segments. Depreciation and amortization expenses for the third quarters of fiscal years 2024 and 2023 were similar at $0.3 million.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Nine Months Ended July 31, 2024 Compared to the Nine Months Ended July 31,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segment results of operations for the nine months ended July 31, 2024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20" w:type="dxa"/>
            <w:vAlign w:val="bottom"/>
          </w:tcPr>
          <w:p>
            <w:pPr>
              <w:spacing w:after="0"/>
              <w:rPr>
                <w:sz w:val="11"/>
                <w:szCs w:val="11"/>
                <w:color w:val="auto"/>
              </w:rPr>
            </w:pPr>
          </w:p>
        </w:tc>
        <w:tc>
          <w:tcPr>
            <w:tcW w:w="78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940" w:type="dxa"/>
            <w:vAlign w:val="bottom"/>
            <w:vMerge w:val="restart"/>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8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2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84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9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94,971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143,445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147,642</w:t>
            </w:r>
          </w:p>
        </w:tc>
        <w:tc>
          <w:tcPr>
            <w:tcW w:w="0" w:type="dxa"/>
            <w:vAlign w:val="bottom"/>
          </w:tcPr>
          <w:p>
            <w:pPr>
              <w:spacing w:after="0"/>
              <w:rPr>
                <w:sz w:val="1"/>
                <w:szCs w:val="1"/>
                <w:color w:val="auto"/>
              </w:rPr>
            </w:pPr>
          </w:p>
        </w:tc>
      </w:tr>
      <w:tr>
        <w:trPr>
          <w:trHeight w:val="16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Intersegment revenue</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28,129</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(28,129)</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94,971</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43,885</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(28,129)</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16,245</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16,473</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143,445</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147,642</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90,687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35,450</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(28,129)</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5,529</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16,119</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119,656</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25,140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144,796</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5,331</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6,273</w:t>
            </w:r>
          </w:p>
        </w:tc>
        <w:tc>
          <w:tcPr>
            <w:tcW w:w="0" w:type="dxa"/>
            <w:vAlign w:val="bottom"/>
          </w:tcPr>
          <w:p>
            <w:pPr>
              <w:spacing w:after="0"/>
              <w:rPr>
                <w:sz w:val="1"/>
                <w:szCs w:val="1"/>
                <w:color w:val="auto"/>
              </w:rPr>
            </w:pPr>
          </w:p>
        </w:tc>
      </w:tr>
      <w:tr>
        <w:trPr>
          <w:trHeight w:val="163"/>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8,435</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10,716</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18,458</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(21,885)</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segment results of operations for the nine months ended July 31, 2023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20" w:type="dxa"/>
            <w:vAlign w:val="bottom"/>
          </w:tcPr>
          <w:p>
            <w:pPr>
              <w:spacing w:after="0"/>
              <w:rPr>
                <w:sz w:val="11"/>
                <w:szCs w:val="11"/>
                <w:color w:val="auto"/>
              </w:rPr>
            </w:pPr>
          </w:p>
        </w:tc>
        <w:tc>
          <w:tcPr>
            <w:tcW w:w="78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940" w:type="dxa"/>
            <w:vAlign w:val="bottom"/>
            <w:vMerge w:val="restart"/>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8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2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84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9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92,002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134,296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4,172</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138,468</w:t>
            </w:r>
          </w:p>
        </w:tc>
        <w:tc>
          <w:tcPr>
            <w:tcW w:w="0" w:type="dxa"/>
            <w:vAlign w:val="bottom"/>
          </w:tcPr>
          <w:p>
            <w:pPr>
              <w:spacing w:after="0"/>
              <w:rPr>
                <w:sz w:val="1"/>
                <w:szCs w:val="1"/>
                <w:color w:val="auto"/>
              </w:rPr>
            </w:pPr>
          </w:p>
        </w:tc>
      </w:tr>
      <w:tr>
        <w:trPr>
          <w:trHeight w:val="16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Intersegment revenue</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27,356</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(27,356)</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92,002</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44,899</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(27,356)</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7,065</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17,686</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134,296</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4,172</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138,468</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 (gains)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36,568</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(27,356)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4,053</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15,749</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120,665</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111,485</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5,610</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6,510</w:t>
            </w:r>
          </w:p>
        </w:tc>
        <w:tc>
          <w:tcPr>
            <w:tcW w:w="0" w:type="dxa"/>
            <w:vAlign w:val="bottom"/>
          </w:tcPr>
          <w:p>
            <w:pPr>
              <w:spacing w:after="0"/>
              <w:rPr>
                <w:sz w:val="1"/>
                <w:szCs w:val="1"/>
                <w:color w:val="auto"/>
              </w:rPr>
            </w:pPr>
          </w:p>
        </w:tc>
      </w:tr>
      <w:tr>
        <w:trPr>
          <w:trHeight w:val="163"/>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8,331</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1,937</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8,021</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12,452</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20,473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right="5380"/>
        <w:spacing w:after="0" w:line="420" w:lineRule="auto"/>
        <w:rPr>
          <w:sz w:val="20"/>
          <w:szCs w:val="20"/>
          <w:color w:val="auto"/>
        </w:rPr>
      </w:pPr>
      <w:r>
        <w:rPr>
          <w:rFonts w:ascii="Times New Roman" w:cs="Times New Roman" w:eastAsia="Times New Roman" w:hAnsi="Times New Roman"/>
          <w:sz w:val="14"/>
          <w:szCs w:val="14"/>
          <w:i w:val="1"/>
          <w:iCs w:val="1"/>
          <w:color w:val="auto"/>
        </w:rPr>
        <w:t xml:space="preserve">The following analysis should be read in conjunction with the previous section “Results of Operations.” </w:t>
      </w:r>
      <w:r>
        <w:rPr>
          <w:rFonts w:ascii="Times New Roman" w:cs="Times New Roman" w:eastAsia="Times New Roman" w:hAnsi="Times New Roman"/>
          <w:sz w:val="14"/>
          <w:szCs w:val="14"/>
          <w:b w:val="1"/>
          <w:bCs w:val="1"/>
          <w:i w:val="1"/>
          <w:iCs w:val="1"/>
          <w:color w:val="auto"/>
        </w:rPr>
        <w:t>Fresh Lemons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Fresh lemons segment revenue is comprised of sales of fresh lemons, lemon by-products, brokered lemons and other lemon revenue. For the first nine months of fiscal years 2024 and 2023, our fresh lemons segment total net revenues were $95.0 million and $92.0 million, respectively. The 3% increase of $3.0 million was primarily due to:</w:t>
      </w:r>
    </w:p>
    <w:p>
      <w:pPr>
        <w:spacing w:after="0" w:line="71" w:lineRule="exact"/>
        <w:rPr>
          <w:sz w:val="20"/>
          <w:szCs w:val="20"/>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Brokered lemons and other lemon sales increase of $4.6 million;</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Lemon by-products decrease of $0.2 million; and</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Legal settlement proceeds of $1.4 million allocated to fresh lemons in fiscal year 2023.</w:t>
      </w:r>
    </w:p>
    <w:p>
      <w:pPr>
        <w:spacing w:after="0" w:line="1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Costs and expenses associated with our fresh lemons segment include growing costs, harvest costs, cost of lemons we procure from third-party growers and suppliers and transportation costs. For the first nine months of fiscal years 2024 and 2023, our fresh lemons segment costs and expenses were $90.7 million and $91.7 million, respectively. The 1% decrease of $1.0 million was primarily due to:</w:t>
      </w:r>
    </w:p>
    <w:p>
      <w:pPr>
        <w:spacing w:after="0" w:line="250" w:lineRule="exact"/>
        <w:rPr>
          <w:sz w:val="20"/>
          <w:szCs w:val="20"/>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Harvest costs decrease of $8.7 million;</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Growing costs decrease of $6.1 million;</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Third-party grower and supplier costs increase of $13.1 million; and</w:t>
      </w:r>
    </w:p>
    <w:p>
      <w:pPr>
        <w:spacing w:after="0" w:line="72"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Intersegment costs and expenses increase of $0.8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Lemon Packing</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Lemon packing segment revenue is comprised of packing revenue and intersegment packing revenue. For the first nine months of fiscal years 2024 and 2023, our lemon packing segment total net revenues were $43.9 million and $44.9 million, respectively. The 2% decrease of $1.0 million was primarily due to decreased volume of lemons packed and sold.</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and expenses associated with our lemon packing segment consist of the costs to pack lemons for sale such as labor and benefits, cardboard cartons, fruit treatments, packing and shipping supplies, subcontracted and facility operating costs. For the first nine months of fiscal years 2024 and 2023, our lemon packing costs and expenses were $35.5 million and $36.6 million, respectively. The 3% decrease of $1.1 million was primarily due to decreased volume of lemons packed and sold, partially offset by increased subcontracted costs.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For the first nine months of fiscal years 2024 and 2023, lemon packing segment operating income per carton sold was $2.12 and $1.98, respectively.</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lemon packing segment included $28.1 million and $27.4 million of intersegment revenues in the first nine months of fiscal years 2024 and 2023, respectively, that were charged to the fresh lemons segment to pack lemons for sale. Such intersegment revenues and expenses are eliminated in our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Avocados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first nine months of fiscal years 2024 and 2023, our avocados segment revenues were $16.2 million and $7.1 million, respectively.</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Costs and expenses associated with our avocados segment include growing and harvest costs. Our avocados segment costs and expenses were $5.5 million and $4.1 million for the first nine months of fiscal years 2024 and 2023, respectively. The 36% increase of $1.5 million was primarily due to the following:</w:t>
      </w:r>
    </w:p>
    <w:p>
      <w:pPr>
        <w:spacing w:after="0" w:line="61" w:lineRule="exact"/>
        <w:rPr>
          <w:sz w:val="20"/>
          <w:szCs w:val="20"/>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Harvest costs increase of $1.3 million; and</w:t>
      </w:r>
    </w:p>
    <w:p>
      <w:pPr>
        <w:spacing w:after="0" w:line="72"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Growing costs increase of $0.2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Agribusiness</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other agribusiness segment total net revenues were $16.5 million and $17.7 million for the first nine months of fiscal years 2024 and 2023, respectively. The 7% decrease of $1.2 million was primarily due to:</w:t>
      </w:r>
    </w:p>
    <w:p>
      <w:pPr>
        <w:spacing w:after="0" w:line="71"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Orange revenues decrease of $0.4 million;</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Specialty citrus and other crops revenues decrease of $1.7 million;</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 management revenues increase of $0.5 million;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revenues increase of $0.3 million.</w:t>
      </w:r>
    </w:p>
    <w:p>
      <w:pPr>
        <w:spacing w:after="0" w:line="11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Costs and expenses associated with our other agribusiness segment include growing costs, harvest costs, purchased fruit costs and freight costs. Our other agribusiness costs and expenses were $16.1 million and $15.7 million for the first nine months of fiscal years 2024 and 2023, respectively. The 2% increase of $0.4 million was primarily due to:</w:t>
      </w:r>
    </w:p>
    <w:p>
      <w:pPr>
        <w:spacing w:after="0" w:line="71" w:lineRule="exact"/>
        <w:rPr>
          <w:sz w:val="20"/>
          <w:szCs w:val="20"/>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Growing costs increase of $1.1 million; and</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Purchased fruit costs decrease of $0.6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agribusiness depreciation and amortization expenses were $5.3 million and $5.6 million, for the first nine months of fiscal years 2024 and 2023,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corporate and other operations revenues were $4.2 million for the first nine months of both fiscal years 2024 and 2023.</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and expenses (gains) in our corporate and other operations were $25.1 million and $(9.2) million for the first nine months of fiscal years 2024 and 2023, respectively, and include selling, general and administrative costs and expenses, impairment of intangible asset, (gain) loss on disposal of assets, net and gain on legal settlement, none of which are allocated to the operating segments. Depreciation and amortization expenses for the first nine months of fiscal years 2024 and 2023 were similar at $0.9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 Operations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Trailing Twelve Months Ended July 31, 2024 and 2023</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shows the unaudited results of operations (in thousands):</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8"/>
        </w:trPr>
        <w:tc>
          <w:tcPr>
            <w:tcW w:w="8560" w:type="dxa"/>
            <w:vAlign w:val="bottom"/>
          </w:tcPr>
          <w:p>
            <w:pPr>
              <w:spacing w:after="0"/>
              <w:rPr>
                <w:sz w:val="24"/>
                <w:szCs w:val="24"/>
                <w:color w:val="auto"/>
              </w:rPr>
            </w:pPr>
          </w:p>
        </w:tc>
        <w:tc>
          <w:tcPr>
            <w:tcW w:w="2720" w:type="dxa"/>
            <w:vAlign w:val="bottom"/>
            <w:tcBorders>
              <w:bottom w:val="single" w:sz="8" w:color="auto"/>
            </w:tcBorders>
            <w:gridSpan w:val="5"/>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Trailing Twelve Months Ended July 31,</w:t>
            </w:r>
          </w:p>
        </w:tc>
      </w:tr>
      <w:tr>
        <w:trPr>
          <w:trHeight w:val="171"/>
        </w:trPr>
        <w:tc>
          <w:tcPr>
            <w:tcW w:w="85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Agribusiness</w:t>
            </w:r>
          </w:p>
        </w:tc>
        <w:tc>
          <w:tcPr>
            <w:tcW w:w="8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183,530</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172,531</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operations</w:t>
            </w: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5,595</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189,074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178,126</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Agribusiness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167,881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166,620</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operations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intangible asset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(gain) on disposal of assets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(34,202)</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legal settlement</w:t>
            </w:r>
          </w:p>
        </w:tc>
        <w:tc>
          <w:tcPr>
            <w:tcW w:w="8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24,966</w:t>
            </w:r>
          </w:p>
        </w:tc>
      </w:tr>
      <w:tr>
        <w:trPr>
          <w:trHeight w:val="171"/>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202,192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159,540</w:t>
            </w: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18,586</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net of patronage dividends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 earnings of investments, net</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r>
      <w:tr>
        <w:trPr>
          <w:trHeight w:val="180"/>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w:t>
            </w: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provision</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14,864</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(4,975)</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9,889</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attributable to noncontrolling interest</w:t>
            </w: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Limoneira Company</w:t>
            </w:r>
          </w:p>
        </w:tc>
        <w:tc>
          <w:tcPr>
            <w:tcW w:w="8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10,199</w:t>
            </w:r>
          </w:p>
        </w:tc>
      </w:tr>
      <w:tr>
        <w:trPr>
          <w:trHeight w:val="20"/>
        </w:trPr>
        <w:tc>
          <w:tcPr>
            <w:tcW w:w="8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analysis should be read in conjunction with the previous section “Results of Operations.”</w:t>
      </w:r>
    </w:p>
    <w:p>
      <w:pPr>
        <w:spacing w:after="0" w:line="117" w:lineRule="exact"/>
        <w:rPr>
          <w:sz w:val="20"/>
          <w:szCs w:val="20"/>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revenues increased $10.9 million, primarily due to increased avocado and farm management revenue.</w:t>
      </w:r>
    </w:p>
    <w:p>
      <w:pPr>
        <w:spacing w:after="0" w:line="72"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costs and expenses increased $42.7 million, primarily due to the gain on disposal of assets and legal settlement recognized in 2023, as well as increased agribusiness costs and selling, general and administrative expenses in 2024.</w:t>
      </w:r>
    </w:p>
    <w:p>
      <w:pPr>
        <w:spacing w:after="0" w:line="7"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other income increased $25.2 million, primarily due to increased equity in earnings of investments, net related to LLCB and decreased other expense related to pension settlement costs.</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provision decreased $2.2 million, primarily due to decreased pre-tax income of $6.5 million.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primary sources of liquidity are cash and cash flows generated from our operations, use of our revolving credit facility, sales of assets and distributions from our equity investments.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Material contractual obligations arising in the normal course of business consist primarily of purchase obligations, long-term fixed rate and variable rate debt and related interest payments and operating and finance leases. See Note 10 - Long-Term Debt and Note 12 - Leases for amounts outstanding as of July 31, 2024, related to debt and leases. Purchase obligations consist of contracts primarily related to packing supplies, the majority of which are due in the next 5 years.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the cash flows from operations and available borrowing capacity from our existing credit facilities will be sufficient to satisfy our capital expenditures, debt service, working capital needs and other contractual obligations for the next 12 months. We believe our revenue generating operations, distributions from equity investments and credit facilities will generate sufficient cash needed to operate beyond the next 12 months. In addition, we have the ability to control a portion of our investing cash flows to the extent necessary based on our liquidity demands.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(used in) operating activities was $11.3 million and $(12.6) million for the nine months ended July 31, 2024 and 2023, respectively. The significant components of our cash flows provided by (used in) operating activities were as follows:</w:t>
      </w:r>
    </w:p>
    <w:p>
      <w:pPr>
        <w:spacing w:after="0" w:line="71" w:lineRule="exact"/>
        <w:rPr>
          <w:sz w:val="20"/>
          <w:szCs w:val="20"/>
          <w:color w:val="auto"/>
        </w:rPr>
      </w:pPr>
    </w:p>
    <w:p>
      <w:pPr>
        <w:jc w:val="both"/>
        <w:ind w:left="260" w:hanging="255"/>
        <w:spacing w:after="0" w:line="270" w:lineRule="auto"/>
        <w:tabs>
          <w:tab w:leader="none" w:pos="25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was $9.1 million and $12.7 million for the nine months ended July 31, 2024 and 2023, respectively. The components of net income in the nine months ended July 31, 2024, compared to the net income in the same period in fiscal year 2023 consist of a decrease in operating income of $23.9 million primarily due to the Northern Properties sale, an increase in total other income of $18.9 million, primarily related to LLCB equity earnings and a decrease in income tax provision of $1.5 million.</w:t>
      </w:r>
    </w:p>
    <w:p>
      <w:pPr>
        <w:spacing w:after="0" w:line="1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reconcile net income to net cash provided by (used in) operating activities:</w:t>
      </w:r>
    </w:p>
    <w:p>
      <w:pPr>
        <w:spacing w:after="0" w:line="61" w:lineRule="exact"/>
        <w:rPr>
          <w:rFonts w:ascii="Times New Roman" w:cs="Times New Roman" w:eastAsia="Times New Roman" w:hAnsi="Times New Roman"/>
          <w:sz w:val="14"/>
          <w:szCs w:val="14"/>
          <w:color w:val="auto"/>
        </w:rPr>
      </w:pPr>
    </w:p>
    <w:p>
      <w:pPr>
        <w:ind w:left="760" w:hanging="246"/>
        <w:spacing w:after="0" w:line="287" w:lineRule="auto"/>
        <w:tabs>
          <w:tab w:leader="none" w:pos="757"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were $13.2 million and $(14.1) million in the nine months ended July 31, 2024 and 2023, respectively, primarily related to gain on disposal of assets, net, cash distributions from equity investments, equity in earnings of investments, net, depreciation and amortization and deferred income taxes.</w:t>
      </w:r>
    </w:p>
    <w:p>
      <w:pPr>
        <w:spacing w:after="0" w:line="18" w:lineRule="exact"/>
        <w:rPr>
          <w:rFonts w:ascii="Times New Roman" w:cs="Times New Roman" w:eastAsia="Times New Roman" w:hAnsi="Times New Roman"/>
          <w:sz w:val="14"/>
          <w:szCs w:val="14"/>
          <w:color w:val="auto"/>
        </w:rPr>
      </w:pPr>
    </w:p>
    <w:p>
      <w:pPr>
        <w:jc w:val="both"/>
        <w:ind w:left="760" w:hanging="246"/>
        <w:spacing w:after="0" w:line="270" w:lineRule="auto"/>
        <w:tabs>
          <w:tab w:leader="none" w:pos="768"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assets and liabilities were $11.1 million of operating cash in both the nine months ended July 31, 2024 and 2023, primarily related to accounts receivables and receivables/other from related parties, cultural costs, prepaid expenses and other current assets, accrued liabilities and payables to related parties, income taxes payable and other long-term liabilities.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provided by investing activities was $(6.7) million and $92.4 million for the nine months ended July 31, 2024 and 2023, respectively.</w:t>
      </w:r>
    </w:p>
    <w:p>
      <w:pPr>
        <w:spacing w:after="0" w:line="125" w:lineRule="exact"/>
        <w:rPr>
          <w:sz w:val="20"/>
          <w:szCs w:val="20"/>
          <w:color w:val="auto"/>
        </w:rPr>
      </w:pPr>
    </w:p>
    <w:p>
      <w:pPr>
        <w:ind w:left="260" w:hanging="255"/>
        <w:spacing w:after="0" w:line="287" w:lineRule="auto"/>
        <w:tabs>
          <w:tab w:leader="none" w:pos="257"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$6.7 million of cash used in investing activities during the nine months ended July 31, 2024 was comprised primarily of capital expenditures of $6.7 million, primarily related to orchard and vineyard development.</w:t>
      </w:r>
    </w:p>
    <w:p>
      <w:pPr>
        <w:spacing w:after="0" w:line="7" w:lineRule="exact"/>
        <w:rPr>
          <w:rFonts w:ascii="Times New Roman" w:cs="Times New Roman" w:eastAsia="Times New Roman" w:hAnsi="Times New Roman"/>
          <w:sz w:val="14"/>
          <w:szCs w:val="14"/>
          <w:b w:val="1"/>
          <w:bCs w:val="1"/>
          <w:color w:val="auto"/>
        </w:rPr>
      </w:pPr>
    </w:p>
    <w:p>
      <w:pPr>
        <w:ind w:left="260" w:hanging="255"/>
        <w:spacing w:after="0" w:line="287" w:lineRule="auto"/>
        <w:tabs>
          <w:tab w:leader="none" w:pos="268"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$92.4 million of cash provided by investing activities during the nine months ended July 31, 2023 was comprised primarily of net proceeds from sales of assets of $98.5 million and net proceeds from the sale of real estate development assets of $2.6 million, partially offset by capital expenditures of $9.0 million, primarily related to orchard and vineyard development.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financing activities was $7.1 million and $69.6 million for the nine months ended July 31, 2024 and 2023, respectively.</w:t>
      </w:r>
    </w:p>
    <w:p>
      <w:pPr>
        <w:spacing w:after="0" w:line="115" w:lineRule="exact"/>
        <w:rPr>
          <w:sz w:val="20"/>
          <w:szCs w:val="20"/>
          <w:color w:val="auto"/>
        </w:rPr>
      </w:pPr>
    </w:p>
    <w:p>
      <w:pPr>
        <w:ind w:left="260" w:hanging="255"/>
        <w:spacing w:after="0" w:line="287"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$7.1 million of cash used in financing activities during the nine months ended July 31, 2024 was comprised primarily of common and preferred dividends of $4.4 million and exchange of common stock of $1.8 million.</w:t>
      </w:r>
    </w:p>
    <w:p>
      <w:pPr>
        <w:spacing w:after="0" w:line="18"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$69.6 million of cash used in financing activities during the nine months ended July 31, 2023 was comprised primarily of net repayments of long-term debt of $64.9 million and common and preferred dividends of $4.4 million.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Affecting 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Facilities and Long-Term Debt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finance our working capital and other liquidity requirements primarily through cash from operations, distributions from equity investments and from our Credit Facility with AgWest Farm Credit, formerly known as Farm Credit West, (the "Lender"), which includes the Master Loan Agreement (the “MLA”), a revolving credit facility supplement (the “Revolving Credit Supplement”), a non-revolving credit facility supplement (the “Non-Revolving Credit Supplement” and, together with the Revolving Credit Supplement, the “Supplements”), and a Fixed Interest Rate Agreement, which extends principal repayment to July 1, 2026. The MLA governs the terms of the Supplements. In addition, we have Banco de Chile term and COVID-19 loans. Additional information regarding these loans can be found in Note 10 - Long-Term Debt.</w:t>
      </w:r>
    </w:p>
    <w:p>
      <w:pPr>
        <w:spacing w:after="0" w:line="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Supplements provide aggregate borrowing capacity of $115.0 million, comprised of $75.0 million under the Revolving Credit Supplement and $40.0 million under the Non-Revolving Credit Supplement. As of July 31, 2024, our outstanding borrowings under the AgWest Farm Credit Facility were $40.0 million and we had $75.0 million of availability.</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31, 2023, we sold the Northern Properties which resulted in total net proceeds of $98.4 million. The proceeds were used to pay down all of our domestic debt except the Non-Revolving Credit Supplement.</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specific debt service coverage ratio on an annual basis. In September 2023, the Lender modified the covenant to defer measurement as of October 31, 2023 and resume a debt service coverage ratio of 1.25:1.0 measured as of October 31, 2024.</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December 2023, the Lender declared an annual cash patronage dividend of 1.25% of average eligible loan balances and we received $0.6 million in the second quarter of fiscal year 2024. In February 2023, the Lender declared an annual cash patronage dividend of 1.25% of average eligible loan balances and we received $1.4 million in the second quarter of fiscal year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Development Joint Ve</w:t>
      </w:r>
      <w:r>
        <w:rPr>
          <w:rFonts w:ascii="Times New Roman" w:cs="Times New Roman" w:eastAsia="Times New Roman" w:hAnsi="Times New Roman"/>
          <w:sz w:val="15"/>
          <w:szCs w:val="15"/>
          <w:i w:val="1"/>
          <w:iCs w:val="1"/>
          <w:color w:val="auto"/>
        </w:rPr>
        <w:t>nture</w:t>
      </w:r>
    </w:p>
    <w:p>
      <w:pPr>
        <w:spacing w:after="0" w:line="1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30, 2024, our real estate development joint venture with Lewis closed an additional 554 residential homesites at the Harvest at Limoneira master planned community in Santa Paula, CA, and we recorded equity in earnings of investments of $17.1 million in the nine months ended July 31, 2024. On June 5, 2024, we received a cash distribution of $15.0 million from the joint venture which we used to pay down debt. As of July 31, 2024, the 50%-owned unconsolidated joint venture had $69.9 million of unaudited cash and cash equivalents on hand.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holders of our Series B Convertible Preferred Stock and Series B-2 Preferred Stock are entitled to receive cumulative cash dividends. Such preferred dividends paid were $0.4 million in the nine months ended July 31, 2024 and 2023.</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dividends declared in the nine months ended July 31, 2024 and 2023 were $0.225 per common share and such dividends paid were $4.1 million and $4.0 million, in the nine months ended July 31, 2024 and 2023, respectively.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During the nine months ended July 31, 2024, our critical accounting policies and estimates have not changed since the filing of our Annual Report on Form 10-K as of October 31, 2023. Please refer to that filing for a description of our critical accounting policies and estimates.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See Note 2 - Summary of Significant Accounting Policies of the notes to consolidated financial statements included in this Quarterly Report for information concerning recent accounting pronouncements.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3. Quantitative and Qualitative Disclosures about Market Risk</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in the disclosures discussed in the section entitled “Quantitative and Qualitative Disclosures about Market Risk” in Part II, Item 7A of our Annual Report on Form 10-K for the fiscal year ended October 31, 2023, as filed with the SEC on December 21, 2023.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4. Controls and Procedures</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Disclosure Controls and Procedures. </w:t>
      </w:r>
      <w:r>
        <w:rPr>
          <w:rFonts w:ascii="Times New Roman" w:cs="Times New Roman" w:eastAsia="Times New Roman" w:hAnsi="Times New Roman"/>
          <w:sz w:val="14"/>
          <w:szCs w:val="14"/>
          <w:color w:val="auto"/>
        </w:rPr>
        <w:t>As of July 31, 2024, we carried out an evaluation, under the supervision and with the participation of our management, including our Chief Executive Officer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w:t>
      </w:r>
    </w:p>
    <w:p>
      <w:pPr>
        <w:spacing w:after="0" w:line="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Changes in Internal Control over Financial Reporting. </w:t>
      </w:r>
      <w:r>
        <w:rPr>
          <w:rFonts w:ascii="Times New Roman" w:cs="Times New Roman" w:eastAsia="Times New Roman" w:hAnsi="Times New Roman"/>
          <w:sz w:val="14"/>
          <w:szCs w:val="14"/>
          <w:color w:val="auto"/>
        </w:rPr>
        <w:t>There have been no significant changes in our internal control over financial reporting during the quarter ended July 31, 2024, or, to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knowledge, in other factors that have materially affected, or are reasonably likely to materially affect, our internal control over financial reporting.</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Limitations on the Effectiveness of Controls. </w:t>
      </w:r>
      <w:r>
        <w:rPr>
          <w:rFonts w:ascii="Times New Roman" w:cs="Times New Roman" w:eastAsia="Times New Roman" w:hAnsi="Times New Roman"/>
          <w:sz w:val="14"/>
          <w:szCs w:val="14"/>
          <w:color w:val="auto"/>
        </w:rPr>
        <w:t>Control systems, no matter how well conceived and operated, are designed to provide a reasonable, but not an absolute, level of assurance that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auto"/>
        </w:rPr>
        <w:t>PART II. OTHER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1. Legal Proceedings</w:t>
      </w:r>
    </w:p>
    <w:p>
      <w:pPr>
        <w:spacing w:after="0" w:line="1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17 - Commitments and Contingencies of the Notes to the Consolidated Financial Statements in this Quarterly Report.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1A. Risk Factors</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in the disclosures discussed in the section entitled “Risk Factors” in Part I, Item 1A of our Annual Report on Form 10-K for the fiscal year ended October 31, 2023, as filed with the SEC on December 21,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2. Unregistered Sales of Equity Securities and Use of Proceeds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4. Mine Safety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5. Other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Item 6. Exhibits</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24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Borders>
              <w:bottom w:val="single" w:sz="8" w:color="auto"/>
            </w:tcBorders>
          </w:tcPr>
          <w:p>
            <w:pPr>
              <w:spacing w:after="0"/>
              <w:rPr>
                <w:sz w:val="16"/>
                <w:szCs w:val="16"/>
                <w:color w:val="auto"/>
              </w:rPr>
            </w:pPr>
          </w:p>
        </w:tc>
        <w:tc>
          <w:tcPr>
            <w:tcW w:w="10240" w:type="dxa"/>
            <w:vAlign w:val="bottom"/>
            <w:tcBorders>
              <w:bottom w:val="single" w:sz="8" w:color="auto"/>
            </w:tcBorders>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18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2"/>
                <w:szCs w:val="12"/>
                <w:color w:val="auto"/>
              </w:rPr>
            </w:pPr>
          </w:p>
        </w:tc>
        <w:tc>
          <w:tcPr>
            <w:tcW w:w="10240" w:type="dxa"/>
            <w:vAlign w:val="bottom"/>
            <w:gridSpan w:val="20"/>
          </w:tcPr>
          <w:p>
            <w:pPr>
              <w:spacing w:after="0" w:line="140" w:lineRule="exact"/>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Restated Certificate of Incorporation of Limoneira Company, dated July 5, 1990 (Incorporated by reference to Exhibit 3.1 to the Company’s Registration Statement on Form 10,</w:t>
              </w:r>
            </w:hyperlink>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63">
              <w:r>
                <w:rPr>
                  <w:rFonts w:ascii="Times New Roman" w:cs="Times New Roman" w:eastAsia="Times New Roman" w:hAnsi="Times New Roman"/>
                  <w:sz w:val="13"/>
                  <w:szCs w:val="13"/>
                  <w:color w:val="0000FF"/>
                </w:rPr>
                <w:t>and amendments thereto, declared effective April 13, 2010 (File No. 000-53885))</w:t>
              </w:r>
            </w:hyperlink>
          </w:p>
        </w:tc>
        <w:tc>
          <w:tcPr>
            <w:tcW w:w="554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24"/>
                <w:szCs w:val="24"/>
                <w:color w:val="auto"/>
              </w:rPr>
            </w:pPr>
          </w:p>
        </w:tc>
        <w:tc>
          <w:tcPr>
            <w:tcW w:w="10240" w:type="dxa"/>
            <w:vAlign w:val="bottom"/>
            <w:gridSpan w:val="20"/>
          </w:tcPr>
          <w:p>
            <w:pPr>
              <w:spacing w:after="0"/>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Agreement of Merger Between Ronald Michaelis Ranches, Inc. and Limoneira Company, dated June 24, 1997 (Incorporated by reference to Exhibit 3.6 to the Company’s</w:t>
              </w:r>
            </w:hyperlink>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6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64">
              <w:r>
                <w:rPr>
                  <w:rFonts w:ascii="Times New Roman" w:cs="Times New Roman" w:eastAsia="Times New Roman" w:hAnsi="Times New Roman"/>
                  <w:sz w:val="13"/>
                  <w:szCs w:val="13"/>
                  <w:color w:val="0000FF"/>
                </w:rPr>
                <w:t>Registration Statement on Form 10, and amendments thereto, declared effective April 13, 2010 (File No. 000-53885))</w:t>
              </w:r>
            </w:hyperlink>
          </w:p>
        </w:tc>
        <w:tc>
          <w:tcPr>
            <w:tcW w:w="354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24"/>
                <w:szCs w:val="24"/>
                <w:color w:val="auto"/>
              </w:rPr>
            </w:pPr>
          </w:p>
        </w:tc>
        <w:tc>
          <w:tcPr>
            <w:tcW w:w="10240" w:type="dxa"/>
            <w:vAlign w:val="bottom"/>
            <w:gridSpan w:val="20"/>
          </w:tcPr>
          <w:p>
            <w:pPr>
              <w:spacing w:after="0"/>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Certificate of Amendment of Certificate of Incorporation of Limoneira Company, dated April 22, 2003 (Incorporated by reference to Exhibit 3.7 to the Company’s Registration</w:t>
              </w:r>
            </w:hyperlink>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2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65">
              <w:r>
                <w:rPr>
                  <w:rFonts w:ascii="Times New Roman" w:cs="Times New Roman" w:eastAsia="Times New Roman" w:hAnsi="Times New Roman"/>
                  <w:sz w:val="13"/>
                  <w:szCs w:val="13"/>
                  <w:color w:val="0000FF"/>
                </w:rPr>
                <w:t>Statement on Form 10, and amendments thereto, declared effective April 13, 2010 (File No. 000-53885))</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24"/>
                <w:szCs w:val="24"/>
                <w:color w:val="auto"/>
              </w:rPr>
            </w:pPr>
          </w:p>
        </w:tc>
        <w:tc>
          <w:tcPr>
            <w:tcW w:w="10240" w:type="dxa"/>
            <w:vAlign w:val="bottom"/>
            <w:gridSpan w:val="20"/>
          </w:tcPr>
          <w:p>
            <w:pPr>
              <w:spacing w:after="0"/>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Certificate of Amendment of Certificate of Incorporation of Limoneira Company, dated March 24, 2010 (Incorporated by reference to Exhibit 3.9 to the Company’s Registration</w:t>
              </w:r>
            </w:hyperlink>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6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66">
              <w:r>
                <w:rPr>
                  <w:rFonts w:ascii="Times New Roman" w:cs="Times New Roman" w:eastAsia="Times New Roman" w:hAnsi="Times New Roman"/>
                  <w:sz w:val="13"/>
                  <w:szCs w:val="13"/>
                  <w:color w:val="0000FF"/>
                </w:rPr>
                <w:t>Statement on Form 10, and amendments thereto, declared effective April 13, 2010 (File No. 000-53885))</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24"/>
                <w:szCs w:val="24"/>
                <w:color w:val="auto"/>
              </w:rPr>
            </w:pPr>
          </w:p>
        </w:tc>
        <w:tc>
          <w:tcPr>
            <w:tcW w:w="10240" w:type="dxa"/>
            <w:vAlign w:val="bottom"/>
            <w:gridSpan w:val="20"/>
          </w:tcPr>
          <w:p>
            <w:pPr>
              <w:spacing w:after="0"/>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Certificate of Amendment of Certificate of Incorporation of Limoneira Company, dated March 29, 2017 (Incorporated by reference to Exhibit 3.1 to the Company’s Current</w:t>
              </w:r>
            </w:hyperlink>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70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67">
              <w:r>
                <w:rPr>
                  <w:rFonts w:ascii="Times New Roman" w:cs="Times New Roman" w:eastAsia="Times New Roman" w:hAnsi="Times New Roman"/>
                  <w:sz w:val="13"/>
                  <w:szCs w:val="13"/>
                  <w:color w:val="0000FF"/>
                </w:rPr>
                <w:t>Report on Form 8-K, filed March 31, 2017 (File No. 001-34755))</w:t>
              </w:r>
            </w:hyperlink>
          </w:p>
        </w:tc>
        <w:tc>
          <w:tcPr>
            <w:tcW w:w="636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24"/>
                <w:szCs w:val="24"/>
                <w:color w:val="auto"/>
              </w:rPr>
            </w:pPr>
          </w:p>
        </w:tc>
        <w:tc>
          <w:tcPr>
            <w:tcW w:w="10240" w:type="dxa"/>
            <w:vAlign w:val="bottom"/>
            <w:gridSpan w:val="20"/>
          </w:tcPr>
          <w:p>
            <w:pPr>
              <w:spacing w:after="0"/>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Certificate of Amendment of Certificate of Incorporation of Limoneira Company, dated March 26, 2024 (Incorporated by reference to Exhibit 3.1 to the Company’s Current</w:t>
              </w:r>
            </w:hyperlink>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68">
              <w:r>
                <w:rPr>
                  <w:rFonts w:ascii="Times New Roman" w:cs="Times New Roman" w:eastAsia="Times New Roman" w:hAnsi="Times New Roman"/>
                  <w:sz w:val="13"/>
                  <w:szCs w:val="13"/>
                  <w:color w:val="0000FF"/>
                </w:rPr>
                <w:t>Report on Form 8-K, filed March 28, 2024)</w:t>
              </w:r>
            </w:hyperlink>
          </w:p>
        </w:tc>
        <w:tc>
          <w:tcPr>
            <w:tcW w:w="760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24"/>
                <w:szCs w:val="24"/>
                <w:color w:val="auto"/>
              </w:rPr>
            </w:pPr>
          </w:p>
        </w:tc>
        <w:tc>
          <w:tcPr>
            <w:tcW w:w="10240" w:type="dxa"/>
            <w:vAlign w:val="bottom"/>
            <w:gridSpan w:val="20"/>
          </w:tcPr>
          <w:p>
            <w:pPr>
              <w:spacing w:after="0"/>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Amended and Restated Bylaws of Limoneira Company, dated December 15, 2023 (Incorporated by reference to Exhibit 3.1 to the Company's Current Report on Form 8-K, filed</w:t>
              </w:r>
            </w:hyperlink>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8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69">
              <w:r>
                <w:rPr>
                  <w:rFonts w:ascii="Times New Roman" w:cs="Times New Roman" w:eastAsia="Times New Roman" w:hAnsi="Times New Roman"/>
                  <w:sz w:val="13"/>
                  <w:szCs w:val="13"/>
                  <w:color w:val="0000FF"/>
                </w:rPr>
                <w:t>December 18, 2023 (File No. 001-34755))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24"/>
                <w:szCs w:val="24"/>
                <w:color w:val="auto"/>
              </w:rPr>
            </w:pPr>
          </w:p>
        </w:tc>
        <w:tc>
          <w:tcPr>
            <w:tcW w:w="10240" w:type="dxa"/>
            <w:vAlign w:val="bottom"/>
            <w:gridSpan w:val="20"/>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 xml:space="preserve">Certificate of Designation, Preferences and Rights of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8.75 Voting Preferred Stock,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100.00 Par Value, Series B of Limoneira Company, dated May 21, 1997 (Incorporated by</w:t>
              </w:r>
            </w:hyperlink>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6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70">
              <w:r>
                <w:rPr>
                  <w:rFonts w:ascii="Times New Roman" w:cs="Times New Roman" w:eastAsia="Times New Roman" w:hAnsi="Times New Roman"/>
                  <w:sz w:val="13"/>
                  <w:szCs w:val="13"/>
                  <w:color w:val="0000FF"/>
                </w:rPr>
                <w:t>reference to Exhibit 3.4 to the Company’s Registration Statement on Form 10, and amendments thereto, declared effective April 13, 2010 (File No. 000-53885))</w:t>
              </w:r>
            </w:hyperlink>
          </w:p>
        </w:tc>
        <w:tc>
          <w:tcPr>
            <w:tcW w:w="104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24"/>
                <w:szCs w:val="24"/>
                <w:color w:val="auto"/>
              </w:rPr>
            </w:pPr>
          </w:p>
        </w:tc>
        <w:tc>
          <w:tcPr>
            <w:tcW w:w="10240" w:type="dxa"/>
            <w:vAlign w:val="bottom"/>
            <w:gridSpan w:val="20"/>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 xml:space="preserve">Amended Certificate of Designation, Preferences and Rights of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8.75 Voting Preferred Stock,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100.00 Par Value, Series B of Limoneira Company, dated May 21, 1997</w:t>
              </w:r>
            </w:hyperlink>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71">
              <w:r>
                <w:rPr>
                  <w:rFonts w:ascii="Times New Roman" w:cs="Times New Roman" w:eastAsia="Times New Roman" w:hAnsi="Times New Roman"/>
                  <w:sz w:val="13"/>
                  <w:szCs w:val="13"/>
                  <w:color w:val="0000FF"/>
                </w:rPr>
                <w:t>(Incorporated by reference to Exhibit 3.5 to the Company’s Registration Statement on Form 10, and amendments thereto, declared effective April 13, 2010 (File No. 000-53885))</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120" w:type="dxa"/>
            <w:vAlign w:val="bottom"/>
            <w:gridSpan w:val="6"/>
            <w:shd w:val="clear" w:color="auto" w:fill="0000FF"/>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24"/>
                <w:szCs w:val="24"/>
                <w:color w:val="auto"/>
              </w:rPr>
            </w:pPr>
          </w:p>
        </w:tc>
        <w:tc>
          <w:tcPr>
            <w:tcW w:w="10240" w:type="dxa"/>
            <w:vAlign w:val="bottom"/>
            <w:gridSpan w:val="20"/>
          </w:tcPr>
          <w:p>
            <w:pPr>
              <w:spacing w:after="0"/>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Certificate of Designation, Preferences and Rights of Series A Junior Participating Preferred Stock, $.01 Par Value, of Limoneira Company, dated November 21,</w:t>
              </w:r>
            </w:hyperlink>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2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72">
              <w:r>
                <w:rPr>
                  <w:rFonts w:ascii="Times New Roman" w:cs="Times New Roman" w:eastAsia="Times New Roman" w:hAnsi="Times New Roman"/>
                  <w:sz w:val="13"/>
                  <w:szCs w:val="13"/>
                  <w:color w:val="0000FF"/>
                </w:rPr>
                <w:t>2006 (Incorporated by reference to Exhibit 3.8 to the Company’s Registration Statement on Form 10, and amendments thereto, declared effective April 13, 2010 (File No. 000-</w:t>
              </w:r>
            </w:hyperlink>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4"/>
              </w:rPr>
            </w:pPr>
            <w:hyperlink r:id="rId72">
              <w:r>
                <w:rPr>
                  <w:rFonts w:ascii="Times New Roman" w:cs="Times New Roman" w:eastAsia="Times New Roman" w:hAnsi="Times New Roman"/>
                  <w:sz w:val="14"/>
                  <w:szCs w:val="14"/>
                  <w:color w:val="0000FF"/>
                  <w:w w:val="94"/>
                </w:rPr>
                <w:t>53885)</w:t>
              </w:r>
              <w:r>
                <w:rPr>
                  <w:rFonts w:ascii="Times New Roman" w:cs="Times New Roman" w:eastAsia="Times New Roman" w:hAnsi="Times New Roman"/>
                  <w:sz w:val="14"/>
                  <w:szCs w:val="14"/>
                  <w:u w:val="single" w:color="auto"/>
                  <w:color w:val="0000FF"/>
                  <w:w w:val="94"/>
                </w:rPr>
                <w:t>)</w:t>
              </w:r>
            </w:hyperlink>
          </w:p>
        </w:tc>
        <w:tc>
          <w:tcPr>
            <w:tcW w:w="19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4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132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40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24"/>
                <w:szCs w:val="24"/>
                <w:color w:val="auto"/>
              </w:rPr>
            </w:pPr>
          </w:p>
        </w:tc>
        <w:tc>
          <w:tcPr>
            <w:tcW w:w="10240" w:type="dxa"/>
            <w:vAlign w:val="bottom"/>
            <w:gridSpan w:val="20"/>
          </w:tcPr>
          <w:p>
            <w:pPr>
              <w:spacing w:after="0"/>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 xml:space="preserve">Certificate of Designation, Preferences and Rights of 4% Voting Preferred Stock,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100.00 Par Value, Series B-2 of Limoneira Company, dated March 20, 2014 (Incorporated by</w:t>
              </w:r>
            </w:hyperlink>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4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reference to Exhibit 3.1 to the Company’s Current Report on Form 8-K, filed March 24, 2014 (File No. 001-34755))</w:t>
              </w:r>
            </w:hyperlink>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701"/>
        </w:trPr>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top w:val="single" w:sz="8" w:color="0000FF"/>
            </w:tcBorders>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46</w:t>
            </w:r>
          </w:p>
        </w:tc>
        <w:tc>
          <w:tcPr>
            <w:tcW w:w="13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6" w:name="page47"/>
    <w:bookmarkEnd w:id="46"/>
    <w:tbl>
      <w:tblPr>
        <w:tblLayout w:type="fixed"/>
        <w:tblInd w:w="1"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8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w:t>
            </w:r>
          </w:p>
        </w:tc>
        <w:tc>
          <w:tcPr>
            <w:tcW w:w="10080" w:type="dxa"/>
            <w:vAlign w:val="bottom"/>
            <w:gridSpan w:val="7"/>
          </w:tcPr>
          <w:p>
            <w:pPr>
              <w:spacing w:after="0" w:line="153" w:lineRule="exact"/>
              <w:rPr>
                <w:sz w:val="20"/>
                <w:szCs w:val="20"/>
                <w:color w:val="auto"/>
              </w:rPr>
            </w:pPr>
            <w:r>
              <w:rPr>
                <w:rFonts w:ascii="Times New Roman" w:cs="Times New Roman" w:eastAsia="Times New Roman" w:hAnsi="Times New Roman"/>
                <w:sz w:val="14"/>
                <w:szCs w:val="14"/>
                <w:color w:val="0000FF"/>
              </w:rPr>
              <w:t>Change in Control Agreement, dated as of July 24, 2024, between Limoneira Company and Harold Edwards</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100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Change in Control Agreement, dated as of July 24, 2024, between Limoneira Company and Mark Palamountain</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Exchange Act Rule 13a-14(a) and 15d-14(a)</w:t>
            </w:r>
          </w:p>
        </w:tc>
        <w:tc>
          <w:tcPr>
            <w:tcW w:w="37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8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Exchange Act Rule 13a-14(a) and 15d-14(a)</w:t>
            </w:r>
          </w:p>
        </w:tc>
        <w:tc>
          <w:tcPr>
            <w:tcW w:w="20" w:type="dxa"/>
            <w:vAlign w:val="bottom"/>
            <w:tcBorders>
              <w:top w:val="single" w:sz="8" w:color="0000FF"/>
            </w:tcBorders>
          </w:tcPr>
          <w:p>
            <w:pPr>
              <w:spacing w:after="0"/>
              <w:rPr>
                <w:sz w:val="24"/>
                <w:szCs w:val="24"/>
                <w:color w:val="auto"/>
              </w:rPr>
            </w:pPr>
          </w:p>
        </w:tc>
        <w:tc>
          <w:tcPr>
            <w:tcW w:w="4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100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8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18 U.S.C. Section 1350, as adopted pursuant to Section 906 of the Sarbanes-Oxley Act of 2002</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720" w:type="dxa"/>
            <w:vAlign w:val="bottom"/>
            <w:gridSpan w:val="5"/>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information from the Company's Quarterly Report on Form 10-Q for the quarter ended July 31, 2024 formatted in Inline XBRL (Extensible Business Reporting</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080" w:type="dxa"/>
            <w:vAlign w:val="bottom"/>
            <w:gridSpan w:val="7"/>
          </w:tcPr>
          <w:p>
            <w:pPr>
              <w:spacing w:after="0" w:line="145" w:lineRule="exact"/>
              <w:rPr>
                <w:sz w:val="20"/>
                <w:szCs w:val="20"/>
                <w:color w:val="auto"/>
              </w:rPr>
            </w:pPr>
            <w:r>
              <w:rPr>
                <w:rFonts w:ascii="Times New Roman" w:cs="Times New Roman" w:eastAsia="Times New Roman" w:hAnsi="Times New Roman"/>
                <w:sz w:val="14"/>
                <w:szCs w:val="14"/>
                <w:color w:val="auto"/>
              </w:rPr>
              <w:t>Language) includes: (i) the Consolidated Balance Sheets (Unaudited), (ii) the Consolidated Statements of Operations (Unaudited), (iii) the Consolidated Statements of</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80" w:type="dxa"/>
            <w:vAlign w:val="bottom"/>
            <w:gridSpan w:val="7"/>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 (Loss) (Unaudited), (iv) the Consolidated Statements of Stockholders' Equity and Temporary Equity (Unaudited), (v) the Consolidated Statements of</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6"/>
                <w:szCs w:val="16"/>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Cash Flows (Unaudited), and (vi) the Notes to Consolidated Financial Statements (Unaudited)</w:t>
            </w:r>
          </w:p>
        </w:tc>
        <w:tc>
          <w:tcPr>
            <w:tcW w:w="0" w:type="dxa"/>
            <w:vAlign w:val="bottom"/>
          </w:tcPr>
          <w:p>
            <w:pPr>
              <w:spacing w:after="0"/>
              <w:rPr>
                <w:sz w:val="1"/>
                <w:szCs w:val="1"/>
                <w:color w:val="auto"/>
              </w:rPr>
            </w:pPr>
          </w:p>
        </w:tc>
      </w:tr>
      <w:tr>
        <w:trPr>
          <w:trHeight w:val="293"/>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cover page for the Company's Quarterly Report on Form 10-Q for the quarter ended July 31, 2024 has been formatted in Inline XBRL</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1" w:hanging="261"/>
        <w:spacing w:after="0"/>
        <w:tabs>
          <w:tab w:leader="none" w:pos="26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management contracts and compensatory plans or arrangements.</w:t>
      </w:r>
    </w:p>
    <w:p>
      <w:pPr>
        <w:spacing w:after="0" w:line="62" w:lineRule="exact"/>
        <w:rPr>
          <w:sz w:val="20"/>
          <w:szCs w:val="20"/>
          <w:color w:val="auto"/>
        </w:rPr>
      </w:pPr>
    </w:p>
    <w:p>
      <w:pPr>
        <w:jc w:val="both"/>
        <w:ind w:left="261" w:hanging="261"/>
        <w:spacing w:after="0" w:line="226" w:lineRule="auto"/>
        <w:tabs>
          <w:tab w:leader="none" w:pos="26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1"/>
          </w:cols>
          <w:pgMar w:left="319" w:top="1029" w:right="339" w:bottom="1440" w:gutter="0" w:footer="0" w:header="0"/>
        </w:sectPr>
      </w:pPr>
    </w:p>
    <w:bookmarkStart w:id="47" w:name="page48"/>
    <w:bookmarkEnd w:id="47"/>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3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thereunto duly authorized.</w:t>
      </w:r>
    </w:p>
    <w:p>
      <w:pPr>
        <w:spacing w:after="0" w:line="1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LIMONEIRA COMPANY</w:t>
      </w:r>
    </w:p>
    <w:p>
      <w:pPr>
        <w:spacing w:after="0" w:line="200" w:lineRule="exact"/>
        <w:rPr>
          <w:sz w:val="20"/>
          <w:szCs w:val="20"/>
          <w:color w:val="auto"/>
        </w:rPr>
      </w:pPr>
    </w:p>
    <w:p>
      <w:pPr>
        <w:ind w:left="20"/>
        <w:spacing w:after="0"/>
        <w:tabs>
          <w:tab w:leader="none" w:pos="5120" w:val="left"/>
          <w:tab w:leader="none" w:pos="5660" w:val="left"/>
        </w:tabs>
        <w:rPr>
          <w:sz w:val="20"/>
          <w:szCs w:val="20"/>
          <w:color w:val="auto"/>
        </w:rPr>
      </w:pPr>
      <w:r>
        <w:rPr>
          <w:rFonts w:ascii="Times New Roman" w:cs="Times New Roman" w:eastAsia="Times New Roman" w:hAnsi="Times New Roman"/>
          <w:sz w:val="14"/>
          <w:szCs w:val="14"/>
          <w:color w:val="auto"/>
        </w:rPr>
        <w:t>September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28575</wp:posOffset>
            </wp:positionV>
            <wp:extent cx="357060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Harold S. Edwards</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Director, President and Chief Executive Officer</w:t>
      </w:r>
    </w:p>
    <w:p>
      <w:pPr>
        <w:spacing w:after="0" w:line="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96" w:lineRule="exact"/>
        <w:rPr>
          <w:sz w:val="20"/>
          <w:szCs w:val="20"/>
          <w:color w:val="auto"/>
        </w:rPr>
      </w:pPr>
    </w:p>
    <w:p>
      <w:pPr>
        <w:ind w:left="20"/>
        <w:spacing w:after="0"/>
        <w:tabs>
          <w:tab w:leader="none" w:pos="5120" w:val="left"/>
          <w:tab w:leader="none" w:pos="5660" w:val="left"/>
        </w:tabs>
        <w:rPr>
          <w:sz w:val="20"/>
          <w:szCs w:val="20"/>
          <w:color w:val="auto"/>
        </w:rPr>
      </w:pPr>
      <w:r>
        <w:rPr>
          <w:rFonts w:ascii="Times New Roman" w:cs="Times New Roman" w:eastAsia="Times New Roman" w:hAnsi="Times New Roman"/>
          <w:sz w:val="14"/>
          <w:szCs w:val="14"/>
          <w:color w:val="auto"/>
        </w:rPr>
        <w:t>September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28575</wp:posOffset>
            </wp:positionV>
            <wp:extent cx="357060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Mark Palamountain</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Executive Vice President, Chief Financial Officer and Treasurer</w:t>
      </w:r>
    </w:p>
    <w:p>
      <w:pPr>
        <w:spacing w:after="0" w:line="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060"/>
          </w:cols>
          <w:pgMar w:left="300" w:top="316" w:right="539" w:bottom="1440"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Exchange Act Rule 13a-14(a) and 15d-14(a)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Harold S. Edwards, certify that:</w:t>
      </w:r>
    </w:p>
    <w:p>
      <w:pPr>
        <w:spacing w:after="0" w:line="200" w:lineRule="exact"/>
        <w:rPr>
          <w:sz w:val="20"/>
          <w:szCs w:val="20"/>
          <w:color w:val="auto"/>
        </w:rPr>
      </w:pPr>
    </w:p>
    <w:p>
      <w:pPr>
        <w:ind w:left="280" w:hanging="243"/>
        <w:spacing w:after="0"/>
        <w:tabs>
          <w:tab w:leader="none" w:pos="2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Limoneira Company (the “Registrant”);</w:t>
      </w:r>
    </w:p>
    <w:p>
      <w:pPr>
        <w:spacing w:after="0" w:line="199" w:lineRule="exact"/>
        <w:rPr>
          <w:rFonts w:ascii="Times New Roman" w:cs="Times New Roman" w:eastAsia="Times New Roman" w:hAnsi="Times New Roman"/>
          <w:sz w:val="14"/>
          <w:szCs w:val="14"/>
          <w:color w:val="auto"/>
        </w:rPr>
      </w:pPr>
    </w:p>
    <w:p>
      <w:pPr>
        <w:ind w:left="360" w:hanging="323"/>
        <w:spacing w:after="0" w:line="287" w:lineRule="auto"/>
        <w:tabs>
          <w:tab w:leader="none" w:pos="30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360" w:hanging="323"/>
        <w:spacing w:after="0" w:line="287" w:lineRule="auto"/>
        <w:tabs>
          <w:tab w:leader="none" w:pos="31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360" w:hanging="323"/>
        <w:spacing w:after="0" w:line="287" w:lineRule="auto"/>
        <w:tabs>
          <w:tab w:leader="none" w:pos="31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699"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36"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4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03"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360" w:hanging="323"/>
        <w:spacing w:after="0" w:line="287" w:lineRule="auto"/>
        <w:tabs>
          <w:tab w:leader="none" w:pos="29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05"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0"/>
        <w:spacing w:after="0"/>
        <w:tabs>
          <w:tab w:leader="none" w:pos="5920" w:val="left"/>
        </w:tabs>
        <w:rPr>
          <w:sz w:val="20"/>
          <w:szCs w:val="20"/>
          <w:color w:val="auto"/>
        </w:rPr>
      </w:pPr>
      <w:r>
        <w:rPr>
          <w:rFonts w:ascii="Times New Roman" w:cs="Times New Roman" w:eastAsia="Times New Roman" w:hAnsi="Times New Roman"/>
          <w:sz w:val="14"/>
          <w:szCs w:val="14"/>
          <w:color w:val="auto"/>
        </w:rPr>
        <w:t>September 9, 2024</w:t>
      </w:r>
      <w:r>
        <w:rPr>
          <w:sz w:val="20"/>
          <w:szCs w:val="20"/>
          <w:color w:val="auto"/>
        </w:rPr>
        <w:tab/>
      </w:r>
      <w:r>
        <w:rPr>
          <w:rFonts w:ascii="Times New Roman" w:cs="Times New Roman" w:eastAsia="Times New Roman" w:hAnsi="Times New Roman"/>
          <w:sz w:val="14"/>
          <w:szCs w:val="14"/>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62230</wp:posOffset>
            </wp:positionV>
            <wp:extent cx="339534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3395345" cy="6985"/>
                    </a:xfrm>
                    <a:prstGeom prst="rect">
                      <a:avLst/>
                    </a:prstGeom>
                    <a:noFill/>
                  </pic:spPr>
                </pic:pic>
              </a:graphicData>
            </a:graphic>
          </wp:anchor>
        </w:drawing>
      </w:r>
    </w:p>
    <w:p>
      <w:pPr>
        <w:spacing w:after="0" w:line="8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Harold S. Edwards,</w:t>
      </w:r>
    </w:p>
    <w:p>
      <w:pPr>
        <w:spacing w:after="0" w:line="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Director, President and Chief Executive Officer</w:t>
      </w:r>
    </w:p>
    <w:p>
      <w:pPr>
        <w:spacing w:after="0" w:line="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Exchange Act Rule 13a-14(a) and 15d-14(a)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Mark Palamountain, certify that:</w:t>
      </w:r>
    </w:p>
    <w:p>
      <w:pPr>
        <w:spacing w:after="0" w:line="200" w:lineRule="exact"/>
        <w:rPr>
          <w:sz w:val="20"/>
          <w:szCs w:val="20"/>
          <w:color w:val="auto"/>
        </w:rPr>
      </w:pPr>
    </w:p>
    <w:p>
      <w:pPr>
        <w:ind w:left="280" w:hanging="243"/>
        <w:spacing w:after="0"/>
        <w:tabs>
          <w:tab w:leader="none" w:pos="2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Limoneira Company (the “Registrant”);</w:t>
      </w:r>
    </w:p>
    <w:p>
      <w:pPr>
        <w:spacing w:after="0" w:line="199" w:lineRule="exact"/>
        <w:rPr>
          <w:rFonts w:ascii="Times New Roman" w:cs="Times New Roman" w:eastAsia="Times New Roman" w:hAnsi="Times New Roman"/>
          <w:sz w:val="14"/>
          <w:szCs w:val="14"/>
          <w:color w:val="auto"/>
        </w:rPr>
      </w:pPr>
    </w:p>
    <w:p>
      <w:pPr>
        <w:ind w:left="360" w:hanging="323"/>
        <w:spacing w:after="0" w:line="287" w:lineRule="auto"/>
        <w:tabs>
          <w:tab w:leader="none" w:pos="30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360" w:hanging="323"/>
        <w:spacing w:after="0" w:line="287" w:lineRule="auto"/>
        <w:tabs>
          <w:tab w:leader="none" w:pos="31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360" w:hanging="323"/>
        <w:spacing w:after="0" w:line="287" w:lineRule="auto"/>
        <w:tabs>
          <w:tab w:leader="none" w:pos="31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699"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36"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48"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700" w:hanging="313"/>
        <w:spacing w:after="0" w:line="263" w:lineRule="auto"/>
        <w:tabs>
          <w:tab w:leader="none" w:pos="703"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60" w:hanging="323"/>
        <w:spacing w:after="0" w:line="266" w:lineRule="auto"/>
        <w:tabs>
          <w:tab w:leader="none" w:pos="29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4"/>
          <w:szCs w:val="14"/>
          <w:color w:val="auto"/>
        </w:rPr>
      </w:pPr>
    </w:p>
    <w:p>
      <w:pPr>
        <w:ind w:left="700" w:hanging="313"/>
        <w:spacing w:after="0" w:line="287" w:lineRule="auto"/>
        <w:tabs>
          <w:tab w:leader="none" w:pos="705"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0"/>
        <w:spacing w:after="0"/>
        <w:tabs>
          <w:tab w:leader="none" w:pos="5920" w:val="left"/>
        </w:tabs>
        <w:rPr>
          <w:sz w:val="20"/>
          <w:szCs w:val="20"/>
          <w:color w:val="auto"/>
        </w:rPr>
      </w:pPr>
      <w:r>
        <w:rPr>
          <w:rFonts w:ascii="Times New Roman" w:cs="Times New Roman" w:eastAsia="Times New Roman" w:hAnsi="Times New Roman"/>
          <w:sz w:val="14"/>
          <w:szCs w:val="14"/>
          <w:color w:val="auto"/>
        </w:rPr>
        <w:t>September 9, 2024</w:t>
      </w:r>
      <w:r>
        <w:rPr>
          <w:sz w:val="20"/>
          <w:szCs w:val="20"/>
          <w:color w:val="auto"/>
        </w:rPr>
        <w:tab/>
      </w:r>
      <w:r>
        <w:rPr>
          <w:rFonts w:ascii="Times New Roman" w:cs="Times New Roman" w:eastAsia="Times New Roman" w:hAnsi="Times New Roman"/>
          <w:sz w:val="14"/>
          <w:szCs w:val="14"/>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62230</wp:posOffset>
            </wp:positionV>
            <wp:extent cx="339534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3395345" cy="6985"/>
                    </a:xfrm>
                    <a:prstGeom prst="rect">
                      <a:avLst/>
                    </a:prstGeom>
                    <a:noFill/>
                  </pic:spPr>
                </pic:pic>
              </a:graphicData>
            </a:graphic>
          </wp:anchor>
        </w:drawing>
      </w:r>
    </w:p>
    <w:p>
      <w:pPr>
        <w:spacing w:after="0" w:line="8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Mark Palamountain,</w:t>
      </w:r>
    </w:p>
    <w:p>
      <w:pPr>
        <w:spacing w:after="0" w:line="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Treasurer</w:t>
      </w:r>
    </w:p>
    <w:p>
      <w:pPr>
        <w:spacing w:after="0" w:line="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ectPr>
          <w:pgSz w:w="11900" w:h="16838" w:orient="portrait"/>
          <w:cols w:equalWidth="0" w:num="1">
            <w:col w:w="11280"/>
          </w:cols>
          <w:pgMar w:left="300" w:top="727" w:right="3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 (18 U.S.C. 1350)</w:t>
      </w:r>
    </w:p>
    <w:p>
      <w:pPr>
        <w:spacing w:after="0" w:line="185"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quarter ended July 31, 2024 (the “Report”) of Limoneira Company (the “Registrant”), as filed with the Securities and Exchange Commission on the date hereof, I, Harold S. Edwards, Director, President and Chief Executive Officer of the Registrant, hereby certify that:</w:t>
      </w:r>
    </w:p>
    <w:p>
      <w:pPr>
        <w:spacing w:after="0" w:line="29" w:lineRule="exact"/>
        <w:rPr>
          <w:sz w:val="20"/>
          <w:szCs w:val="20"/>
          <w:color w:val="auto"/>
        </w:rPr>
      </w:pPr>
    </w:p>
    <w:p>
      <w:pPr>
        <w:ind w:left="700" w:hanging="313"/>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72"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95" w:lineRule="exact"/>
        <w:rPr>
          <w:sz w:val="20"/>
          <w:szCs w:val="20"/>
          <w:color w:val="auto"/>
        </w:rPr>
      </w:pPr>
    </w:p>
    <w:p>
      <w:pPr>
        <w:ind w:left="20"/>
        <w:spacing w:after="0"/>
        <w:tabs>
          <w:tab w:leader="none" w:pos="6160" w:val="left"/>
        </w:tabs>
        <w:rPr>
          <w:sz w:val="20"/>
          <w:szCs w:val="20"/>
          <w:color w:val="auto"/>
        </w:rPr>
      </w:pPr>
      <w:r>
        <w:rPr>
          <w:rFonts w:ascii="Times New Roman" w:cs="Times New Roman" w:eastAsia="Times New Roman" w:hAnsi="Times New Roman"/>
          <w:sz w:val="14"/>
          <w:szCs w:val="14"/>
          <w:color w:val="auto"/>
        </w:rPr>
        <w:t>September 9, 2024</w:t>
      </w:r>
      <w:r>
        <w:rPr>
          <w:sz w:val="20"/>
          <w:szCs w:val="20"/>
          <w:color w:val="auto"/>
        </w:rPr>
        <w:tab/>
      </w:r>
      <w:r>
        <w:rPr>
          <w:rFonts w:ascii="Times New Roman" w:cs="Times New Roman" w:eastAsia="Times New Roman" w:hAnsi="Times New Roman"/>
          <w:sz w:val="14"/>
          <w:szCs w:val="14"/>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62230</wp:posOffset>
            </wp:positionV>
            <wp:extent cx="324739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3247390" cy="6985"/>
                    </a:xfrm>
                    <a:prstGeom prst="rect">
                      <a:avLst/>
                    </a:prstGeom>
                    <a:noFill/>
                  </pic:spPr>
                </pic:pic>
              </a:graphicData>
            </a:graphic>
          </wp:anchor>
        </w:drawing>
      </w:r>
    </w:p>
    <w:p>
      <w:pPr>
        <w:spacing w:after="0" w:line="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Harold S. Edwards,</w:t>
      </w:r>
    </w:p>
    <w:p>
      <w:pPr>
        <w:spacing w:after="0" w:line="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Director, President and Chief Executive Officer</w:t>
      </w:r>
    </w:p>
    <w:p>
      <w:pPr>
        <w:spacing w:after="0" w:line="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632" w:right="3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 (18 U.S.C. 1350)</w:t>
      </w:r>
    </w:p>
    <w:p>
      <w:pPr>
        <w:spacing w:after="0" w:line="185"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quarter ended July 31, 2024 (the “Report”) of Limoneira Company (the “Registrant”), as filed with the Securities and Exchange Commission on the date hereof, I, Mark Palamountain, Executive Vice President, Chief Financial Officer and Treasurer of the Registrant, hereby certify that:</w:t>
      </w:r>
    </w:p>
    <w:p>
      <w:pPr>
        <w:spacing w:after="0" w:line="29" w:lineRule="exact"/>
        <w:rPr>
          <w:sz w:val="20"/>
          <w:szCs w:val="20"/>
          <w:color w:val="auto"/>
        </w:rPr>
      </w:pPr>
    </w:p>
    <w:p>
      <w:pPr>
        <w:ind w:left="700" w:hanging="313"/>
        <w:spacing w:after="0"/>
        <w:tabs>
          <w:tab w:leader="none" w:pos="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72"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85" w:lineRule="exact"/>
        <w:rPr>
          <w:sz w:val="20"/>
          <w:szCs w:val="20"/>
          <w:color w:val="auto"/>
        </w:rPr>
      </w:pPr>
    </w:p>
    <w:p>
      <w:pPr>
        <w:ind w:left="20"/>
        <w:spacing w:after="0"/>
        <w:tabs>
          <w:tab w:leader="none" w:pos="6160" w:val="left"/>
        </w:tabs>
        <w:rPr>
          <w:sz w:val="20"/>
          <w:szCs w:val="20"/>
          <w:color w:val="auto"/>
        </w:rPr>
      </w:pPr>
      <w:r>
        <w:rPr>
          <w:rFonts w:ascii="Times New Roman" w:cs="Times New Roman" w:eastAsia="Times New Roman" w:hAnsi="Times New Roman"/>
          <w:sz w:val="14"/>
          <w:szCs w:val="14"/>
          <w:color w:val="auto"/>
        </w:rPr>
        <w:t>September 9, 2024</w:t>
      </w:r>
      <w:r>
        <w:rPr>
          <w:sz w:val="20"/>
          <w:szCs w:val="20"/>
          <w:color w:val="auto"/>
        </w:rPr>
        <w:tab/>
      </w:r>
      <w:r>
        <w:rPr>
          <w:rFonts w:ascii="Times New Roman" w:cs="Times New Roman" w:eastAsia="Times New Roman" w:hAnsi="Times New Roman"/>
          <w:sz w:val="14"/>
          <w:szCs w:val="14"/>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62230</wp:posOffset>
            </wp:positionV>
            <wp:extent cx="324739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3247390" cy="6985"/>
                    </a:xfrm>
                    <a:prstGeom prst="rect">
                      <a:avLst/>
                    </a:prstGeom>
                    <a:noFill/>
                  </pic:spPr>
                </pic:pic>
              </a:graphicData>
            </a:graphic>
          </wp:anchor>
        </w:drawing>
      </w:r>
    </w:p>
    <w:p>
      <w:pPr>
        <w:spacing w:after="0" w:line="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Mark Palamountain,</w:t>
      </w:r>
    </w:p>
    <w:p>
      <w:pPr>
        <w:spacing w:after="0" w:line="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Treasurer</w:t>
      </w:r>
    </w:p>
    <w:p>
      <w:pPr>
        <w:spacing w:after="0" w:line="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sectPr>
      <w:pgSz w:w="11900" w:h="16838" w:orient="portrait"/>
      <w:cols w:equalWidth="0" w:num="1">
        <w:col w:w="11280"/>
      </w:cols>
      <w:pgMar w:left="300" w:top="6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1."/>
      <w:numFmt w:val="decimal"/>
      <w:start w:val="2"/>
    </w:lvl>
  </w:abstractNum>
  <w:abstractNum w:abstractNumId="6">
    <w:nsid w:val="6763845E"/>
    <w:multiLevelType w:val="hybridMultilevel"/>
    <w:lvl w:ilvl="0">
      <w:lvlJc w:val="left"/>
      <w:lvlText w:val="%1."/>
      <w:numFmt w:val="decimal"/>
      <w:start w:val="3"/>
    </w:lvl>
  </w:abstractNum>
  <w:abstractNum w:abstractNumId="7">
    <w:nsid w:val="75A2A8D4"/>
    <w:multiLevelType w:val="hybridMultilevel"/>
    <w:lvl w:ilvl="0">
      <w:lvlJc w:val="left"/>
      <w:lvlText w:val="%1."/>
      <w:numFmt w:val="decimal"/>
      <w:start w:val="3"/>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5"/>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lvl w:ilvl="1">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63" Type="http://schemas.openxmlformats.org/officeDocument/2006/relationships/hyperlink" Target="https://www.sec.gov/Archives/edgar/data/1342423/000114420410007241/v173157_ex3-1.htm" TargetMode="External"/><Relationship Id="rId64" Type="http://schemas.openxmlformats.org/officeDocument/2006/relationships/hyperlink" Target="https://www.sec.gov/Archives/edgar/data/1342423/000114420410007241/v173157_ex3-6.htm" TargetMode="External"/><Relationship Id="rId65" Type="http://schemas.openxmlformats.org/officeDocument/2006/relationships/hyperlink" Target="https://www.sec.gov/Archives/edgar/data/1342423/000114420410007241/v173157_ex3-7.htm" TargetMode="External"/><Relationship Id="rId66" Type="http://schemas.openxmlformats.org/officeDocument/2006/relationships/hyperlink" Target="https://www.sec.gov/Archives/edgar/data/1342423/000114420410017415/v178900_ex3-9.htm" TargetMode="External"/><Relationship Id="rId67" Type="http://schemas.openxmlformats.org/officeDocument/2006/relationships/hyperlink" Target="https://www.sec.gov/Archives/edgar/data/1342423/000114420417018212/v463210_ex3-1.htm" TargetMode="External"/><Relationship Id="rId68" Type="http://schemas.openxmlformats.org/officeDocument/2006/relationships/hyperlink" Target="https://www.sec.gov/Archives/edgar/data/1342423/000110465924040501/tm249848d1_ex3-1.htm" TargetMode="External"/><Relationship Id="rId69" Type="http://schemas.openxmlformats.org/officeDocument/2006/relationships/hyperlink" Target="https://www.sec.gov/Archives/edgar/data/1342423/000110465923126652/tm2333025d1_ex3-1.htm" TargetMode="External"/><Relationship Id="rId70" Type="http://schemas.openxmlformats.org/officeDocument/2006/relationships/hyperlink" Target="https://www.sec.gov/Archives/edgar/data/1342423/000114420410007241/v173157_ex3-4.htm" TargetMode="External"/><Relationship Id="rId71" Type="http://schemas.openxmlformats.org/officeDocument/2006/relationships/hyperlink" Target="https://www.sec.gov/Archives/edgar/data/1342423/000114420410007241/v173157_ex3-5.htm" TargetMode="External"/><Relationship Id="rId72" Type="http://schemas.openxmlformats.org/officeDocument/2006/relationships/hyperlink" Target="https://www.sec.gov/Archives/edgar/data/1342423/000114420410007241/v173157_ex3-8.htm" TargetMode="External"/><Relationship Id="rId73" Type="http://schemas.openxmlformats.org/officeDocument/2006/relationships/hyperlink" Target="https://www.sec.gov/Archives/edgar/data/1342423/000114420414017379/v372494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2024-09-09T15:17:42Z</dcterms:created>
  <dcterms:modified xsi:type="dcterms:W3CDTF">2024-09-09T15:17:42Z</dcterms:modified>
</cp:coreProperties>
</file>