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FORM 10-Q</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80"/>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28"/>
        </w:rPr>
        <w:t>January 31,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160"/>
        <w:jc w:val="center"/>
        <w:rPr/>
      </w:pPr>
      <w:r>
        <w:rPr>
          <w:rFonts w:ascii="Times New Roman;serif" w:hAnsi="Times New Roman;serif"/>
          <w:b/>
          <w:color w:val="000000"/>
          <w:sz w:val="18"/>
        </w:rPr>
        <w:t>Commission File Number: 001-347</w:t>
      </w:r>
      <w:r>
        <w:rPr>
          <w:rFonts w:ascii="Times New Roman;serif" w:hAnsi="Times New Roman;serif"/>
          <w:b/>
          <w:color w:val="000000"/>
          <w:sz w:val="20"/>
        </w:rPr>
        <w:t>55</w:t>
      </w:r>
    </w:p>
    <w:tbl>
      <w:tblPr>
        <w:tblW w:w="5639" w:type="dxa"/>
        <w:jc w:val="center"/>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LIMONEIRA COMPANY</w:t>
            </w:r>
          </w:p>
        </w:tc>
      </w:tr>
      <w:tr>
        <w:trPr/>
        <w:tc>
          <w:tcPr>
            <w:tcW w:w="5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7350" w:type="dxa"/>
        <w:jc w:val="left"/>
        <w:tblInd w:w="0" w:type="dxa"/>
        <w:tblLayout w:type="fixed"/>
        <w:tblCellMar>
          <w:top w:w="28" w:type="dxa"/>
          <w:left w:w="28" w:type="dxa"/>
          <w:bottom w:w="28" w:type="dxa"/>
          <w:right w:w="28" w:type="dxa"/>
        </w:tblCellMar>
      </w:tblPr>
      <w:tblGrid>
        <w:gridCol w:w="1560"/>
        <w:gridCol w:w="1374"/>
        <w:gridCol w:w="1386"/>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77-0260692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3899" w:type="dxa"/>
        <w:jc w:val="left"/>
        <w:tblInd w:w="0" w:type="dxa"/>
        <w:tblLayout w:type="fixed"/>
        <w:tblCellMar>
          <w:top w:w="28" w:type="dxa"/>
          <w:left w:w="28" w:type="dxa"/>
          <w:bottom w:w="28" w:type="dxa"/>
          <w:right w:w="28" w:type="dxa"/>
        </w:tblCellMar>
      </w:tblPr>
      <w:tblGrid>
        <w:gridCol w:w="1248"/>
        <w:gridCol w:w="1096"/>
        <w:gridCol w:w="155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1141 Cummings Road</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Santa Paula, CA 93060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(805) 525-5541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393" w:type="dxa"/>
        <w:jc w:val="left"/>
        <w:tblInd w:w="0" w:type="dxa"/>
        <w:tblLayout w:type="fixed"/>
        <w:tblCellMar>
          <w:top w:w="28" w:type="dxa"/>
          <w:left w:w="28" w:type="dxa"/>
          <w:bottom w:w="28" w:type="dxa"/>
          <w:right w:w="28" w:type="dxa"/>
        </w:tblCellMar>
      </w:tblPr>
      <w:tblGrid>
        <w:gridCol w:w="933"/>
        <w:gridCol w:w="821"/>
        <w:gridCol w:w="826"/>
        <w:gridCol w:w="444"/>
        <w:gridCol w:w="444"/>
        <w:gridCol w:w="446"/>
        <w:gridCol w:w="1019"/>
        <w:gridCol w:w="1019"/>
        <w:gridCol w:w="144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LMNR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57" w:type="dxa"/>
        <w:jc w:val="left"/>
        <w:tblInd w:w="0" w:type="dxa"/>
        <w:tblLayout w:type="fixed"/>
        <w:tblCellMar>
          <w:top w:w="28" w:type="dxa"/>
          <w:left w:w="28" w:type="dxa"/>
          <w:bottom w:w="28" w:type="dxa"/>
          <w:right w:w="28" w:type="dxa"/>
        </w:tblCellMar>
      </w:tblPr>
      <w:tblGrid>
        <w:gridCol w:w="679"/>
        <w:gridCol w:w="597"/>
        <w:gridCol w:w="599"/>
        <w:gridCol w:w="489"/>
        <w:gridCol w:w="489"/>
        <w:gridCol w:w="491"/>
        <w:gridCol w:w="594"/>
        <w:gridCol w:w="594"/>
        <w:gridCol w:w="596"/>
        <w:gridCol w:w="444"/>
        <w:gridCol w:w="444"/>
        <w:gridCol w:w="446"/>
        <w:gridCol w:w="408"/>
        <w:gridCol w:w="408"/>
        <w:gridCol w:w="57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Smaller reporting</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company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company ☐</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February 28, 2026, there were 18,106,877 shares outstanding of the registrant’s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8"/>
        <w:gridCol w:w="3133"/>
        <w:gridCol w:w="3140"/>
        <w:gridCol w:w="109"/>
        <w:gridCol w:w="109"/>
        <w:gridCol w:w="156"/>
      </w:tblGrid>
      <w:tr>
        <w:trPr/>
        <w:tc>
          <w:tcPr>
            <w:tcW w:w="3558"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721">
              <w:r>
                <w:rPr>
                  <w:rStyle w:val="InternetLink"/>
                  <w:rFonts w:ascii="Times New Roman;serif" w:hAnsi="Times New Roman;serif"/>
                  <w:b w:val="false"/>
                  <w:color w:val="0000FF"/>
                  <w:sz w:val="20"/>
                  <w:u w:val="single"/>
                </w:rPr>
                <w:t>5</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724">
              <w:r>
                <w:rPr>
                  <w:rStyle w:val="InternetLink"/>
                  <w:rFonts w:ascii="Times New Roman;serif" w:hAnsi="Times New Roman;serif"/>
                  <w:b w:val="false"/>
                  <w:color w:val="0000FF"/>
                  <w:sz w:val="20"/>
                  <w:u w:val="single"/>
                </w:rPr>
                <w:t>5</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January 31, 2026 and October 31, 2025</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265">
              <w:r>
                <w:rPr>
                  <w:rStyle w:val="InternetLink"/>
                  <w:rFonts w:ascii="Times New Roman;serif" w:hAnsi="Times New Roman;serif"/>
                  <w:b w:val="false"/>
                  <w:color w:val="0000FF"/>
                  <w:sz w:val="20"/>
                  <w:u w:val="single"/>
                </w:rPr>
                <w:t>5</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 three months ended January 31, 2026 and 2025</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268">
              <w:r>
                <w:rPr>
                  <w:rStyle w:val="InternetLink"/>
                  <w:rFonts w:ascii="Times New Roman;serif" w:hAnsi="Times New Roman;serif"/>
                  <w:b w:val="false"/>
                  <w:color w:val="0000FF"/>
                  <w:sz w:val="20"/>
                  <w:u w:val="single"/>
                </w:rPr>
                <w:t>6</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 three months ended January 31, 2026 and 2025</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274">
              <w:r>
                <w:rPr>
                  <w:rStyle w:val="InternetLink"/>
                  <w:rFonts w:ascii="Times New Roman;serif" w:hAnsi="Times New Roman;serif"/>
                  <w:b w:val="false"/>
                  <w:color w:val="0000FF"/>
                  <w:sz w:val="20"/>
                  <w:u w:val="single"/>
                </w:rPr>
                <w:t>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and Temporary Equity – three months ended January 31, 2026 and 2025</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42">
              <w:r>
                <w:rPr>
                  <w:rStyle w:val="InternetLink"/>
                  <w:rFonts w:ascii="Times New Roman;serif" w:hAnsi="Times New Roman;serif"/>
                  <w:b w:val="false"/>
                  <w:color w:val="0000FF"/>
                  <w:sz w:val="20"/>
                  <w:u w:val="single"/>
                </w:rPr>
                <w:t>8</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three months ended January 31, 2026 and 2025</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280">
              <w:r>
                <w:rPr>
                  <w:rStyle w:val="InternetLink"/>
                  <w:rFonts w:ascii="Times New Roman;serif" w:hAnsi="Times New Roman;serif"/>
                  <w:b w:val="false"/>
                  <w:color w:val="0000FF"/>
                  <w:sz w:val="20"/>
                  <w:u w:val="single"/>
                </w:rPr>
                <w:t>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286">
              <w:r>
                <w:rPr>
                  <w:rStyle w:val="InternetLink"/>
                  <w:rFonts w:ascii="Times New Roman;serif" w:hAnsi="Times New Roman;serif"/>
                  <w:b w:val="false"/>
                  <w:color w:val="0000FF"/>
                  <w:sz w:val="20"/>
                  <w:u w:val="single"/>
                </w:rPr>
                <w:t>11</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931">
              <w:r>
                <w:rPr>
                  <w:rStyle w:val="InternetLink"/>
                  <w:rFonts w:ascii="Times New Roman;serif" w:hAnsi="Times New Roman;serif"/>
                  <w:b w:val="false"/>
                  <w:color w:val="0000FF"/>
                  <w:sz w:val="20"/>
                  <w:u w:val="single"/>
                </w:rPr>
                <w:t>26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Quantitative and Qualitative Disclosures about Market Risk</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36">
              <w:r>
                <w:rPr>
                  <w:rStyle w:val="InternetLink"/>
                  <w:rFonts w:ascii="Times New Roman;serif" w:hAnsi="Times New Roman;serif"/>
                  <w:b w:val="false"/>
                  <w:color w:val="0000FF"/>
                  <w:sz w:val="20"/>
                  <w:u w:val="single"/>
                </w:rPr>
                <w:t>39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Controls and Procedures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48">
              <w:r>
                <w:rPr>
                  <w:rStyle w:val="InternetLink"/>
                  <w:rFonts w:ascii="Times New Roman;serif" w:hAnsi="Times New Roman;serif"/>
                  <w:b w:val="false"/>
                  <w:color w:val="0000FF"/>
                  <w:sz w:val="20"/>
                  <w:u w:val="single"/>
                </w:rPr>
                <w:t>39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OTHER INFORMATION</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54">
              <w:r>
                <w:rPr>
                  <w:rStyle w:val="InternetLink"/>
                  <w:rFonts w:ascii="Times New Roman;serif" w:hAnsi="Times New Roman;serif"/>
                  <w:b w:val="false"/>
                  <w:color w:val="0000FF"/>
                  <w:sz w:val="20"/>
                  <w:u w:val="single"/>
                </w:rPr>
                <w:t>40</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Legal Proceedings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57">
              <w:r>
                <w:rPr>
                  <w:rStyle w:val="InternetLink"/>
                  <w:rFonts w:ascii="Times New Roman;serif" w:hAnsi="Times New Roman;serif"/>
                  <w:b w:val="false"/>
                  <w:color w:val="0000FF"/>
                  <w:sz w:val="20"/>
                  <w:u w:val="single"/>
                </w:rPr>
                <w:t>40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 Risk Factors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60">
              <w:r>
                <w:rPr>
                  <w:rStyle w:val="InternetLink"/>
                  <w:rFonts w:ascii="Times New Roman;serif" w:hAnsi="Times New Roman;serif"/>
                  <w:b w:val="false"/>
                  <w:color w:val="0000FF"/>
                  <w:sz w:val="20"/>
                  <w:u w:val="single"/>
                </w:rPr>
                <w:t>40</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Unregistered Sales of Equity Securities and Use of Proceeds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63">
              <w:r>
                <w:rPr>
                  <w:rStyle w:val="InternetLink"/>
                  <w:rFonts w:ascii="Times New Roman;serif" w:hAnsi="Times New Roman;serif"/>
                  <w:b w:val="false"/>
                  <w:color w:val="0000FF"/>
                  <w:sz w:val="20"/>
                  <w:u w:val="single"/>
                </w:rPr>
                <w:t>40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Defaults Upon Senior Securities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66">
              <w:r>
                <w:rPr>
                  <w:rStyle w:val="InternetLink"/>
                  <w:rFonts w:ascii="Times New Roman;serif" w:hAnsi="Times New Roman;serif"/>
                  <w:b w:val="false"/>
                  <w:color w:val="0000FF"/>
                  <w:sz w:val="20"/>
                  <w:u w:val="single"/>
                </w:rPr>
                <w:t>40</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Mine Safety Disclosures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69">
              <w:r>
                <w:rPr>
                  <w:rStyle w:val="InternetLink"/>
                  <w:rFonts w:ascii="Times New Roman;serif" w:hAnsi="Times New Roman;serif"/>
                  <w:b w:val="false"/>
                  <w:color w:val="0000FF"/>
                  <w:sz w:val="20"/>
                  <w:u w:val="single"/>
                </w:rPr>
                <w:t>40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 Other Information</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72">
              <w:r>
                <w:rPr>
                  <w:rStyle w:val="InternetLink"/>
                  <w:rFonts w:ascii="Times New Roman;serif" w:hAnsi="Times New Roman;serif"/>
                  <w:b w:val="false"/>
                  <w:color w:val="0000FF"/>
                  <w:sz w:val="20"/>
                  <w:u w:val="single"/>
                </w:rPr>
                <w:t>40</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 Exhibits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75">
              <w:r>
                <w:rPr>
                  <w:rStyle w:val="InternetLink"/>
                  <w:rFonts w:ascii="Times New Roman;serif" w:hAnsi="Times New Roman;serif"/>
                  <w:b w:val="false"/>
                  <w:color w:val="0000FF"/>
                  <w:sz w:val="20"/>
                  <w:u w:val="single"/>
                </w:rPr>
                <w:t>41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d18f542fd8744958af4e54138b0248e_1081">
              <w:r>
                <w:rPr>
                  <w:rStyle w:val="InternetLink"/>
                  <w:rFonts w:ascii="Times New Roman;serif" w:hAnsi="Times New Roman;serif"/>
                  <w:b w:val="false"/>
                  <w:color w:val="0000FF"/>
                  <w:sz w:val="20"/>
                  <w:u w:val="single"/>
                </w:rPr>
                <w:t>43</w:t>
              </w:r>
            </w:hyperlink>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“Quarterly Report”) contains statements which, to the extent that they do not recite historical fact, constitute forward-looking statements. These statements can be identified by the fact that they do not relate strictly to historical or current facts and may include the words “may,” “might,” “will,” “should,” “would,” “expect,” “plan,” “anticipate,” “could,” “intend,” “target,” “project,” “contemplate,” “believe,” “estimate,” “predict,” “likely,” “potential,” “remain,” or “continue” or other words or expressions of similar meaning. We based these forward-looking statements on our current expectations about future events, and such forward-looking statements do not guarantee future performance. The forward-looking statements include statements that reflect management’s current beliefs, plans, objectives, goals, expectations, anticipations and intentions with respect to our financial condition, results of operations, future performance and business, including, but not limited to, statements relating to our business strategy and our current and future development plans.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potential risks and uncertainties that could cause our actual financial condition, results of operations and future performance to differ materially from those expressed or implied in this Quarterly Report include, but are not limited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success in executing the Company’s business plans and strategies, including the transition of the Company’s lemon sales and marketing operations to Sunkist Growers, Inc. and managing the risks involved in the foregoing;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changes in laws, regulations, rules, quotas, tariffs and import laws;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adverse weather conditions, natural disasters and other adverse natural conditions, including freezes, rains, fires, winds and droughts that affect the production, transportation, storage, import and export of fresh produce;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market responses to industry volume pressures;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increased pressure from crop disease, insects and other pests;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disruption of water supplies or changes in water allocations;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disruption in the global supply chain;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product and raw materials supply and pricing;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energy supply and pricing;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market response to industry volume pressures;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inability to pay debt obligations;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ability to maintain compliance with debt covenants under our loan agreements or obtain modifications, waivers or deferrals of such covenants;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changes in interest rates and the impact of inflation;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availability of financing for land development activities;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general economic conditions for residential and commercial real estate development;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political changes and economic crises;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international conflict;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acts of terrorism;</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labor disruptions, strikes, shortages or work stoppages;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government restrictions on land use;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impact of foreign exchange rate movements;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loss of important intellectual property rights;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market and pricing risks due to concentrated ownership of stock;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factors disclosed in our public filings with the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2025 additional factors that could cause our actual results to differ from our projections or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2025. We cannot guarantee future results, levels of activity, performance or achievements. You should not place undue reliance on these forward-looking statements, which apply only as of the date of this Quarterly Report. We undertake no obligation to publicly update or revise any forward-looking statements, whether as a result of new information, future events or otherwise, except as required by law.</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Unless the context requires otherwise, all references to “we,” “us,” “our,” “our Company,” “the Company” or “Limoneira” in this Quarterly Report mean Limoneira Company, a Delaware corporation,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77"/>
        <w:gridCol w:w="2280"/>
        <w:gridCol w:w="2285"/>
        <w:gridCol w:w="225"/>
        <w:gridCol w:w="849"/>
        <w:gridCol w:w="125"/>
        <w:gridCol w:w="109"/>
        <w:gridCol w:w="109"/>
        <w:gridCol w:w="109"/>
        <w:gridCol w:w="222"/>
        <w:gridCol w:w="835"/>
        <w:gridCol w:w="180"/>
      </w:tblGrid>
      <w:tr>
        <w:trPr/>
        <w:tc>
          <w:tcPr>
            <w:tcW w:w="287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564" w:type="dxa"/>
            <w:gridSpan w:val="6"/>
            <w:tcBorders/>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2025</w:t>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Cultural costs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Receivables/other from related parties,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development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investments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307,530 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Preferred Stock and Stockholders’ Equity</w:t>
            </w:r>
          </w:p>
        </w:tc>
        <w:tc>
          <w:tcPr>
            <w:tcW w:w="119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Growers and suppliers payable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related parties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Stock – $100.00 par value (50,000 shares authorized: 14,790 shares issued and outstanding at January 31, 2026 and October 31, 2025) (8.75% coupon rate)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B-2 Convertible Preferred Stock – $100.00 par value (10,000 shares authorized: 9,300 shares issued and outstanding at January 31, 2026 and October 31, 2025) (4% dividend rate on liquidation value of $1,000 per share)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Junior Participating Preferred Stock – $0.01 par value (20,000 shares authorized: zero issued or outstanding at January 31, 2026 and October 31, 2025)</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(39,000,000 shares authorized: 18,357,854 and 18,287,868 shares issued and 18,106,877 and 18,036,891 shares outstanding at January 31, 2026 and October 31, 2025, respectively)</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250,977 shares at January 31, 2026 and October 31, 2025</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169,840 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stockholders’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307,530 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7472" w:type="dxa"/>
        <w:jc w:val="center"/>
        <w:tblInd w:w="0" w:type="dxa"/>
        <w:tblLayout w:type="fixed"/>
        <w:tblCellMar>
          <w:top w:w="28" w:type="dxa"/>
          <w:left w:w="28" w:type="dxa"/>
          <w:bottom w:w="28" w:type="dxa"/>
          <w:right w:w="28" w:type="dxa"/>
        </w:tblCellMar>
      </w:tblPr>
      <w:tblGrid>
        <w:gridCol w:w="1432"/>
        <w:gridCol w:w="1261"/>
        <w:gridCol w:w="1267"/>
        <w:gridCol w:w="109"/>
        <w:gridCol w:w="109"/>
        <w:gridCol w:w="163"/>
        <w:gridCol w:w="163"/>
        <w:gridCol w:w="294"/>
        <w:gridCol w:w="970"/>
        <w:gridCol w:w="163"/>
        <w:gridCol w:w="109"/>
        <w:gridCol w:w="109"/>
        <w:gridCol w:w="109"/>
        <w:gridCol w:w="196"/>
        <w:gridCol w:w="646"/>
        <w:gridCol w:w="109"/>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31" w:type="dxa"/>
            <w:gridSpan w:val="1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patronage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382" w:type="dxa"/>
        <w:jc w:val="center"/>
        <w:tblInd w:w="0" w:type="dxa"/>
        <w:tblLayout w:type="fixed"/>
        <w:tblCellMar>
          <w:top w:w="28" w:type="dxa"/>
          <w:left w:w="28" w:type="dxa"/>
          <w:bottom w:w="28" w:type="dxa"/>
          <w:right w:w="28" w:type="dxa"/>
        </w:tblCellMar>
      </w:tblPr>
      <w:tblGrid>
        <w:gridCol w:w="2019"/>
        <w:gridCol w:w="1764"/>
        <w:gridCol w:w="1797"/>
        <w:gridCol w:w="109"/>
        <w:gridCol w:w="109"/>
        <w:gridCol w:w="109"/>
        <w:gridCol w:w="166"/>
        <w:gridCol w:w="166"/>
        <w:gridCol w:w="322"/>
        <w:gridCol w:w="1054"/>
        <w:gridCol w:w="166"/>
        <w:gridCol w:w="109"/>
        <w:gridCol w:w="109"/>
        <w:gridCol w:w="109"/>
        <w:gridCol w:w="211"/>
        <w:gridCol w:w="691"/>
        <w:gridCol w:w="109"/>
        <w:gridCol w:w="109"/>
        <w:gridCol w:w="154"/>
      </w:tblGrid>
      <w:tr>
        <w:trPr/>
        <w:tc>
          <w:tcPr>
            <w:tcW w:w="201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601" w:type="dxa"/>
            <w:gridSpan w:val="8"/>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1601" w:type="dxa"/>
            <w:gridSpan w:val="8"/>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AND TEMPORARY EQUITY (UNAUDITED)</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2605"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202"/>
        <w:gridCol w:w="621"/>
        <w:gridCol w:w="123"/>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B-2</w:t>
              <w:br/>
              <w:t>Preferred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October 31, 2025</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18,036,891 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Acquired noncontrolling interest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(loss) income </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31, 2026</w:t>
            </w:r>
          </w:p>
        </w:tc>
        <w:tc>
          <w:tcPr>
            <w:tcW w:w="9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18,106,877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(11,980)</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(5,494)</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169,840 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Retained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Series B-2</w:t>
              <w:br/>
              <w:t>Preferred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October 31,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18,033,171 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59,087 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31, 2025</w:t>
            </w:r>
          </w:p>
        </w:tc>
        <w:tc>
          <w:tcPr>
            <w:tcW w:w="9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18,045,169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169,951 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(6,881)</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681" w:type="dxa"/>
        <w:jc w:val="center"/>
        <w:tblInd w:w="0" w:type="dxa"/>
        <w:tblLayout w:type="fixed"/>
        <w:tblCellMar>
          <w:top w:w="28" w:type="dxa"/>
          <w:left w:w="28" w:type="dxa"/>
          <w:bottom w:w="28" w:type="dxa"/>
          <w:right w:w="28" w:type="dxa"/>
        </w:tblCellMar>
      </w:tblPr>
      <w:tblGrid>
        <w:gridCol w:w="1889"/>
        <w:gridCol w:w="1662"/>
        <w:gridCol w:w="1668"/>
        <w:gridCol w:w="196"/>
        <w:gridCol w:w="631"/>
        <w:gridCol w:w="109"/>
        <w:gridCol w:w="109"/>
        <w:gridCol w:w="109"/>
        <w:gridCol w:w="109"/>
        <w:gridCol w:w="196"/>
        <w:gridCol w:w="631"/>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investments,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receivables/other from related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Cultural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growers and suppliers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payables to related parties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sales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water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distributions from Trapani Fresh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to acquire additional shares of Limco Del Mar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 contributions and capitalized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mutual water companies and water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paid on finance leases and equipment financings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common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preferred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beginning of period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 (CONTINUED)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291" w:type="dxa"/>
        <w:jc w:val="center"/>
        <w:tblInd w:w="0" w:type="dxa"/>
        <w:tblLayout w:type="fixed"/>
        <w:tblCellMar>
          <w:top w:w="28" w:type="dxa"/>
          <w:left w:w="28" w:type="dxa"/>
          <w:bottom w:w="28" w:type="dxa"/>
          <w:right w:w="28" w:type="dxa"/>
        </w:tblCellMar>
      </w:tblPr>
      <w:tblGrid>
        <w:gridCol w:w="1772"/>
        <w:gridCol w:w="1554"/>
        <w:gridCol w:w="1563"/>
        <w:gridCol w:w="196"/>
        <w:gridCol w:w="646"/>
        <w:gridCol w:w="109"/>
        <w:gridCol w:w="109"/>
        <w:gridCol w:w="109"/>
        <w:gridCol w:w="109"/>
        <w:gridCol w:w="196"/>
        <w:gridCol w:w="556"/>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51" w:type="dxa"/>
            <w:gridSpan w:val="8"/>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during the period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accrued but not paid at period-end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contribution obligation of investment in water company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water rights sale 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in exchange for sale of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Limoneira Company (together with its consolidated subsidiaries, the “Company”) engages primarily in growing lemons and avocados, harvesting lemons, and packing lemons. The Company is also engaged in residential rentals and other rental operations and real estate development activities.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June 6, 2025, Limoneira entered into a Commercial Packinghouse License Agreement with Sunkist Growers, Inc., a nonprofit marketing cooperative (“Sunkist”), effective as of November 1, 2025. The agreement permits us to grade, label, pack, prepare for marketing by Sunkist and ship Sunkist grower lemons, and to use Sunkist trademarks in these activities. The agreement has an initial term of three years with automatic one-year extensions. Beginning November 1, 2025, Sunkist performs the Company’s lemon sales and marketing operations. Prior to November 1, 2025, the Company marketed and sold citrus directly to food service, wholesale and retail customers throughout the United States, Canada, Asia and certain other international markets.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Judgment is required in determining whether the Company is the principal or the agent in its contracts with Sunkist. The Company has determined that it is the principal in such transactions as it controls the lemons prior to delivery to the customer, and it is primarily responsible for fulfillment of lemon orders. Accordingly, lemon revenues, net of the Sunkist marketing fee, and costs associated with the Sunkist agreement are presented gross in our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Basis of Presentation and Preparation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unaudited interim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 for the fiscal year ended October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ind w:left="0" w:right="0" w:hanging="360"/>
        <w:jc w:val="both"/>
        <w:rPr>
          <w:rFonts w:ascii="Times New Roman;serif" w:hAnsi="Times New Roman;serif"/>
          <w:b/>
          <w:color w:val="000000"/>
          <w:sz w:val="20"/>
        </w:rPr>
      </w:pPr>
      <w:r>
        <w:rPr>
          <w:rFonts w:ascii="Times New Roman;serif" w:hAnsi="Times New Roman;serif"/>
          <w:b/>
          <w:color w:val="000000"/>
          <w:sz w:val="20"/>
        </w:rPr>
        <w:t>Comprehensive Loss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Comprehensive loss represents all changes in a company’s net assets, except changes resulting from transactions with stockholders. Other comprehensive income or loss includes foreign currency translation items. Accumulated other comprehensive loss is reported as a component of the Company’s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ASU 2023-09, Income Taxes (Topic 740): Improvements to Income Tax Disclosures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ASU 2023-09 requires disaggregated information about a reporting entity’s effective tax rate reconciliation as well as information on income taxes paid. The ASU is effective for the Company’s annual reporting for fiscal year 2026. The Company is currently evaluating the impact of this guidance on its consolidated financial statements.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SEC Release No. 33-11275: The Enhancement and Standardization of Climate-Related Disclosures for Investors</w:t>
      </w:r>
    </w:p>
    <w:p>
      <w:pPr>
        <w:pStyle w:val="TextBody"/>
        <w:bidi w:val="0"/>
        <w:spacing w:lineRule="auto" w:line="288" w:before="0" w:after="160"/>
        <w:jc w:val="both"/>
        <w:rPr/>
      </w:pPr>
      <w:r>
        <w:rPr>
          <w:rFonts w:ascii="Times New Roman;serif" w:hAnsi="Times New Roman;serif"/>
          <w:b w:val="false"/>
          <w:color w:val="000000"/>
          <w:sz w:val="20"/>
        </w:rPr>
        <w:t xml:space="preserve">In March 2024, the SEC adopted final rules under SEC Release No. 33-11275: </w:t>
      </w:r>
      <w:r>
        <w:rPr>
          <w:rFonts w:ascii="Times New Roman;serif" w:hAnsi="Times New Roman;serif"/>
          <w:b w:val="false"/>
          <w:i/>
          <w:color w:val="000000"/>
          <w:sz w:val="20"/>
        </w:rPr>
        <w:t>The Enhancement and Standardization of Climate-Related Disclosures for Investors</w:t>
      </w:r>
      <w:r>
        <w:rPr>
          <w:rFonts w:ascii="Times New Roman;serif" w:hAnsi="Times New Roman;serif"/>
          <w:b w:val="false"/>
          <w:color w:val="000000"/>
          <w:sz w:val="20"/>
        </w:rPr>
        <w:t xml:space="preserve">, which requires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These requirements are effective for the Company in various fiscal years, starting with its fiscal year beginning November 1, 2026. On April 4, 2024, the SEC determined to voluntarily stay the final rules pending certain legal challenges. On February 11, 2025, the SEC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and on July 23, 2025, the SEC filed a report with the court stating that the SEC had no intentions of reviewing or revising the rule. The Company is continuing to evaluate the potential impact of these final rules on its consolidated financial statements and disclosures.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ASU 2024-03, Income Statement – Reporting Comprehensive Income – Expense Disaggregation Disclosures (Subtopic 220-40): Disaggregation of Income Statement Expenses and ASU 2025-01, Income Statement – Reporting Comprehensive Income – Expense Disaggregation Disclosures (Subtopic 220-40): Clarifying the Effective Date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effective date of ASU 2024-03 was clarified by ASU 2025-01. ASU 2024-03 is effective for the Company’s annual reporting for fiscal year 2028 and interim reporting beginning fiscal year 2029. Early adoption is permitted. ASU 2024-03 should be applied prospectively to financial statements issued for reporting periods beginning after the effective date but may be applied retrospectively to any or all prior periods presented in the financial statements. The Company is currently evaluating the impact of this guidance on its consolidated financial statements.</w:t>
      </w:r>
    </w:p>
    <w:p>
      <w:pPr>
        <w:pStyle w:val="TextBody"/>
        <w:bidi w:val="0"/>
        <w:spacing w:lineRule="auto" w:line="288" w:before="0" w:after="160"/>
        <w:jc w:val="both"/>
        <w:rPr/>
      </w:pPr>
      <w:r>
        <w:rPr>
          <w:rFonts w:ascii="Times New Roman;serif" w:hAnsi="Times New Roman;serif"/>
          <w:b w:val="false"/>
          <w:i/>
          <w:color w:val="000000"/>
          <w:sz w:val="20"/>
        </w:rPr>
        <w:t>ASU 2025-06, Intangibles – Goodwill and Other – Internal-Use Software (Topic 350-40): Targeted Improvements to the Accounting for Internal-Use Software</w:t>
      </w:r>
      <w:r>
        <w:rPr>
          <w:color w:val="000000"/>
        </w:rPr>
        <w:t xml:space="preserv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Under current GAAP, entities are required to capitalize development costs incurred for internal-use software depending on the nature of the costs and the project stage during which they occur. The amendments in this ASU remove all references to software development project stages and require that an entity capitalize software costs when both: management has authorized and committed to funding the software project; and it is probable that the project will be completed and the software will be used to perform the function intended (referred to as the “probable-to-complete recognition threshold”). The ASU is effective for the Company’s interim and annual reporting for fiscal year 2029, with early adoption permitted. The Company is currently evaluating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Concentrations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Effective November 1, 2025, all of the Company’s lemon sales are conducted through Sunkist, which results in concentrations of credit risk related to revenues and accounts receivable. Lemon revenues sold through Sunkist represented 80% of total revenues for the three months ended January 31, 2026 and 71% of accounts receivable, net as of January 31,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Fruit Growers Supply Company, an affiliate of Sunkist, represented 19% of accounts payable as of January 31, 2026. Two additional individual vendors represented 21% and 15% of accounts payable as of January 31,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Lemons procured from third-party growers were 78% and 83% of the Company’s domestic lemon supply for the three months ended January 31, 2026 and 2025, respectively. Three third-party growers and suppliers represented 55%, 28% and 11% of growers and suppliers payable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Asset Sales and Disposals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Pan de Azucar and San Pablo Orchards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a 90% interest in Fruticola Pan de Azucar S. A. (“PDA”) and a 100% interest in Agricola San Pablo, SpA (“San Pablo”). These entities owned citrus orchards located near La Serena, Chile and the agricultural properties consisted of approximately 500 acres of lemons, 100 acres of oranges and 2,900 acres of other land. On November 7, 2025, PDA and San Pablo (collectively, the “Sellers”), each entered into a Purchase and Sale Agreement and Novation Agreement (collectively, the “Purchase Agreements”) with San Pedro, SpA, a Chilean joint stock company (the “Buyer”) to sell the agricultural properties and related water rights for an aggregate purchase price of $14,967,000. The transactions closed upon transfer of the deeds simultaneously with the execution of the Purchase Agreements.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After a period of approximately 120 days to record the transactions, which is customary in Chilean real estate transactions, the Buyer will make an initial payment to the Sellers in the aggregate amount of $6,800,000, of which approximately $742,000 will be deferred until certain requirements have been fulfilled. The remainder of the Buyer’s payment obligations, in the aggregate amount of $8,167,000,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current and noncurrent notes receivable representing the estimated current fair value of the expected future cash proceeds. These notes are recorded in prepaid expenses and other current assets, and other assets, respectively, on the consolidated balance sheet as of January 31, 2026. The property, plant and equipment and intangible assets sold were classified as assets held for sale as of October 31, 2025. Goodwill related to PDA was written off as part of the transaction.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transaction (in thousands):</w:t>
      </w:r>
    </w:p>
    <w:tbl>
      <w:tblPr>
        <w:tblW w:w="4866" w:type="dxa"/>
        <w:jc w:val="left"/>
        <w:tblInd w:w="0" w:type="dxa"/>
        <w:tblLayout w:type="fixed"/>
        <w:tblCellMar>
          <w:top w:w="28" w:type="dxa"/>
          <w:left w:w="28" w:type="dxa"/>
          <w:bottom w:w="28" w:type="dxa"/>
          <w:right w:w="28" w:type="dxa"/>
        </w:tblCellMar>
      </w:tblPr>
      <w:tblGrid>
        <w:gridCol w:w="1366"/>
        <w:gridCol w:w="1206"/>
        <w:gridCol w:w="1208"/>
        <w:gridCol w:w="211"/>
        <w:gridCol w:w="721"/>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easement holdback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fair value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expected future cash proceeds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book value of assets sold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book value of assets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notes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notes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as of January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PDA and San Pablo is the Chilean Peso. The balance sheets are translated to U.S. dollars at exchange rates in effect at the balance sheet date and the income statements are translated at average exchange rates during the reporting period. The resulting foreign currency translation adjustments are recorded as a separate component of accumulated other comprehensive loss.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foreign subsidiaries, including PDA and San Pablo, incurred aggregate foreign exchange transaction losses of $1,043,000 and immaterial amounts for the three months ended January 31, 2026 and 2025, respectively. These losses are included in other (expense) income, net in the consolidated statements of operations.</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Prepaid Expenses and Other Current Assets</w:t>
      </w:r>
    </w:p>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47" w:type="dxa"/>
        <w:jc w:val="left"/>
        <w:tblInd w:w="0" w:type="dxa"/>
        <w:tblLayout w:type="fixed"/>
        <w:tblCellMar>
          <w:top w:w="28" w:type="dxa"/>
          <w:left w:w="28" w:type="dxa"/>
          <w:bottom w:w="28" w:type="dxa"/>
          <w:right w:w="28" w:type="dxa"/>
        </w:tblCellMar>
      </w:tblPr>
      <w:tblGrid>
        <w:gridCol w:w="950"/>
        <w:gridCol w:w="836"/>
        <w:gridCol w:w="839"/>
        <w:gridCol w:w="358"/>
        <w:gridCol w:w="1047"/>
        <w:gridCol w:w="185"/>
        <w:gridCol w:w="109"/>
        <w:gridCol w:w="109"/>
        <w:gridCol w:w="109"/>
        <w:gridCol w:w="345"/>
        <w:gridCol w:w="1008"/>
        <w:gridCol w:w="252"/>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supplies and insurance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receivable</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 receivable</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Real Estate Development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Real estate development assets are comprised primarily of land and land development costs and consist of the following (in thousands):</w:t>
      </w:r>
    </w:p>
    <w:tbl>
      <w:tblPr>
        <w:tblW w:w="5441" w:type="dxa"/>
        <w:jc w:val="left"/>
        <w:tblInd w:w="0" w:type="dxa"/>
        <w:tblLayout w:type="fixed"/>
        <w:tblCellMar>
          <w:top w:w="28" w:type="dxa"/>
          <w:left w:w="28" w:type="dxa"/>
          <w:bottom w:w="28" w:type="dxa"/>
          <w:right w:w="28" w:type="dxa"/>
        </w:tblCellMar>
      </w:tblPr>
      <w:tblGrid>
        <w:gridCol w:w="694"/>
        <w:gridCol w:w="611"/>
        <w:gridCol w:w="615"/>
        <w:gridCol w:w="322"/>
        <w:gridCol w:w="1101"/>
        <w:gridCol w:w="166"/>
        <w:gridCol w:w="109"/>
        <w:gridCol w:w="109"/>
        <w:gridCol w:w="109"/>
        <w:gridCol w:w="312"/>
        <w:gridCol w:w="1066"/>
        <w:gridCol w:w="227"/>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Area II</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Limco Del Mar Ranch</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East Area I, Retained Property and East Area II</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January 31, 2026 and October 31, 2025, which is included in payables to related parties in the Company’s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October 2022, the Company entered into a joint venture with Lewis for the development of the Retained Property. The Company formed LLCB II, LLC (“LLCB II”) as the development entity, contributed the Retained Property to the joint venture and sold a 50% interest to Lewis. The joint venture partners will share in the capital contributions to fund project costs until loan proceeds and/or revenues are sufficient to fund the project. The Company made contributions of $100,000 to LLCB II during the three months ended January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Through January 31, 2026, LLCB closed on lot sales representing 1,261 residential units and the Company received cash distributions of $25,009,000 since inception from LLCB.</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Limco Del Mar Ranch</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fiscal year 2025, the Company announced plans to evaluate the potential development of housing at the Limco Del Mar Ranch to help address housing needs in Ventura County and to enhance long-term financial returns. The Company is actively pursuing development activities and capitalizing real estate development costs related to this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6. Equity in Investments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Equity in investments consist of the following (in thousands):</w:t>
      </w:r>
    </w:p>
    <w:tbl>
      <w:tblPr>
        <w:tblW w:w="7226" w:type="dxa"/>
        <w:jc w:val="left"/>
        <w:tblInd w:w="0" w:type="dxa"/>
        <w:tblLayout w:type="fixed"/>
        <w:tblCellMar>
          <w:top w:w="28" w:type="dxa"/>
          <w:left w:w="28" w:type="dxa"/>
          <w:bottom w:w="28" w:type="dxa"/>
          <w:right w:w="28" w:type="dxa"/>
        </w:tblCellMar>
      </w:tblPr>
      <w:tblGrid>
        <w:gridCol w:w="1342"/>
        <w:gridCol w:w="1180"/>
        <w:gridCol w:w="1183"/>
        <w:gridCol w:w="322"/>
        <w:gridCol w:w="1101"/>
        <w:gridCol w:w="166"/>
        <w:gridCol w:w="109"/>
        <w:gridCol w:w="109"/>
        <w:gridCol w:w="109"/>
        <w:gridCol w:w="312"/>
        <w:gridCol w:w="1066"/>
        <w:gridCol w:w="227"/>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Limoneira Lewis Community Builders, LLC</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LLCB II, LLC</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Rosales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Romney Property Partnership</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72,167 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both"/>
        <w:rPr>
          <w:rFonts w:ascii="Times New Roman;serif" w:hAnsi="Times New Roman;serif"/>
          <w:b w:val="false"/>
          <w:i/>
          <w:color w:val="000000"/>
          <w:sz w:val="20"/>
        </w:rPr>
      </w:pPr>
      <w:r>
        <w:rPr>
          <w:rFonts w:ascii="Times New Roman;serif" w:hAnsi="Times New Roman;serif"/>
          <w:b w:val="false"/>
          <w:i/>
          <w:color w:val="000000"/>
          <w:sz w:val="20"/>
        </w:rPr>
        <w:t>Unconsolidated Significant Subsidiary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three months ended January 31, 2026, this threshold was not met for any equity investments. The threshold was met for LLCB during the year-to-date interim period for the three months ended January 31, 2025, and thus summarized income statement information for LLCB is presented in this Quarterly Report on Form 10-Q. The full audited financial statements of LLCB for the years ended October 31, 2025, 2024 and 2023 were provided as exhibits to the Annual Report on Form 10-K for the fiscal year ended October 31,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unaudited summarized financial information for LLCB (in thousands):</w:t>
      </w:r>
    </w:p>
    <w:tbl>
      <w:tblPr>
        <w:tblW w:w="7495" w:type="dxa"/>
        <w:jc w:val="left"/>
        <w:tblInd w:w="0" w:type="dxa"/>
        <w:tblLayout w:type="fixed"/>
        <w:tblCellMar>
          <w:top w:w="28" w:type="dxa"/>
          <w:left w:w="28" w:type="dxa"/>
          <w:bottom w:w="28" w:type="dxa"/>
          <w:right w:w="28" w:type="dxa"/>
        </w:tblCellMar>
      </w:tblPr>
      <w:tblGrid>
        <w:gridCol w:w="1441"/>
        <w:gridCol w:w="1261"/>
        <w:gridCol w:w="1272"/>
        <w:gridCol w:w="322"/>
        <w:gridCol w:w="1101"/>
        <w:gridCol w:w="166"/>
        <w:gridCol w:w="109"/>
        <w:gridCol w:w="109"/>
        <w:gridCol w:w="109"/>
        <w:gridCol w:w="312"/>
        <w:gridCol w:w="1066"/>
        <w:gridCol w:w="227"/>
      </w:tblGrid>
      <w:tr>
        <w:trPr/>
        <w:tc>
          <w:tcPr>
            <w:tcW w:w="14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of land sold</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income</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Limoneira Company</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Goodwill and Intangible Assets,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 summary of the change in the carrying amount of goodwill is as follows (in thousands):</w:t>
      </w:r>
    </w:p>
    <w:tbl>
      <w:tblPr>
        <w:tblW w:w="4919" w:type="dxa"/>
        <w:jc w:val="center"/>
        <w:tblInd w:w="0" w:type="dxa"/>
        <w:tblLayout w:type="fixed"/>
        <w:tblCellMar>
          <w:top w:w="28" w:type="dxa"/>
          <w:left w:w="28" w:type="dxa"/>
          <w:bottom w:w="28" w:type="dxa"/>
          <w:right w:w="28" w:type="dxa"/>
        </w:tblCellMar>
      </w:tblPr>
      <w:tblGrid>
        <w:gridCol w:w="880"/>
        <w:gridCol w:w="771"/>
        <w:gridCol w:w="778"/>
        <w:gridCol w:w="535"/>
        <w:gridCol w:w="1564"/>
        <w:gridCol w:w="391"/>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Goodwill Carrying Amount</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October 31, 2025</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PDA goodwill write off</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20"/>
        </w:rPr>
        <w:t>Goodwill is tested for impairment on an annual basis or when an event or changes in circumstances indicate that its carrying value may not be recoverable. There have been no impairment charges recorded against goodwill as of January 31, 2026. As discussed in Note 3 - Asset Sales and Disposals,</w:t>
      </w:r>
      <w:r>
        <w:rPr>
          <w:color w:val="000000"/>
        </w:rPr>
        <w:t xml:space="preserve"> </w:t>
      </w:r>
      <w:r>
        <w:rPr>
          <w:rFonts w:ascii="Times New Roman;serif" w:hAnsi="Times New Roman;serif"/>
          <w:b w:val="false"/>
          <w:color w:val="000000"/>
          <w:sz w:val="20"/>
        </w:rPr>
        <w:t>goodwill related to PDA was written off as part of the asset sale transaction.</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Goodwill and Intangible Assets, Net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393" w:type="dxa"/>
        <w:jc w:val="left"/>
        <w:tblInd w:w="0" w:type="dxa"/>
        <w:tblLayout w:type="fixed"/>
        <w:tblCellMar>
          <w:top w:w="28" w:type="dxa"/>
          <w:left w:w="28" w:type="dxa"/>
          <w:bottom w:w="28" w:type="dxa"/>
          <w:right w:w="28" w:type="dxa"/>
        </w:tblCellMar>
      </w:tblPr>
      <w:tblGrid>
        <w:gridCol w:w="874"/>
        <w:gridCol w:w="320"/>
        <w:gridCol w:w="322"/>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65"/>
        <w:gridCol w:w="265"/>
        <w:gridCol w:w="266"/>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91"/>
        <w:gridCol w:w="246"/>
        <w:gridCol w:w="349"/>
      </w:tblGrid>
      <w:tr>
        <w:trPr/>
        <w:tc>
          <w:tcPr>
            <w:tcW w:w="8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533" w:type="dxa"/>
            <w:gridSpan w:val="3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 in Years</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Non-competition agreement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water and mineral rights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Indefinite </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totaled $180,000 and $144,000 for the three months ended January 31, 2026 and 2025, respectively.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sold acquired water rights in the Santa Paula Basin for $30,000 per acre-foot in two transactions. The total selling price was $1,440,000 and the Company recorded a gain on sales of water rights of $1,200,000.</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of intangible assets as of January 31, 2026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60" w:type="dxa"/>
        <w:jc w:val="center"/>
        <w:tblInd w:w="0" w:type="dxa"/>
        <w:tblLayout w:type="fixed"/>
        <w:tblCellMar>
          <w:top w:w="28" w:type="dxa"/>
          <w:left w:w="28" w:type="dxa"/>
          <w:bottom w:w="28" w:type="dxa"/>
          <w:right w:w="28" w:type="dxa"/>
        </w:tblCellMar>
      </w:tblPr>
      <w:tblGrid>
        <w:gridCol w:w="933"/>
        <w:gridCol w:w="820"/>
        <w:gridCol w:w="826"/>
        <w:gridCol w:w="211"/>
        <w:gridCol w:w="61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8. Other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Other assets consist of the following (in thousands):</w:t>
      </w:r>
    </w:p>
    <w:tbl>
      <w:tblPr>
        <w:tblW w:w="6835" w:type="dxa"/>
        <w:jc w:val="left"/>
        <w:tblInd w:w="0" w:type="dxa"/>
        <w:tblLayout w:type="fixed"/>
        <w:tblCellMar>
          <w:top w:w="28" w:type="dxa"/>
          <w:left w:w="28" w:type="dxa"/>
          <w:bottom w:w="28" w:type="dxa"/>
          <w:right w:w="28" w:type="dxa"/>
        </w:tblCellMar>
      </w:tblPr>
      <w:tblGrid>
        <w:gridCol w:w="1201"/>
        <w:gridCol w:w="1055"/>
        <w:gridCol w:w="1058"/>
        <w:gridCol w:w="322"/>
        <w:gridCol w:w="1101"/>
        <w:gridCol w:w="166"/>
        <w:gridCol w:w="109"/>
        <w:gridCol w:w="109"/>
        <w:gridCol w:w="109"/>
        <w:gridCol w:w="312"/>
        <w:gridCol w:w="1066"/>
        <w:gridCol w:w="227"/>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mutual water companies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Investments in Mutual Water Companies and Water Rights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2025, the Company sold water pumping rights in the Santa Paula Basin for $300,000 and the Company recorded a gain on sale of water rights of $288,000. </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Notes Receivable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discussed in Note 3 - Asset Sales and Disposals, the Company has notes receivable related to the sale of the Chilean assets in November 2025.</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32" w:type="dxa"/>
        <w:jc w:val="left"/>
        <w:tblInd w:w="0" w:type="dxa"/>
        <w:tblLayout w:type="fixed"/>
        <w:tblCellMar>
          <w:top w:w="28" w:type="dxa"/>
          <w:left w:w="28" w:type="dxa"/>
          <w:bottom w:w="28" w:type="dxa"/>
          <w:right w:w="28" w:type="dxa"/>
        </w:tblCellMar>
      </w:tblPr>
      <w:tblGrid>
        <w:gridCol w:w="619"/>
        <w:gridCol w:w="545"/>
        <w:gridCol w:w="546"/>
        <w:gridCol w:w="358"/>
        <w:gridCol w:w="1047"/>
        <w:gridCol w:w="185"/>
        <w:gridCol w:w="109"/>
        <w:gridCol w:w="109"/>
        <w:gridCol w:w="109"/>
        <w:gridCol w:w="345"/>
        <w:gridCol w:w="1008"/>
        <w:gridCol w:w="252"/>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Long-term debt is comprised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95"/>
        <w:gridCol w:w="2367"/>
        <w:gridCol w:w="2372"/>
        <w:gridCol w:w="243"/>
        <w:gridCol w:w="833"/>
        <w:gridCol w:w="125"/>
        <w:gridCol w:w="109"/>
        <w:gridCol w:w="109"/>
        <w:gridCol w:w="109"/>
        <w:gridCol w:w="240"/>
        <w:gridCol w:w="823"/>
        <w:gridCol w:w="180"/>
      </w:tblGrid>
      <w:tr>
        <w:trPr/>
        <w:tc>
          <w:tcPr>
            <w:tcW w:w="2695"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AgWest Farm Credit revolving and non-revolving lines of credit: the interest rate of the revolving line of credit is variable based on the one-month SOFR, which was 3.70% at January 31, 2026, plus 3.00%. Interest is payable monthly and principal due in full July 1, 2030.</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Banco de Chile COVID-19 loan: The interest rate is fixed at 4.26%. The loan is payable in monthly installments through September 2026.</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2025, the Company entered into a Master Loan Agreement (the “MLA”) with AgWest Farm Credit (the “Lender”), dated June 26, 2025, together with a revolving credit facility supplement (the “Revolving Credit Supplement”) and a non-revolving credit facility supplement (the “Non-Revolving Credit Supplement,” and together with the Revolving Credit Supplement, the “Supplements”). The MLA governs the terms of the Supplements. The MLA amends and restates the previous Master Loan Agreement between the Company and the Lender and extends the principal repayment to July 1, 2030. Debt financing costs related to the MLA agreement were immaterial.</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Supplements provide aggregate borrowing capacity of $115,000,000 comprised of $114,000,000 under the Revolving Credit Supplement, and $1,000,000 under the Non-Revolving Credit Supplement which can be used solely to support calls on Letters of Credit. There are no amounts outstanding on the Non-Revolving Credit Supplement. As of January 31, 2026, the Company’s outstanding borrowings under the Revolving Credit Supplement were $89,918,000 and it had $24,082,000 available to borrow.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interest rate in effect under the Revolving Credit Supplement automatically adjusts on the first day of each month. The interest rate for any amount outstanding under the Revolving Credit Supplement is based on the one-month SOFR plus an applicable margin. The applicable margin ranges from 2.15% to 3.00% depending on the ratio of funded indebtedness to earnings before interest, income taxes, depreciation and amortization (“EBITDA”) and may be increased or decreased in the sole discretion of the Lender on each anniversary of July 1. The Company may prepay any amounts outstanding under the Revolving Credit Supplement without penalty.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interest rate in effect under the Non-Revolving Credit Supplement is a variable interest rate established by the Lender. The Company may prepay any amounts outstanding under the Non-Revolving Credit Supplement without penalty.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Long-Term Debt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was subject to an annual financial covenant that required it to maintain compliance with a specific debt service coverage ratio of 1.0:1.0 for the fiscal year ending October 31, 2025, and 1.25:1.0 for any fiscal year ending thereafter. In September 2025, the Lender modified the debt service coverage ratio covenant to defer measurement as of October 31, 2025. In December 2025, the Lender modified the debt service coverage ratio covenant to defer measurement as of October 31, 2026 and resume a debt service coverage ratio of 1.25:1.0 measured as of October 31, 2027 and for any fiscal year ending thereafter.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was also subject to a quarterly financial covenant that required it to maintain compliance with a specific total net leverage ratio as of the end of any fiscal quarter beginning July 31, 2026, with a ratio of no more than 6.0:1.0 for the fiscal quarter ending July 31, 2026, 5.0:1.0 for the fiscal quarter ending October 31, 2026 and 4.5:1.0 for any fiscal quarter ending thereafter.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the Company to maintain a debt to capitalization ratio of no greater than 0.45:1.00 or 45%. The Company was in compliance with this covenant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Interest is capitalized on non-bearing orchards, real estate development projects and significant construction in progress. The Company capitalized interest of $750,000 and $332,000 during the three months ended January 31, 2026 and 2025, respectively. Capitalized interest is included in property, plant and equipment, real estate development assets and equity in investments in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Lessor Arrangements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leasing transactions in which it rents certain of its assets and the Company is the lessor. These lease contracts are typically classified as operating leases with remaining terms ranging from one month to 17 years with various renewal terms available. All of the residential rentals have month-to-month lease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rental operations revenue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8" w:type="dxa"/>
        <w:jc w:val="center"/>
        <w:tblInd w:w="0" w:type="dxa"/>
        <w:tblLayout w:type="fixed"/>
        <w:tblCellMar>
          <w:top w:w="28" w:type="dxa"/>
          <w:left w:w="28" w:type="dxa"/>
          <w:bottom w:w="28" w:type="dxa"/>
          <w:right w:w="28" w:type="dxa"/>
        </w:tblCellMar>
      </w:tblPr>
      <w:tblGrid>
        <w:gridCol w:w="749"/>
        <w:gridCol w:w="658"/>
        <w:gridCol w:w="662"/>
        <w:gridCol w:w="109"/>
        <w:gridCol w:w="109"/>
        <w:gridCol w:w="177"/>
        <w:gridCol w:w="177"/>
        <w:gridCol w:w="343"/>
        <w:gridCol w:w="1001"/>
        <w:gridCol w:w="177"/>
        <w:gridCol w:w="109"/>
        <w:gridCol w:w="109"/>
        <w:gridCol w:w="109"/>
        <w:gridCol w:w="211"/>
        <w:gridCol w:w="61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Lessee Arrangements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Leases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Lessee Arrangements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Lease costs consist of the following (in thousands):</w:t>
      </w:r>
    </w:p>
    <w:tbl>
      <w:tblPr>
        <w:tblW w:w="5619" w:type="dxa"/>
        <w:jc w:val="left"/>
        <w:tblInd w:w="0" w:type="dxa"/>
        <w:tblLayout w:type="fixed"/>
        <w:tblCellMar>
          <w:top w:w="28" w:type="dxa"/>
          <w:left w:w="28" w:type="dxa"/>
          <w:bottom w:w="28" w:type="dxa"/>
          <w:right w:w="28" w:type="dxa"/>
        </w:tblCellMar>
      </w:tblPr>
      <w:tblGrid>
        <w:gridCol w:w="857"/>
        <w:gridCol w:w="754"/>
        <w:gridCol w:w="759"/>
        <w:gridCol w:w="109"/>
        <w:gridCol w:w="109"/>
        <w:gridCol w:w="203"/>
        <w:gridCol w:w="203"/>
        <w:gridCol w:w="394"/>
        <w:gridCol w:w="870"/>
        <w:gridCol w:w="203"/>
        <w:gridCol w:w="109"/>
        <w:gridCol w:w="109"/>
        <w:gridCol w:w="109"/>
        <w:gridCol w:w="211"/>
        <w:gridCol w:w="46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63" w:type="dxa"/>
        <w:jc w:val="center"/>
        <w:tblInd w:w="0" w:type="dxa"/>
        <w:tblLayout w:type="fixed"/>
        <w:tblCellMar>
          <w:top w:w="28" w:type="dxa"/>
          <w:left w:w="28" w:type="dxa"/>
          <w:bottom w:w="28" w:type="dxa"/>
          <w:right w:w="28" w:type="dxa"/>
        </w:tblCellMar>
      </w:tblPr>
      <w:tblGrid>
        <w:gridCol w:w="1153"/>
        <w:gridCol w:w="1016"/>
        <w:gridCol w:w="1025"/>
        <w:gridCol w:w="739"/>
        <w:gridCol w:w="739"/>
        <w:gridCol w:w="742"/>
        <w:gridCol w:w="109"/>
        <w:gridCol w:w="109"/>
        <w:gridCol w:w="109"/>
        <w:gridCol w:w="358"/>
        <w:gridCol w:w="1047"/>
        <w:gridCol w:w="185"/>
        <w:gridCol w:w="109"/>
        <w:gridCol w:w="109"/>
        <w:gridCol w:w="109"/>
        <w:gridCol w:w="345"/>
        <w:gridCol w:w="1008"/>
        <w:gridCol w:w="252"/>
      </w:tblGrid>
      <w:tr>
        <w:trPr/>
        <w:tc>
          <w:tcPr>
            <w:tcW w:w="11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932" w:type="dxa"/>
            <w:gridSpan w:val="6"/>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6" w:type="dxa"/>
        <w:jc w:val="center"/>
        <w:tblInd w:w="0" w:type="dxa"/>
        <w:tblLayout w:type="fixed"/>
        <w:tblCellMar>
          <w:top w:w="28" w:type="dxa"/>
          <w:left w:w="28" w:type="dxa"/>
          <w:bottom w:w="28" w:type="dxa"/>
          <w:right w:w="28" w:type="dxa"/>
        </w:tblCellMar>
      </w:tblPr>
      <w:tblGrid>
        <w:gridCol w:w="2126"/>
        <w:gridCol w:w="1864"/>
        <w:gridCol w:w="1874"/>
        <w:gridCol w:w="211"/>
        <w:gridCol w:w="466"/>
        <w:gridCol w:w="109"/>
        <w:gridCol w:w="109"/>
        <w:gridCol w:w="109"/>
        <w:gridCol w:w="109"/>
        <w:gridCol w:w="211"/>
        <w:gridCol w:w="46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Basic net income or loss per common share is calculated using the weighted-average number of common shares outstanding during the period without consideration of the dilutive effect of conversion of preferred stock. Diluted net income or loss per common share is calculated using the weighted-average number of common shares outstanding during the period plus the dilutive effect of unvested, restricted stock and conversion of preferred stock. The computations for basic and diluted net income or loss per common share are as follows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33" w:type="dxa"/>
        <w:jc w:val="left"/>
        <w:tblInd w:w="0" w:type="dxa"/>
        <w:tblLayout w:type="fixed"/>
        <w:tblCellMar>
          <w:top w:w="28" w:type="dxa"/>
          <w:left w:w="28" w:type="dxa"/>
          <w:bottom w:w="28" w:type="dxa"/>
          <w:right w:w="28" w:type="dxa"/>
        </w:tblCellMar>
      </w:tblPr>
      <w:tblGrid>
        <w:gridCol w:w="1717"/>
        <w:gridCol w:w="1505"/>
        <w:gridCol w:w="1518"/>
        <w:gridCol w:w="109"/>
        <w:gridCol w:w="109"/>
        <w:gridCol w:w="166"/>
        <w:gridCol w:w="166"/>
        <w:gridCol w:w="322"/>
        <w:gridCol w:w="1054"/>
        <w:gridCol w:w="166"/>
        <w:gridCol w:w="109"/>
        <w:gridCol w:w="109"/>
        <w:gridCol w:w="109"/>
        <w:gridCol w:w="211"/>
        <w:gridCol w:w="691"/>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80"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unvested,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Net loss for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Weighted average common shares–basic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for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Net loss for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Weighted average common shares–diluted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Diluted net income or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per common share was calculated under the two-class method for the three months ended January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Related-Party Transactions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transactions with equity method investments and various related parties summarized in Note 6 - Equity in Investments and in the tables below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98"/>
        <w:gridCol w:w="398"/>
        <w:gridCol w:w="399"/>
        <w:gridCol w:w="109"/>
        <w:gridCol w:w="109"/>
        <w:gridCol w:w="109"/>
        <w:gridCol w:w="266"/>
        <w:gridCol w:w="758"/>
        <w:gridCol w:w="150"/>
        <w:gridCol w:w="109"/>
        <w:gridCol w:w="109"/>
        <w:gridCol w:w="109"/>
        <w:gridCol w:w="202"/>
        <w:gridCol w:w="434"/>
        <w:gridCol w:w="112"/>
        <w:gridCol w:w="109"/>
        <w:gridCol w:w="109"/>
        <w:gridCol w:w="109"/>
        <w:gridCol w:w="218"/>
        <w:gridCol w:w="620"/>
        <w:gridCol w:w="121"/>
        <w:gridCol w:w="109"/>
        <w:gridCol w:w="109"/>
        <w:gridCol w:w="109"/>
        <w:gridCol w:w="109"/>
        <w:gridCol w:w="109"/>
        <w:gridCol w:w="266"/>
        <w:gridCol w:w="758"/>
        <w:gridCol w:w="150"/>
        <w:gridCol w:w="109"/>
        <w:gridCol w:w="109"/>
        <w:gridCol w:w="109"/>
        <w:gridCol w:w="202"/>
        <w:gridCol w:w="434"/>
        <w:gridCol w:w="112"/>
        <w:gridCol w:w="109"/>
        <w:gridCol w:w="109"/>
        <w:gridCol w:w="109"/>
        <w:gridCol w:w="218"/>
        <w:gridCol w:w="620"/>
        <w:gridCol w:w="121"/>
        <w:gridCol w:w="109"/>
        <w:gridCol w:w="165"/>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1560"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1560"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Receivables/Other from Related Parties,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Receivables/Other from Related Parties,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LLCB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Related-Party Transactions (continued)</w:t>
      </w:r>
    </w:p>
    <w:tbl>
      <w:tblPr>
        <w:tblW w:w="125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71"/>
        <w:gridCol w:w="583"/>
        <w:gridCol w:w="152"/>
        <w:gridCol w:w="109"/>
        <w:gridCol w:w="109"/>
        <w:gridCol w:w="109"/>
        <w:gridCol w:w="247"/>
        <w:gridCol w:w="531"/>
        <w:gridCol w:w="138"/>
        <w:gridCol w:w="109"/>
        <w:gridCol w:w="109"/>
        <w:gridCol w:w="109"/>
        <w:gridCol w:w="229"/>
        <w:gridCol w:w="649"/>
        <w:gridCol w:w="128"/>
        <w:gridCol w:w="109"/>
        <w:gridCol w:w="109"/>
        <w:gridCol w:w="109"/>
        <w:gridCol w:w="109"/>
        <w:gridCol w:w="109"/>
        <w:gridCol w:w="218"/>
        <w:gridCol w:w="470"/>
        <w:gridCol w:w="123"/>
        <w:gridCol w:w="109"/>
        <w:gridCol w:w="109"/>
        <w:gridCol w:w="109"/>
        <w:gridCol w:w="229"/>
        <w:gridCol w:w="649"/>
        <w:gridCol w:w="128"/>
        <w:gridCol w:w="109"/>
        <w:gridCol w:w="109"/>
        <w:gridCol w:w="109"/>
        <w:gridCol w:w="247"/>
        <w:gridCol w:w="531"/>
        <w:gridCol w:w="138"/>
        <w:gridCol w:w="109"/>
        <w:gridCol w:w="109"/>
        <w:gridCol w:w="109"/>
        <w:gridCol w:w="271"/>
        <w:gridCol w:w="583"/>
        <w:gridCol w:w="152"/>
        <w:gridCol w:w="109"/>
        <w:gridCol w:w="109"/>
        <w:gridCol w:w="109"/>
        <w:gridCol w:w="109"/>
        <w:gridCol w:w="109"/>
        <w:gridCol w:w="217"/>
        <w:gridCol w:w="467"/>
        <w:gridCol w:w="17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 2025</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4"/>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YMIDD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FGF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Owner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 firm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Employees - The Company rents certain of its residential housing assets to employees on a month-to-month basis and recorded rental income from employees. </w:t>
      </w:r>
    </w:p>
    <w:p>
      <w:pPr>
        <w:pStyle w:val="TextBody"/>
        <w:bidi w:val="0"/>
        <w:spacing w:lineRule="auto" w:line="288" w:before="0" w:after="1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had a receivable outstanding.</w:t>
      </w:r>
    </w:p>
    <w:p>
      <w:pPr>
        <w:pStyle w:val="TextBody"/>
        <w:bidi w:val="0"/>
        <w:spacing w:lineRule="auto" w:line="288" w:before="0" w:after="16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 xml:space="preserve">FGF Trapani (“FGF”) - FGF is a 49% partner in the Trapani Fresh joint venture in Argentina, and the Company had a receivable from FGF for lemon sales and the sale of packing supplies and a payable due to FGF for fruit purchases and services. The Company records revenue and receivables related to the licensing of intangible assets to FGF. The Company leases the Santa Clara ranch to FGF, and records rental revenue related to the leased land.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LLCB - The Company entered into a joint venture with Lewis for the residential development of its East Area I real estate development project and formed LLCB as the development entity. Refer to Note 5 - Real Estate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Principal owner - The Company has one principal owner with ownership shares over 10% and paid dividends to such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Rosales - The Company has an equity interest in Rosales as noted in Note 6 - Equity in Investments. The Company recognized lemon and orange sales to Rosales and procured lemons and oranges from Rosales. The Company had no amounts due from Rosales for such sales and had amounts due to Rosales for such purchases.</w:t>
      </w:r>
    </w:p>
    <w:p>
      <w:pPr>
        <w:pStyle w:val="TextBody"/>
        <w:bidi w:val="0"/>
        <w:spacing w:lineRule="auto" w:line="288" w:before="0" w:after="160"/>
        <w:jc w:val="both"/>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Limco Del Mar, Ltd. (“Del Mar”) - The Company has an interest in Del Mar as a general partner and as a limited partner. Through August 3, 2025, the Company provided Del Mar with farm management services and Del Mar marketed lemons through the Company. The Company recorded revenue for farm management services provided to Del Mar in the first three months of fiscal year 2025.</w:t>
      </w:r>
    </w:p>
    <w:p>
      <w:pPr>
        <w:pStyle w:val="TextBody"/>
        <w:bidi w:val="0"/>
        <w:spacing w:lineRule="auto" w:line="288" w:before="0" w:after="160"/>
        <w:jc w:val="both"/>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 xml:space="preserve">Law firm - One of the Company’s directors is a partner at a law firm which provides legal services to the Company and the Company had amounts due for such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January 31, 2026 differs from the federal statutory tax rate of 21% mainly due to foreign jurisdictions that are taxed at different rates, state taxes, tax impact of stock-based compensation, executive compensation, nondeductible tax items and valuation allowances on certain deferred tax assets of foreign subsidiaries. The Company has no material uncertain tax positions as of January 31, 2026. The Company recognizes interest expense and penalties related to income tax matters as a component of income tax expense. There was no material accrued interest or penalties associated with uncertain tax positions as of January 31, 2026.</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a stock-based compensation plan (the “Stock Plan”) that allows for the grant of restricted common stock of the Company to members of management, key executives and non-employee directors. The fair value of such awards is based on the fair value of the Company’s common stock on the date of grant, and all are classified as equity awards.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Management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time-based restricted stock grants are made to management under the Stock Plan and generally vest over a three-year period as service is provided.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November 2025, 33,885 shares of restricted stock with a per share price of $13.28 were granted to management. The related compensation expense of $450,000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January 2026, 8,812 shares of restricted stock with a per share price of $14.60 were granted to management. The related compensation expense of $129,000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November 2025 and January 2026, the Company entered into Performance Share-Based Award Agreements with members of management whereby the employees may be granted up to a maximum of 42,697 shares of common stock in the future based on the achievement of certain long-term performance goals over a three-year period.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Executive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time-based restricted stock grants are made to key executives under the Stock Plan and generally vest over a three-year period as service is provided.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November 2025, 56,476 shares of restricted stock with a per share price of $13.28 were granted to key executives. The related compensation expense of $750,000 will be recognized over three years as the shares vest.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entered into Performance Share-Based Award Agreements with key executives whereby the executives may be granted up to a maximum of 56,476 shares of common stock in the future based on the achievement of certain long-term performance goals over a three-year period.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Director Awards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Certain time-based restricted stock grants are made on an annual basis to non-employee directors under the Stock Plan and generally vest after a one-year period as service is provided.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Exchange of Common Stock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January 31, 2026 and 2025, members of management exchanged 29,187 and 47,089 shares of common stock with fair values totaling $423,000 and $1,224,000, respectively, at the dates of the exchanges, for the payment of payroll taxes associated with the vesting of restricted stock under the Stock Plan.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17.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growing and harvest costs and third-party grower and supplier costs related to fresh lemons. The lemon packing segment includes packing revenues and packing costs. Fresh lemons and lemon packing revenues relate to lemons grown on the Company’s orchards and lemons procured from third-party growers. The avocados segment includes sales, farming and harvest costs. The other agribusiness segment primarily includes sales, growing and harvest costs, brokered fruit costs of oranges and specialty citrus, wine grapes, fallowing revenue, shipping revenue and shipping costs, and included farm management in fiscal year 2025. During fiscal year 2025, the Company changed its presentation of fresh lemons and lemon packing revenue and costs to remove reference to intersegment revenue, intersegment costs and expenses and eliminations.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Company’s CODM measures the operating performance of the Company’s operating segments and allocates resources based on its evaluation. Revenues and operating income or loss, excluding depreciation and amortization, are used to monitor budget versus actual results. The significant expense categories and amounts align with the segment-level information that is regularly provided to the Company’s CODM. No asset information is provided for reportable operating segments, as these specified amounts are not included in the measure of segment profit or loss reviewed by the Company’s CODM. The Company does not separately allocate depreciation and amortization to its fresh lemons, lemon packing, avocados and other agribusiness segments. The Company also does not allocate various gains or losses included in operating income or loss, selling, general and administrative expenses, total other income or expense and income taxes, or specifically identify them to its operating segments.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adopted ASU 2023-07 as of fiscal year 2025 and, as a result, expanded its segment information to include significant segment expenses and other segment items. Other segment items for the lemon packing segment include lease expenses, utilities, repairs and maintenance, professional assessments and fees, insurance, property taxes, custom packing and other packinghouse operational expenses. Other segment items for the other agribusiness segment are primarily shipping expenses. Other segment items in Corporate and Other include rental and operations expenses. Prior year information has been recast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months ended January 31, 2026 is as follows (in thousands):</w:t>
      </w:r>
    </w:p>
    <w:tbl>
      <w:tblPr>
        <w:tblW w:w="10205" w:type="dxa"/>
        <w:jc w:val="left"/>
        <w:tblInd w:w="0" w:type="dxa"/>
        <w:tblLayout w:type="fixed"/>
        <w:tblCellMar>
          <w:top w:w="28" w:type="dxa"/>
          <w:left w:w="28" w:type="dxa"/>
          <w:bottom w:w="28" w:type="dxa"/>
          <w:right w:w="28" w:type="dxa"/>
        </w:tblCellMar>
      </w:tblPr>
      <w:tblGrid>
        <w:gridCol w:w="1352"/>
        <w:gridCol w:w="1112"/>
        <w:gridCol w:w="1117"/>
        <w:gridCol w:w="196"/>
        <w:gridCol w:w="611"/>
        <w:gridCol w:w="109"/>
        <w:gridCol w:w="196"/>
        <w:gridCol w:w="611"/>
        <w:gridCol w:w="109"/>
        <w:gridCol w:w="223"/>
        <w:gridCol w:w="463"/>
        <w:gridCol w:w="125"/>
        <w:gridCol w:w="229"/>
        <w:gridCol w:w="649"/>
        <w:gridCol w:w="128"/>
        <w:gridCol w:w="207"/>
        <w:gridCol w:w="683"/>
        <w:gridCol w:w="116"/>
        <w:gridCol w:w="196"/>
        <w:gridCol w:w="611"/>
        <w:gridCol w:w="109"/>
        <w:gridCol w:w="196"/>
        <w:gridCol w:w="701"/>
        <w:gridCol w:w="156"/>
      </w:tblGrid>
      <w:tr>
        <w:trPr/>
        <w:tc>
          <w:tcPr>
            <w:tcW w:w="135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Labor and benefits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Packing supplies and fruit treatments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Harvest costs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Growing costs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Third party grower and supplier costs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segment items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on disposal of assets, net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costs and expenses, excluding depreciation and amortization </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before income tax benefit</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17. Segment Information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months ended January 31, 2025 is as follows (in thousands):</w:t>
      </w:r>
    </w:p>
    <w:tbl>
      <w:tblPr>
        <w:tblW w:w="10205" w:type="dxa"/>
        <w:jc w:val="left"/>
        <w:tblInd w:w="0" w:type="dxa"/>
        <w:tblLayout w:type="fixed"/>
        <w:tblCellMar>
          <w:top w:w="28" w:type="dxa"/>
          <w:left w:w="28" w:type="dxa"/>
          <w:bottom w:w="28" w:type="dxa"/>
          <w:right w:w="28" w:type="dxa"/>
        </w:tblCellMar>
      </w:tblPr>
      <w:tblGrid>
        <w:gridCol w:w="1346"/>
        <w:gridCol w:w="1107"/>
        <w:gridCol w:w="1112"/>
        <w:gridCol w:w="196"/>
        <w:gridCol w:w="646"/>
        <w:gridCol w:w="109"/>
        <w:gridCol w:w="196"/>
        <w:gridCol w:w="646"/>
        <w:gridCol w:w="109"/>
        <w:gridCol w:w="218"/>
        <w:gridCol w:w="470"/>
        <w:gridCol w:w="123"/>
        <w:gridCol w:w="229"/>
        <w:gridCol w:w="649"/>
        <w:gridCol w:w="128"/>
        <w:gridCol w:w="207"/>
        <w:gridCol w:w="683"/>
        <w:gridCol w:w="116"/>
        <w:gridCol w:w="196"/>
        <w:gridCol w:w="611"/>
        <w:gridCol w:w="109"/>
        <w:gridCol w:w="196"/>
        <w:gridCol w:w="646"/>
        <w:gridCol w:w="157"/>
      </w:tblGrid>
      <w:tr>
        <w:trPr/>
        <w:tc>
          <w:tcPr>
            <w:tcW w:w="13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water rights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before income tax benefit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Revenue related to rental operations are included in “Corporate and Other.” The detail of other agribusiness revenues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49" w:type="dxa"/>
        <w:jc w:val="left"/>
        <w:tblInd w:w="0" w:type="dxa"/>
        <w:tblLayout w:type="fixed"/>
        <w:tblCellMar>
          <w:top w:w="28" w:type="dxa"/>
          <w:left w:w="28" w:type="dxa"/>
          <w:bottom w:w="28" w:type="dxa"/>
          <w:right w:w="28" w:type="dxa"/>
        </w:tblCellMar>
      </w:tblPr>
      <w:tblGrid>
        <w:gridCol w:w="989"/>
        <w:gridCol w:w="866"/>
        <w:gridCol w:w="875"/>
        <w:gridCol w:w="109"/>
        <w:gridCol w:w="109"/>
        <w:gridCol w:w="177"/>
        <w:gridCol w:w="177"/>
        <w:gridCol w:w="343"/>
        <w:gridCol w:w="1001"/>
        <w:gridCol w:w="177"/>
        <w:gridCol w:w="109"/>
        <w:gridCol w:w="109"/>
        <w:gridCol w:w="109"/>
        <w:gridCol w:w="211"/>
        <w:gridCol w:w="616"/>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Oranges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agribusiness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18. Treasury Stock</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March 2025, the Company’s Board of Directors approved a share repurchase program authorizing the Company to purchase up to $30,000,000 of its shares of outstanding common stock. The share repurchase program may be modified, suspended or discontinued at any time and does not commit the Company to repurchase any shares. No shares have been repurchased under this program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March 10, 2026, the Company received $939,000 in insurance proceeds associated with a combined business interruption and casualty loss claim related to an incident which occurred at its packinghouse and for which repair costs were incurred during the first quarter of fiscal year 2026. On March 12, 2026, the Company received confirmation from its insurance company that an additional $1,350,000 of insurance proceeds is to be paid for such claim. The Company anticipates receiving these additional insurance proceeds in the second quarter of fiscal year 2026 at which time income will be recognized for the amounts received.</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 (CONTINUED)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19. Subsequent Events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evaluated events subsequent to January 31, 2026 through the date of this filing, to assess the need for potential recognition or disclosure in the unaudited consolidated financial statements. Based upon this evaluation, except as described in the paragraph above and in the notes to consolidated financial statements, it was determined that no other subsequent events occurred that require recognition or disclosure in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Limoneira Company, a Delaware corporation, is the successor to several businesses with operations in California since 1893. We are primarily an agribusiness company founded and based in Santa Paula, California, committed to responsibly using and managing our approximately 7,000 acres of land, water resources and other assets to maximize long-term stockholder value. Our current operations consist of fruit production and packing operations, rental operations, real estate and capital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are one of California’s oldest lemon growers and according to the California Avocado Commission, we are one of the largest growers of avocados in the United States. In addition to growing lemons and avocados, we grow wine grapes. We have agricultural plantings throughout Ventura and San Luis Obispo Counties in California, Yuma County in Arizona and Jujuy, Argentina, which collectively consist of approximately 2,400 acres of lemons, 1,600 acres of avocados and 400 acres of wine grapes. We also operate our own packinghouses in Santa Paula, California and Yuma, Arizona, where we process and pack lemons that we grow, as well as lemons grown by others. We have a 51% interest in a joint venture, Trapani Fresh Consorcio de Cooperacion (“Trapani Fresh”), a lemon orchard in Argentina. We have a 47% interest in Rosales S.A. (“Rosales”), a citrus packing, marketing and sales business located near La Serena, Chile. We have a 90% interest in Fruticola Pan de Azucar S.A. (“PDA”) and a 100% interest in Agricola San Pablo, SpA (“San Pablo”). Through November 7, 2025, these entities owned lemon and orange orchards located near La Serena, Chile.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 as well as entitlement efforts related to Ventura County farmland.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Business Division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and wine grapes. The agribusiness division includes our core operations of farming, harvesting and lemon packing operations. The rental operations division includes our residential and commercial rentals,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Financial information and discussion of our four reportable segments are contained in the notes to the accompanying consolidated financial statements of this Quarterly Report.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Agribusiness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2025, Limoneira entered into a Commercial Packinghouse License Agreement with Sunkist Growers, Inc., a nonprofit marketing cooperative (“Sunkist” and the “Sunkist Agreement”), effective as of November 1, 2025. The agreement permits us to grade, label, pack, prepare for marketing by Sunkist and ship Sunkist grower lemons, and to use Sunkist trademarks in these activities. The agreement has an initial term of three years with automatic one-year extensions. As of November 1, 2025, Sunkist performs the Company’s lemon sales and marketing operations. Prior to November 1, 2025, the Company marketed and sold citrus directly to food service, wholesale and retail customers throughout the United States, Canada, Asia and certain other international markets. We sell our avocados to third-party packinghouses and our wine grapes to wine producers.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Historically, our agribusiness division has been seasonal in nature, with quarterly revenues fluctuating depending on the timing and variety of crops being harvested. Cultural costs, also referred to as growing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increased production. Lemon revenues are expected to be lower in the first and second quarters and higher in the third and fourth quarters in connection with the Sunkist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 plantings have been profitable and historically were pursued to diversify our product line. Since fiscal year 2023, we expanded our avocado production by 800 acres, and we plan to expand an additional 200 acres through fiscal year 2027. This 1,000-acre expansion reflects our strategy to capitalize on robust consumer demand trends for 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to growing lemons and avocados, we grow wine grapes. We regularly monitor the demand for the fruit we grow in the current marketplace to identify trends.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Rental Operations Summary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rental operations include our residential and commercial rentals, leased land operations and organic recycling. Our residential and commercial rentals generate cash flows that we use to partially fund the operating costs of our business. In addition, our leased land business provides us with a profitable method to diversify the use of our land. Revenue from rental operations is generally level throughout the year.</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Real Estate Development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invest in real estate investment projects and recognize that long-term strategies are required for successful real estate development activities.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Water and Mineral Rights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8,500 acre-feet of water rights in the adjudicated Santa Paula Basin (aquifer) and additional rights in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11,500 acre-feet of Class 3 Colorado River water rights. We use ground water provided by wells and surface water for our Trapani Fresh farming operations in Argentina and used ground water provided by wells and surface water for our PDA and San Pablo farming operations in La Serena, Chile.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Southern California is experiencing above average precipitation for the 2025 to 2026 rainfall season. As of January 31, 2026, Ventura County was free from general drought conditions. We continue to assess the impact drought conditions may have on our California orchards.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August 2025, the U.S. Bureau of Reclamation announced that Lake Mead will continue to operate in a Tier 1 shortage in 2026, which requires Arizona to forfeit approximately 18% of the state’s yearly allotment of water from Lake Mead. In response to this and prior years’ water shortages, we entered into fallowing agreements during fiscal years 2022 and 2023 and in February 2025, extended an existing fallowing agreement through calendar year 2026. We continue to assess the impact these ongoing water reductions may have on our Arizona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June 6, 2025, we entered into a Commercial Packinghouse License Agreement with Sunkist Growers, Inc., a nonprofit marketing cooperative, effective as of November 1, 2025. The agreement permits us to grade, label, pack, prepare for marketing by Sunkist and ship Sunkist grower lemons, and to use Sunkist trademarks in these activities. The agreement has an initial term of three years with automatic one-year extensions. As of November 1, 2025, Sunkist performs the Company’s lemon sales and marketing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November 7, 2025, our Chilean subsidiaries, PDA and San Pablo (collectively, the “Sellers”), each entered into a Purchase and Sale Agreement and Novation Agreement (collectively, the “Purchase Agreements”) with San Pedro, SpA, a Chilean joint stock company (the “Buyer”), to sell certain real estate parcels consisting of approximately 500 acres of lemons, 100 acres of oranges and other unplanted lands including water rights associated with the parcels for an aggregate purchase price of $15.0 million. The transactions closed upon transfer of the deeds simultaneously with the execution of the Purchase Agreements.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After a period of approximately 120 days to record the transactions, which is customary in Chilean real estate transactions, the Buyer will make an initial payment to the Sellers in the aggregate amount of $6.8 million, of which approximately $0.7 million will be deferred until certain requirements have been fulfilled. The remainder of the Buyer’s payment obligations, in the aggregate amount of $8.2 million,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 The Company recorded an immaterial gain on the disposal of assets.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December 16, 2025, we declared a cash dividend of $0.075 per common share paid on January 16, 2026, in the aggregate amount of $1.4 million to common stockholders of record as of December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results of operations (in thousands):</w:t>
      </w:r>
    </w:p>
    <w:tbl>
      <w:tblPr>
        <w:tblW w:w="8352" w:type="dxa"/>
        <w:jc w:val="left"/>
        <w:tblInd w:w="0" w:type="dxa"/>
        <w:tblLayout w:type="fixed"/>
        <w:tblCellMar>
          <w:top w:w="28" w:type="dxa"/>
          <w:left w:w="28" w:type="dxa"/>
          <w:bottom w:w="28" w:type="dxa"/>
          <w:right w:w="28" w:type="dxa"/>
        </w:tblCellMar>
      </w:tblPr>
      <w:tblGrid>
        <w:gridCol w:w="1658"/>
        <w:gridCol w:w="1464"/>
        <w:gridCol w:w="1468"/>
        <w:gridCol w:w="211"/>
        <w:gridCol w:w="721"/>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21" w:type="dxa"/>
            <w:gridSpan w:val="18"/>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Limoneira Company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loss (gain) on disposal of assets, net and foreign currency transaction losses, are important measures to evaluate our results of operations between periods on a more comparable basis. Adjusted EBITDA in fiscal year 2025 did not exclude foreign currency transaction losses which has now been excluded as management believes this is a better representation of cash generated by operations. Foreign currency transaction losses were immaterial in fiscal year 2025.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EBITDA and adjusted EBITDA are summarized and reconciled to net loss attributable to Limoneira Company, which management considers to be the most directly comparable financial measure calculated and presented in accordance with GAAP, as follows (in thousands):</w:t>
      </w:r>
    </w:p>
    <w:tbl>
      <w:tblPr>
        <w:tblW w:w="6737" w:type="dxa"/>
        <w:jc w:val="left"/>
        <w:tblInd w:w="0" w:type="dxa"/>
        <w:tblLayout w:type="fixed"/>
        <w:tblCellMar>
          <w:top w:w="28" w:type="dxa"/>
          <w:left w:w="28" w:type="dxa"/>
          <w:bottom w:w="28" w:type="dxa"/>
          <w:right w:w="28" w:type="dxa"/>
        </w:tblCellMar>
      </w:tblPr>
      <w:tblGrid>
        <w:gridCol w:w="1336"/>
        <w:gridCol w:w="1173"/>
        <w:gridCol w:w="1180"/>
        <w:gridCol w:w="211"/>
        <w:gridCol w:w="691"/>
        <w:gridCol w:w="109"/>
        <w:gridCol w:w="109"/>
        <w:gridCol w:w="109"/>
        <w:gridCol w:w="109"/>
        <w:gridCol w:w="211"/>
        <w:gridCol w:w="691"/>
        <w:gridCol w:w="109"/>
        <w:gridCol w:w="109"/>
        <w:gridCol w:w="109"/>
        <w:gridCol w:w="109"/>
        <w:gridCol w:w="109"/>
        <w:gridCol w:w="109"/>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January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attributable to Limoneira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(gain) on disposal of assets,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transaction losses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Three Months Ended January 31, 2026 Compared to the Three Months Ended January 31,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net revenues were $18.2 million for the three months ended January 31, 2026, compared to $34.3 million for the same period of fiscal year 2025. The 47% decrease of $16.1 million was primarily due to decreased agribusiness revenues from lemons, oranges and farm management as detailed below ($ in thousands):</w:t>
      </w:r>
    </w:p>
    <w:tbl>
      <w:tblPr>
        <w:tblW w:w="7862" w:type="dxa"/>
        <w:jc w:val="left"/>
        <w:tblInd w:w="0" w:type="dxa"/>
        <w:tblLayout w:type="fixed"/>
        <w:tblCellMar>
          <w:top w:w="28" w:type="dxa"/>
          <w:left w:w="28" w:type="dxa"/>
          <w:bottom w:w="28" w:type="dxa"/>
          <w:right w:w="28" w:type="dxa"/>
        </w:tblCellMar>
      </w:tblPr>
      <w:tblGrid>
        <w:gridCol w:w="985"/>
        <w:gridCol w:w="868"/>
        <w:gridCol w:w="877"/>
        <w:gridCol w:w="257"/>
        <w:gridCol w:w="880"/>
        <w:gridCol w:w="133"/>
        <w:gridCol w:w="133"/>
        <w:gridCol w:w="133"/>
        <w:gridCol w:w="133"/>
        <w:gridCol w:w="257"/>
        <w:gridCol w:w="880"/>
        <w:gridCol w:w="133"/>
        <w:gridCol w:w="109"/>
        <w:gridCol w:w="109"/>
        <w:gridCol w:w="109"/>
        <w:gridCol w:w="211"/>
        <w:gridCol w:w="796"/>
        <w:gridCol w:w="109"/>
        <w:gridCol w:w="219"/>
        <w:gridCol w:w="219"/>
        <w:gridCol w:w="312"/>
      </w:tblGrid>
      <w:tr>
        <w:trPr/>
        <w:tc>
          <w:tcPr>
            <w:tcW w:w="9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862" w:type="dxa"/>
            <w:gridSpan w:val="15"/>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Lemons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Avocados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citrus and wine grapes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 management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revenues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bl>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Lemons: The decrease for the first quarter of fiscal year 2026, compared to the same period of fiscal year 2025, was primarily due to our partnership with Sunkist, which resulted in lower prices and decreased volume of fresh carton sales and a decrease of brokered and other lemon sales. Fresh carton sales were $11.9 million and $21.2 million, in aggregate, on 681,000 and 1,147,000 cartons of lemons sold at average per carton prices of $17.41 and $18.44, for the first quarter of fiscal years 2026 and 2025, respectively. The decrease in fresh carton volume was primarily related to a shift in our volume under the Sunkist Agreement from the first and second quarters and into our third and fourth quarters. Per carton prices for the first quarter of fiscal year 2026 are net of the Sunkist marketing fee. Brokered lemons and other lemon sales were $1.0 million and $2.2 million for the first quarter of fiscal years 2026 and 2025, respectively, due to the transition of our brokerage operations to Sunkist. Lemon revenue included packing and handling revenue of $2.8 million and $4.5 million for the first quarter of fiscal years 2026 and 2025, respectively, and lemon by-product sales of $0.4 million for the first quarter of fiscal year 2025. Lemon by-product sales were immaterial for the first quarter of fiscal year 2026.</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Avocados: Due to harvest timing, no avocados were sold in the first quarter of fiscal year 2026. We sold 73,000 pounds of avocados at an average per pound price of $2.25 in the first quarter of fiscal year 2025.</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Oranges: The decrease for the first quarter of fiscal year 2026, compared to the same period of fiscal year 2025, was related to the sale of our Chilean agricultural properties and the transition of our citrus brokerage operations to Sunkist.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Specialty citrus and wine grapes: The increase for the first quarter of fiscal year 2026, compared to the same period of fiscal year 2025, was primarily due to wine grape sales in the first quarter of fiscal year 2026. Due to harvest timing, no wine grape revenue was recorded for the first quarter of fiscal year 2025. The wine grape increase was partially offset by a decrease in specialty citrus due to the transition of our citrus brokerage operations to Sunkist.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Farm management: Farm management revenue for the first quarter of fiscal year 2025 was comprised primarily of farming, management and operations services provided to the Northern Properties prior to the termination of the agreement effective March 31, 2025. No farm management services were provided during the first quarter of fiscal year 2026.</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Other: Other revenue, comprised primarily of fallowing and shipping, decreased for the first quarter of fiscal year 2026, compared to the same period of fiscal year 2025, primarily due to decreased shipping revenue. The Company no longer provides shipping services under the Sunkist Agreement.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Other operations revenue for the first quarter of fiscal year 2026, compared to the same period of fiscal year 2025, was similar at $1.5 million.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costs and expenses were $28.8 million for the three months ended January 31, 2026, compared to $39.7 million for the same period of fiscal year 2025. The 27% decrease of $10.9 million was primarily due to a decrease in agribusiness costs and expenses and a decrease in selling, general and administrative expenses, partially offset by gains on sales of water rights in the first quarter of fiscal year 2025. Agribusiness costs and expenses are detailed below ($ in thousands):</w:t>
      </w:r>
    </w:p>
    <w:tbl>
      <w:tblPr>
        <w:tblW w:w="8176" w:type="dxa"/>
        <w:jc w:val="left"/>
        <w:tblInd w:w="0" w:type="dxa"/>
        <w:tblLayout w:type="fixed"/>
        <w:tblCellMar>
          <w:top w:w="28" w:type="dxa"/>
          <w:left w:w="28" w:type="dxa"/>
          <w:bottom w:w="28" w:type="dxa"/>
          <w:right w:w="28" w:type="dxa"/>
        </w:tblCellMar>
      </w:tblPr>
      <w:tblGrid>
        <w:gridCol w:w="1142"/>
        <w:gridCol w:w="999"/>
        <w:gridCol w:w="1009"/>
        <w:gridCol w:w="257"/>
        <w:gridCol w:w="880"/>
        <w:gridCol w:w="133"/>
        <w:gridCol w:w="133"/>
        <w:gridCol w:w="133"/>
        <w:gridCol w:w="133"/>
        <w:gridCol w:w="257"/>
        <w:gridCol w:w="880"/>
        <w:gridCol w:w="133"/>
        <w:gridCol w:w="109"/>
        <w:gridCol w:w="109"/>
        <w:gridCol w:w="109"/>
        <w:gridCol w:w="211"/>
        <w:gridCol w:w="796"/>
        <w:gridCol w:w="109"/>
        <w:gridCol w:w="188"/>
        <w:gridCol w:w="188"/>
        <w:gridCol w:w="268"/>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Packing costs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Harvest costs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Growing costs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grower and supplier costs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 costs and expenses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bl>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Packing costs: Packing costs consist primarily of the costs to pack lemons for sale such as labor and benefits, cardboard cartons, fruit treatments, packing and shipping supplies, and facility operating costs. We packed and sold 681,000 and 1,147,000 cartons of lemons at average per carton costs of $13.22 and $9.23, for the first quarter of fiscal years 2026 and 2025, respectively. The increase in per carton packing costs was primarily due to decreased volume and higher costs for labor and repairs and maintenance. We incurred packinghouse repair costs in the first quarter of fiscal year 2026 and received insurance proceeds related to these costs in the second quarter of fiscal year 2026.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The decrease for the first quarter of fiscal year 2026, compared to the same period of fiscal year 2025, was primarily due to decreased volume of lemons harvested.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Growing costs, also referred to as cultural costs, consist of orchard maintenance costs such as cultivation, fertilization and soil amendments, pest control, pruning and irrigation. The decrease for the first quarter of fiscal year 2026, compared to the same period of fiscal year 2025, was primarily due to the termination of the farm management agreement effective March 31, 2025 and farming operational decisions made in response to weather, harvest timing and crop conditions.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Third-party grower and supplier costs: We sell fruit that we grow and fruit that we procure from other growers and suppliers. The cost of procuring fruit from other growers and suppliers is referred to as third-party grower and supplier costs. The decrease for the first quarter of fiscal year 2026, compared to the same period of fiscal year 2025, was primarily due to decreased costs of third-party grower fruit and brokered fruit. We incurred costs for third-party grower fruit of $7.1 million and $11.7 million, for the first quarter of fiscal years 2026 and 2025, respectively. Additionally, we incurred costs for brokered fruit of $0.4 million and $2.7 million, for the first quarter of fiscal years 2026 and 2025, respectively. Of the 681,000 and 1,147,000 cartons of lemons packed and sold, 534,000 (78%) and 953,000 (83%) were procured from third-party growers at average per carton prices of $13.26 and $12.23, for the first quarter of fiscal years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costs: The decrease in the first quarter of fiscal year 2026, compared to the same period of fiscal year 2025, was due to decreased freight costs.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Depreciation and amortization: Depreciation and amortization was $1.9 million in the first quarter of fiscal year 2026, compared to $1.8 million in the same period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operations expenses were $1.1 million for the first quarter of fiscal year 2026, compared to $1.2 million for the same period of fiscal year 2025.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Gain on sales of water rights was $1.5 million for the first quarter of fiscal year 2025 due to three separate sale transactions of Santa Paula Basin water pumping rights.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and expenses were $4.6 million for the first quarter of fiscal year 2026, compared to $6.5 million for the same period of fiscal year 2025. The 29% decrease of $1.9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$1.5 million net decrease in salaries, benefits and incentive compensation, primarily related to transition of the Company’s sales and marketing function to Sunkist;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$0.4 million net decrease in other general and administrative expenses.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other expense was $1.5 million for the first quarter of fiscal year 2026, compared to $0.1 million for the same period of fiscal year 2025. The increase of $1.4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$0.9 million increase in other expense primarily related to foreign exchange transaction losses, net;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$0.5 million increase in interest expense, net of patronage dividends.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recorded an estimated income tax benefit of $2.7 million and $2.4 million on pre-tax loss of $12.0 million and $5.5 million, for the first quarter of fiscal years 2026 and 2025, respectively. The tax benefit recorded for the first quarter of fiscal year 2026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2026, excluding discrete items, is approximately 7.3%.</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Net Income Attributable to Noncontrolling Interests, Net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net for the first quarter of fiscal year 2026 represents 10% of PDA’s net income, 49% of Trapani Fresh’s net loss and 45.1% of Del Mar’s net loss. Net income attributable to noncontrolling interests, net for the first quarter of fiscal year 2025 represents 10% of PDA’s net income and 49% of Trapani Fresh’s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During fiscal year 2025, the Company changed its presentation of fresh lemons and lemon packing revenue and costs to remove reference to intersegment revenue and costs and eliminations. Prior year information has been recast to conform to the current year presentation. The Company adopted ASU 2023-07 as of fiscal year 2025 and, as a result, expanded its segment information to include significant segment expenses and other segment items. See Note 17 - Segment Information for additional information regarding our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Three Months Ended January 31, 2026 Compared to the Three Months Ended January 31,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three months ended January 31, 2026 (in thousands):</w:t>
      </w:r>
    </w:p>
    <w:tbl>
      <w:tblPr>
        <w:tblW w:w="10205" w:type="dxa"/>
        <w:jc w:val="left"/>
        <w:tblInd w:w="0" w:type="dxa"/>
        <w:tblLayout w:type="fixed"/>
        <w:tblCellMar>
          <w:top w:w="28" w:type="dxa"/>
          <w:left w:w="28" w:type="dxa"/>
          <w:bottom w:w="28" w:type="dxa"/>
          <w:right w:w="28" w:type="dxa"/>
        </w:tblCellMar>
      </w:tblPr>
      <w:tblGrid>
        <w:gridCol w:w="1352"/>
        <w:gridCol w:w="1112"/>
        <w:gridCol w:w="1117"/>
        <w:gridCol w:w="196"/>
        <w:gridCol w:w="611"/>
        <w:gridCol w:w="109"/>
        <w:gridCol w:w="196"/>
        <w:gridCol w:w="611"/>
        <w:gridCol w:w="109"/>
        <w:gridCol w:w="223"/>
        <w:gridCol w:w="463"/>
        <w:gridCol w:w="125"/>
        <w:gridCol w:w="229"/>
        <w:gridCol w:w="649"/>
        <w:gridCol w:w="128"/>
        <w:gridCol w:w="207"/>
        <w:gridCol w:w="683"/>
        <w:gridCol w:w="116"/>
        <w:gridCol w:w="196"/>
        <w:gridCol w:w="611"/>
        <w:gridCol w:w="109"/>
        <w:gridCol w:w="196"/>
        <w:gridCol w:w="701"/>
        <w:gridCol w:w="156"/>
      </w:tblGrid>
      <w:tr>
        <w:trPr/>
        <w:tc>
          <w:tcPr>
            <w:tcW w:w="135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Labor and benefits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Packing supplies and fruit treatments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Harvest costs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Growing costs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Third party grower and supplier costs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segment items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on disposal of assets, net </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costs and expenses, excluding depreciation and amortization </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segment results of operations for the three months ended January 31, 2025 (in thousands):</w:t>
      </w:r>
    </w:p>
    <w:tbl>
      <w:tblPr>
        <w:tblW w:w="10205" w:type="dxa"/>
        <w:jc w:val="left"/>
        <w:tblInd w:w="0" w:type="dxa"/>
        <w:tblLayout w:type="fixed"/>
        <w:tblCellMar>
          <w:top w:w="28" w:type="dxa"/>
          <w:left w:w="28" w:type="dxa"/>
          <w:bottom w:w="28" w:type="dxa"/>
          <w:right w:w="28" w:type="dxa"/>
        </w:tblCellMar>
      </w:tblPr>
      <w:tblGrid>
        <w:gridCol w:w="1346"/>
        <w:gridCol w:w="1107"/>
        <w:gridCol w:w="1112"/>
        <w:gridCol w:w="196"/>
        <w:gridCol w:w="646"/>
        <w:gridCol w:w="109"/>
        <w:gridCol w:w="196"/>
        <w:gridCol w:w="646"/>
        <w:gridCol w:w="109"/>
        <w:gridCol w:w="218"/>
        <w:gridCol w:w="470"/>
        <w:gridCol w:w="123"/>
        <w:gridCol w:w="229"/>
        <w:gridCol w:w="649"/>
        <w:gridCol w:w="128"/>
        <w:gridCol w:w="207"/>
        <w:gridCol w:w="683"/>
        <w:gridCol w:w="116"/>
        <w:gridCol w:w="196"/>
        <w:gridCol w:w="611"/>
        <w:gridCol w:w="109"/>
        <w:gridCol w:w="196"/>
        <w:gridCol w:w="646"/>
        <w:gridCol w:w="157"/>
      </w:tblGrid>
      <w:tr>
        <w:trPr/>
        <w:tc>
          <w:tcPr>
            <w:tcW w:w="13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b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Lemon</w:t>
              <w:br/>
              <w:t>Packing</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Agribusiness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Costs and expenses, excluding 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Packing supplies and fruit treatments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Harvest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grower and supplier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water rights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costs and expenses, excluding depreciation and amortization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Fresh Lemons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Fresh lemons segment revenue is comprised of sales of fresh lemons, lemon by-products, brokered lemons and other lemon revenue. Our fresh lemons segment total net revenues were $8.7 million for the first quarter of fiscal year 2026, compared to $16.4 million for the same period of fiscal year 2025. The 47% decrease of $7.7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Fresh lemon sales net of pack charge decrease of $6.1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lemons and other lemon sales decrease of $1.2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Lemon by-products sales decrease of $0.4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fresh lemons segment include growing costs, harvest costs and cost of lemons we procure from third-party growers and suppliers. Our fresh lemons segment costs and expenses were $11.0 million for the first quarter of fiscal year 2026, compared to $17.2 million for the same period of fiscal year 2025. The 36% decrease of $6.2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Third-party grower and supplier costs decrease of $5.0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Harvest costs decrease of $0.8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Growing costs decrease of $0.4 million.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Lemon Packing</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Lemon packing segment revenue is comprised of packing revenue and packing and handling revenue. Our lemon packing segment total net revenues were $7.0 million for the first quarter of fiscal year 2026, compared to $11.8 million for the same period of fiscal year 2025. The 41% decrease of $4.8 million was primarily due to a decrease in cartons of lemons packed and sold.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lemon packing segment consist of the costs to pack lemons for sale such as labor and benefits, cardboard cartons, fruit treatments, packing and shipping supplies, and facility operating costs. Our lemon packing costs and expenses were $9.0 million for the first quarter of fiscal year 2026, compared to $10.6 million for the same period of fiscal year 2025. The 15% decrease of $1.6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Packing supplies and fruit treatments decrease of $1.1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Labor and benefits decrease of $0.4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segment items decrease of $0.1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Lemon packing segment operating (loss) income per carton sold was $(3.00) for the first quarter of fiscal year 2026, compared to $1.07 for the same period of fiscal year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Avocados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avocados segment had no revenue for the first quarter of fiscal year 2026, compared to $0.2 million for the same period of fiscal year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Costs and expenses associated with our avocados segment include growing and harvest costs. Our avocados segment costs and expenses were immaterial for the first quarter of fiscal years 2026 and 2025.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Agribusiness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other agribusiness segment total net revenues were $1.1 million for the first quarter of fiscal year 2026, compared to $4.4 million for the same period of fiscal year 2025. The 76% decrease of $3.3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Orange revenue decrease of $1.5 million;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Farm management revenue decrease of $1.2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revenue decrease of $0.8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Specialty citrus revenue increase of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associated with our other agribusiness segment include growing costs, harvest costs, brokered fruit costs and shipping costs. Our other agribusiness costs and expenses were $1.0 million for the first quarter of fiscal year 2026, compared to $3.9 million for the same period of fiscal year 2025. The 74% decrease of $2.9 million was primarily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Brokered fruit costs decrease of $1.8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Shipping costs decrease of $0.7 million;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Growing costs decrease of $0.5 million;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Harvest costs increase of $0.1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Total agribusiness depreciation and amortization expenses were $1.9 million for the first quarter of fiscal year 2026, compared to $1.8 million for the same period of fiscal year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corporate and other operations revenues were $1.5 million for the first quarter of fiscal years 2026 and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Costs and expenses in our corporate and other operations primarily includes selling, general and administrative costs and expenses, and various gains and losses not allocated to the operating segments. Costs and expenses in our corporate and other operations were $5.5 million for the first quarter of fiscal year 2026, compared to $5.9 million for the same period of fiscal year 2025. Depreciation and amortization expenses in our corporate and other operations were $0.2 million for the first quarter of fiscals year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Seasonal Operations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Historically, our agribusiness operations have been seasonal in nature, with quarterly revenues fluctuating depending on the timing and variety of crops being harvested. Cultural costs in our agribusiness tend to be higher for the first and second quarters and lower for the third and fourth quarters because of the timing of expensing cultural costs for the current year that were inventoried for the prior year. Our harvest costs generally increase for the second quarter and peak for the third quarter, coinciding with increased production. Lemon revenues are expected to shift from the first and second quarters into the third and fourth quarters in connection with the Sunkist Agreement. Due to this seasonality, and to avoid the inference that interim results are indicative of the estimated results for a full fiscal year, we present supplemental information for 12-month periods ended at the interim date for the current and preceding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 for the Trailing Twelve Months Ended January 31, 2026 and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unaudited results of operations (in thousands):</w:t>
      </w:r>
    </w:p>
    <w:tbl>
      <w:tblPr>
        <w:tblW w:w="9580" w:type="dxa"/>
        <w:jc w:val="left"/>
        <w:tblInd w:w="0" w:type="dxa"/>
        <w:tblLayout w:type="fixed"/>
        <w:tblCellMar>
          <w:top w:w="28" w:type="dxa"/>
          <w:left w:w="28" w:type="dxa"/>
          <w:bottom w:w="28" w:type="dxa"/>
          <w:right w:w="28" w:type="dxa"/>
        </w:tblCellMar>
      </w:tblPr>
      <w:tblGrid>
        <w:gridCol w:w="2070"/>
        <w:gridCol w:w="1828"/>
        <w:gridCol w:w="1832"/>
        <w:gridCol w:w="305"/>
        <w:gridCol w:w="1195"/>
        <w:gridCol w:w="157"/>
        <w:gridCol w:w="157"/>
        <w:gridCol w:w="157"/>
        <w:gridCol w:w="157"/>
        <w:gridCol w:w="305"/>
        <w:gridCol w:w="1195"/>
        <w:gridCol w:w="222"/>
      </w:tblGrid>
      <w:tr>
        <w:trPr/>
        <w:tc>
          <w:tcPr>
            <w:tcW w:w="207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Twelve Months Ended January 31,</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180,436 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186,077 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Agribusiness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of water rights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previously held equity method investment</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patronage dividends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investments, net</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income before income tax benefit (provision)</w:t>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 net</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(loss) income attributable to Limoneira Company</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(22,334)</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The following analysis should be read in conjunction with the previous section “Results of Operations.”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net revenues decreased $42.5 million, primarily due to decreased lemon, avocado and farm management revenue.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costs and expenses decreased $20.6 million, primarily due to decreased agribusiness costs and selling, general and administrative expenses and the gain on remeasurement of previously held equity method investment.</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Total other income decreased $19.6 million, primarily due to decreased equity in earnings of investments related to LLCB.</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Income tax benefit increased $11.1 million due to increased pre-tax loss of $41.5 million and the effects of estimated interim tax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and cash flows generated from our operations, use of our revolving credit facility, sales of assets and distributions from our equity investments. Our liquidity and capital position fluctuate during the year depending on seasonal production cycles, weather events and demand for our products. We generally grow crops during our first and fourth fiscal quarters and harvest them during our second and third fiscal quarters. In connection with the Sunkist Agreement, we expect lemon revenues to be higher during our third and fourth fiscal quarters. To meet working capital demand and investment requirements of our agribusiness and real estate development projects and to supplement operating cash flows, we utilize our revolving credit facility to fund agricultural inputs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Material contractual obligations arising in the normal course of business consist primarily of purchase obligations under the Sunkist Agreement, long-term variable rate debt and related interest payments and operating and finance leases. See Note 10 - Long-Term Debt and Note 11 - Leases for amounts outstanding as of January 31, 2026 related to debt and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and financing cash flows to the extent necessary based on our liquidity demands.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$11.7 million and $12.9 million for the three months ended January 31, 2026 and 2025, respectively. The significant components of our cash flows used in operating activities were as follows: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Net loss was $9.3 million and $3.1 million for the three months ended January 31, 2026 and 2025, respectively. The components of net loss for the three months ended January 31, 2026, compared to net loss for the same period of fiscal year 2025, consists of an increase in total other expense of $1.3 million, an increase in operating loss of $5.2 million and an increase in income tax benefit of $0.3 million.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Adjustments to reconcile net loss to net cash used in operating activities: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Adjustments were $(0.2) million and $(0.6) million for the three months ended January 31, 2026 and 2025, respectively, primarily related to depreciation and amortization, gain on sales of water rights, stock compensation expense and deferred income taxes.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Changes in operating assets and liabilities used $2.2 million and $9.3 million of operating cash for the three months ended January 31, 2026 and 2025, respectively, primarily related to accounts receivables and receivables/other from related parties, prepaid expenses and other current assets, accounts payable and growers and suppliers payable, and accrued liabilities and payables to related parties.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$3.4 million and $3.5 million for the three months ended January 31, 2026 and 2025,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 xml:space="preserve">The $3.4 million of cash used in investing activities for the three months ended January 31, 2026 was comprised primarily of capital expenditures of $3.0 million, mainly related to orchard and vineyard development, and equity investment contributions and capitalized interest of $0.3 million.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$3.5 million of cash used in investing activities for the three months ended January 31, 2025 was comprised primarily of capital expenditures of $4.1 million, mainly related to orchard and vineyard development, partially offset by proceeds from sales of water rights of $0.6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$15.3 million and $14.5 million for the three months ended January 31, 2026 and 2025, respectively.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$15.3 million of cash provided by financing activities for the three months ended January 31, 2026 was comprised primarily of net borrowings of long-term debt of $17.5 million, partially offset by common and preferred dividends of $1.5 million and the exchange of common stock of $0.4 million.</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$14.5 million of cash provided by financing activities for the three months ended January 31, 2025 was comprised primarily of net borrowings of long-term debt of $17.4 million, partially offset by common and preferred dividends of $1.5 million and the exchange of common stock of $1.2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Transactions Affecting Liquidity and Capital Resources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Credit Facilities and Long-Term Debt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finance our working capital and other liquidity requirements primarily through cash from operations, distributions from equity investments and from our Credit Facility with AgWest Farm Credit, (the "Lender"). In June 2025, we entered into a Master Loan Agreement (the “MLA”) together with a revolving credit facility supplement (the “Revolving Credit Supplement”) and a non-revolving credit facility supplement (the “Non-Revolving Credit Supplement” and, together with the Revolving Credit Supplement, the “Supplements”). The MLA governs the terms of the Supplements and extends the principal repayment to July 1, 2030. Additional information regarding these loans can be found in Note 10 -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Supplements provide aggregate borrowing capacity of $115.0 million, comprised of $114.0 million under the Revolving Credit Supplement and $1.0 million under the Non-Revolving Credit Supplement which can be used solely to support calls on Letters of Credit. There are no amounts outstanding on the Non-Revolving Credit Supplement. As of January 31, 2026, our outstanding borrowings under the Revolving Credit Supplement were $89.9 million and we had $24.1 million available to borrow.</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were subject to an annual financial covenant that required us to maintain compliance with a specific debt service coverage ratio of 1.0:1.0 for the fiscal year ending October 31, 2026, and 1.25:1.0 for any fiscal year ending thereafter. In September 2025, the Lender modified the annual debt service coverage ratio covenant to defer measurement as of October 31, 2025. In December 2025, the Lender modified the annual debt service coverage ratio covenant to defer measurement as of October 31, 2026 and resume a debt service coverage ratio of 1.25:1.0 measured as of October 31, 2027 and for any fiscal year ending thereafter.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were also subject to a quarterly financial covenant that required us to maintain compliance with a specific total net leverage ratio as of the end of any fiscal quarter beginning July 31, 2026. In December 2025, the Lender modified this quarterly financial covenant to defer measurement through July 31, 2027 and resume measurement as of October 31, 2027. Additionally, in December 2025, the Lender added a new quarterly financial covenant for the period January 31, 2026 through July 31, 2027, which requires us to maintain a specific debt to capitalization ratio. We were in compliance with this covenant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holders of our Series B Convertible Preferred Stock and Series B-2 Preferred Stock are entitled to receive cumulative cash dividends. Such preferred dividends paid were $0.1 million for the three months ended January 31, 2026 and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Cash dividends declared for the three months ended January 31, 2026 and 2025 were $0.075 per common share and such dividends paid were $1.4 million for the three months ended January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As of January 31, 2026, our critical accounting policies and estimates have not changed since the filing of our Annual Report on Form 10-K for the fiscal year ended October 31, 2025, as filed with the SEC on December 23, 2025. Please refer to that filing for a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See Note 2 - Summary of Significant Accounting Policies of the notes to consolidated financial statements included in this Quarterly Report for information concerning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3. Quantitative and Qualitative Disclosures about Market Risk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disclosures discussed in the section entitled “Quantitative and Qualitative Disclosures about Market Risk” in Part II, Item 7A of our Annual Report on Form 10-K for the fiscal year ended October 31, 2025, as filed with the SEC on December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i/>
          <w:color w:val="000000"/>
          <w:sz w:val="20"/>
        </w:rPr>
        <w:t>Disclosure Controls and Procedures.</w:t>
      </w:r>
      <w:r>
        <w:rPr>
          <w:color w:val="000000"/>
        </w:rPr>
        <w:t xml:space="preserve"> </w:t>
      </w:r>
      <w:r>
        <w:rPr>
          <w:rFonts w:ascii="Times New Roman;serif" w:hAnsi="Times New Roman;serif"/>
          <w:b w:val="false"/>
          <w:color w:val="000000"/>
          <w:sz w:val="20"/>
        </w:rPr>
        <w:t>As of January 31, 2026,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erif" w:hAnsi="Times New Roman;serif"/>
          <w:b/>
          <w:i/>
          <w:color w:val="000000"/>
          <w:sz w:val="20"/>
        </w:rPr>
        <w:t>Changes in Internal Control over Financial Reporting.</w:t>
      </w:r>
      <w:r>
        <w:rPr>
          <w:color w:val="000000"/>
        </w:rPr>
        <w:t xml:space="preserve"> </w:t>
      </w:r>
      <w:r>
        <w:rPr>
          <w:rFonts w:ascii="Times New Roman;serif" w:hAnsi="Times New Roman;serif"/>
          <w:b w:val="false"/>
          <w:color w:val="000000"/>
          <w:sz w:val="20"/>
        </w:rPr>
        <w:t>There have been no significant changes in our internal control over financial reporting during the quarter ended January 31, 2026, or, to our knowledge, in other factors that have materially affected, or are reasonably likely to materially affect, our internal control over financial reporting.</w:t>
      </w:r>
    </w:p>
    <w:p>
      <w:pPr>
        <w:pStyle w:val="TextBody"/>
        <w:bidi w:val="0"/>
        <w:spacing w:lineRule="auto" w:line="288" w:before="0" w:after="160"/>
        <w:jc w:val="both"/>
        <w:rPr/>
      </w:pPr>
      <w:r>
        <w:rPr>
          <w:rFonts w:ascii="Times New Roman;serif" w:hAnsi="Times New Roman;serif"/>
          <w:b/>
          <w:i/>
          <w:color w:val="000000"/>
          <w:sz w:val="20"/>
        </w:rPr>
        <w:t>Limitations on the Effectiveness of Controls.</w:t>
      </w:r>
      <w:r>
        <w:rPr>
          <w:color w:val="000000"/>
        </w:rPr>
        <w:t xml:space="preserve"> </w:t>
      </w:r>
      <w:r>
        <w:rPr>
          <w:rFonts w:ascii="Times New Roman;serif" w:hAnsi="Times New Roman;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1. Legal Proceedings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From time to time, we are a party to various lawsuits, arbitrations or mediations that arise in the ordinary course of business. The disclosure called for by Part II, Item 1 regarding our legal proceedings is incorporated by reference herein from Part I, Item 1 Note 15 - Commitments and Contingencies of the Notes to the Consolidated Financial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1A. Risk Factors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disclosures discussed in the section entitled “Risk Factors” in Part I, Item 1A of our Annual Report on Form 10-K for the fiscal year ended October 31, 2025, as filed with the SEC on December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Item 2. Unregistered Sales of Equity Securities and Use of Proceeds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year 2026, we purchased shares of common stock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563"/>
        <w:gridCol w:w="495"/>
        <w:gridCol w:w="500"/>
        <w:gridCol w:w="540"/>
        <w:gridCol w:w="492"/>
        <w:gridCol w:w="493"/>
        <w:gridCol w:w="333"/>
        <w:gridCol w:w="973"/>
        <w:gridCol w:w="172"/>
        <w:gridCol w:w="809"/>
        <w:gridCol w:w="809"/>
        <w:gridCol w:w="812"/>
        <w:gridCol w:w="938"/>
        <w:gridCol w:w="938"/>
        <w:gridCol w:w="1338"/>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(2)</w:t>
            </w:r>
          </w:p>
        </w:tc>
        <w:tc>
          <w:tcPr>
            <w:tcW w:w="32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Number (or Approximate Dollar Value) of Shares that May Yet Be Purchased Under the Plans or Programs </w:t>
            </w:r>
            <w:r>
              <w:rPr>
                <w:rFonts w:ascii="Times New Roman;serif" w:hAnsi="Times New Roman;serif"/>
                <w:b/>
                <w:color w:val="000000"/>
                <w:sz w:val="13"/>
              </w:rPr>
              <w:t>(2)</w:t>
            </w:r>
          </w:p>
        </w:tc>
      </w:tr>
      <w:tr>
        <w:trPr/>
        <w:tc>
          <w:tcPr>
            <w:tcW w:w="1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29,187 </w:t>
            </w:r>
          </w:p>
        </w:tc>
        <w:tc>
          <w:tcPr>
            <w:tcW w:w="4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Shares were acquired from employees in accordance with our stock-based compensation plan as a result of share withholdings to pay income tax related to the vesting and distribution of restricted stock awards.</w:t>
      </w:r>
    </w:p>
    <w:p>
      <w:pPr>
        <w:pStyle w:val="TextBody"/>
        <w:bidi w:val="0"/>
        <w:spacing w:lineRule="auto" w:line="288" w:before="0" w:after="1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 March 2025, our Company's Board of Directors approved a share repurchase program authorizing us to repurchase up to $30.0 million of our outstanding shares of common stock. The share repurchase program may be modified, suspended or discontinued at any time and does not commit the Company to repurchase shares of the common stock. No shares have been repurchased under this program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3. Defaults Upon Senior Securities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4. Mine Safety Disclosures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Item 5. Other Information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On December 30, 2025, Greg Hamm, the Vice President, Chief Financial Officer and Treasurer of the Company, entered into a trading plan intended to satisfy the affirmative defense of Rule 10b5-1(c) under the Exchange Act. The plan provides for the sale, subject to certain minimum sale prices, of 12,000 shares of the Company’s common stock owned by Mr. Hamm. Mr. Hamm’s plan began on February 2, 2026 and will end on February 1, 2027, subject to early termination in accordance with the terms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55"/>
        <w:gridCol w:w="2735"/>
        <w:gridCol w:w="390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of Limoneira Company, dated July 5, 1990 (Incorporated by reference to Exhibit 3.1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of Certificate of Incorporation of Limoneira Company, dated April 22, 2003 (Incorporated by reference to Exhibit 3.7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of Certificate of Incorporation of Limoneira Company, dated March 24, 2010 (Incorporated by reference to Exhibit 3.9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of Certificate of Incorporation of Limoneira Company, dated March 29, 2017 (Incorporated by reference to Exhibit 3.1 to the Company’s Current Report on Form 8-K, filed March 31, 2017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Amendment of Certificate of Incorporation of Limoneira Company, dated March 26, 2024 (Incorporated by reference to Exhibit 3.1 to the Company’s Current Report on Form 8-K, filed March 28, 2024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80"/>
                  <w:sz w:val="20"/>
                  <w:u w:val="single"/>
                </w:rPr>
                <w:t>Amended and Restated Bylaws of Limoneira Company, dated December 15, 2023 (Incorporated by reference to Exhibit 3.1 to the Company</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s Current Report on Form 8-K, filed December 18, 2023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Designation, Preferences and Rights of Series A Junior Participating Preferred Stock, $.01 Par Value, of Limoneira Company, dated November 21, 2006 (Incorporated by reference to Exhibit 3.8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Certificate of Designation, Preferences and Rights of $8.75 Voting Preferred Stock, $100.00 Par Value, Series B of Limoneira Company, dated May 21, 1997 (Incorporated by reference to Exhibit 3.4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Amended Certificate of Designation, Preferences and Rights of $8.75 Voting Preferred Stock, $100.00 Par Value, Series B of Limoneira Company, dated May 21, 1997 (Incorporated by reference to Exhibit 3.5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Certificate of Designation, Preferences and Rights of 4% Voting Preferred Stock, $100.00 Par Value, Series B-2 of Limoneira Company, dated March 20, 2014 (Incorporated by reference to Exhibit 3.1 to the Company’s Current Report on Form 8-K, filed March 24, 2014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80"/>
                  <w:sz w:val="20"/>
                  <w:u w:val="single"/>
                </w:rPr>
                <w:t>Description of Securities (Incorporated by reference to Exhibit 4.7 of the Company</w:t>
              </w:r>
            </w:hyperlink>
            <w:hyperlink r:id="rId15">
              <w:r>
                <w:rPr>
                  <w:rStyle w:val="InternetLink"/>
                  <w:rFonts w:ascii="Times New Roman;serif" w:hAnsi="Times New Roman;serif"/>
                  <w:b w:val="false"/>
                  <w:color w:val="000080"/>
                  <w:sz w:val="20"/>
                  <w:u w:val="single"/>
                </w:rPr>
                <w:t>’</w:t>
              </w:r>
            </w:hyperlink>
            <w:hyperlink r:id="rId16">
              <w:r>
                <w:rPr>
                  <w:rStyle w:val="InternetLink"/>
                  <w:rFonts w:ascii="Times New Roman;serif" w:hAnsi="Times New Roman;serif"/>
                  <w:b w:val="false"/>
                  <w:color w:val="000080"/>
                  <w:sz w:val="20"/>
                  <w:u w:val="single"/>
                </w:rPr>
                <w:t>s Annual Report on Form 10-K, filed on December 22, 2022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80"/>
                  <w:sz w:val="20"/>
                  <w:u w:val="single"/>
                </w:rPr>
                <w:t>For</w:t>
              </w:r>
            </w:hyperlink>
            <w:hyperlink r:id="rId18">
              <w:r>
                <w:rPr>
                  <w:rStyle w:val="InternetLink"/>
                  <w:rFonts w:ascii="Times New Roman;serif" w:hAnsi="Times New Roman;serif"/>
                  <w:b w:val="false"/>
                  <w:color w:val="000080"/>
                  <w:sz w:val="20"/>
                  <w:u w:val="single"/>
                </w:rPr>
                <w:t>m</w:t>
              </w:r>
            </w:hyperlink>
            <w:hyperlink r:id="rId19">
              <w:r>
                <w:rPr>
                  <w:rStyle w:val="InternetLink"/>
                  <w:rFonts w:ascii="Times New Roman;serif" w:hAnsi="Times New Roman;serif"/>
                  <w:b w:val="false"/>
                  <w:color w:val="000080"/>
                  <w:sz w:val="20"/>
                  <w:u w:val="single"/>
                </w:rPr>
                <w:t xml:space="preserve"> of Award Agreement under the </w:t>
              </w:r>
            </w:hyperlink>
            <w:hyperlink r:id="rId20">
              <w:r>
                <w:rPr>
                  <w:rStyle w:val="InternetLink"/>
                  <w:rFonts w:ascii="Times New Roman;serif" w:hAnsi="Times New Roman;serif"/>
                  <w:b w:val="false"/>
                  <w:color w:val="000080"/>
                  <w:sz w:val="20"/>
                  <w:u w:val="single"/>
                </w:rPr>
                <w:t>Li</w:t>
              </w:r>
            </w:hyperlink>
            <w:hyperlink r:id="rId21">
              <w:r>
                <w:rPr>
                  <w:rStyle w:val="InternetLink"/>
                  <w:rFonts w:ascii="Times New Roman;serif" w:hAnsi="Times New Roman;serif"/>
                  <w:b w:val="false"/>
                  <w:color w:val="000080"/>
                  <w:sz w:val="20"/>
                  <w:u w:val="single"/>
                </w:rPr>
                <w:t>moneira Company 2022 Omnibus Incentive Plan</w:t>
              </w:r>
            </w:hyperlink>
            <w:hyperlink r:id="rId22">
              <w:r>
                <w:rPr>
                  <w:rStyle w:val="InternetLink"/>
                  <w:rFonts w:ascii="Times New Roman;serif" w:hAnsi="Times New Roman;serif"/>
                  <w:b w:val="false"/>
                  <w:color w:val="000080"/>
                  <w:sz w:val="20"/>
                  <w:u w:val="single"/>
                </w:rPr>
                <w:t xml:space="preserve"> (Incorporated by reference to Exhibit 10.</w:t>
              </w:r>
            </w:hyperlink>
            <w:hyperlink r:id="rId23">
              <w:r>
                <w:rPr>
                  <w:rStyle w:val="InternetLink"/>
                  <w:rFonts w:ascii="Times New Roman;serif" w:hAnsi="Times New Roman;serif"/>
                  <w:b w:val="false"/>
                  <w:color w:val="000080"/>
                  <w:sz w:val="20"/>
                  <w:u w:val="single"/>
                </w:rPr>
                <w:t>1</w:t>
              </w:r>
            </w:hyperlink>
            <w:hyperlink r:id="rId24">
              <w:r>
                <w:rPr>
                  <w:rStyle w:val="InternetLink"/>
                  <w:rFonts w:ascii="Times New Roman;serif" w:hAnsi="Times New Roman;serif"/>
                  <w:b w:val="false"/>
                  <w:color w:val="000080"/>
                  <w:sz w:val="20"/>
                  <w:u w:val="single"/>
                </w:rPr>
                <w:t xml:space="preserve"> to the Company</w:t>
              </w:r>
            </w:hyperlink>
            <w:hyperlink r:id="rId25">
              <w:r>
                <w:rPr>
                  <w:rStyle w:val="InternetLink"/>
                  <w:rFonts w:ascii="Times New Roman;serif" w:hAnsi="Times New Roman;serif"/>
                  <w:b w:val="false"/>
                  <w:color w:val="000080"/>
                  <w:sz w:val="20"/>
                  <w:u w:val="single"/>
                </w:rPr>
                <w:t>’</w:t>
              </w:r>
            </w:hyperlink>
            <w:hyperlink r:id="rId26">
              <w:r>
                <w:rPr>
                  <w:rStyle w:val="InternetLink"/>
                  <w:rFonts w:ascii="Times New Roman;serif" w:hAnsi="Times New Roman;serif"/>
                  <w:b w:val="false"/>
                  <w:color w:val="000080"/>
                  <w:sz w:val="20"/>
                  <w:u w:val="single"/>
                </w:rPr>
                <w:t xml:space="preserve">s Current Report on Form 8-K, filed </w:t>
              </w:r>
            </w:hyperlink>
            <w:hyperlink r:id="rId27">
              <w:r>
                <w:rPr>
                  <w:rStyle w:val="InternetLink"/>
                  <w:rFonts w:ascii="Times New Roman;serif" w:hAnsi="Times New Roman;serif"/>
                  <w:b w:val="false"/>
                  <w:color w:val="000080"/>
                  <w:sz w:val="20"/>
                  <w:u w:val="single"/>
                </w:rPr>
                <w:t>November 21</w:t>
              </w:r>
            </w:hyperlink>
            <w:hyperlink r:id="rId28">
              <w:r>
                <w:rPr>
                  <w:rStyle w:val="InternetLink"/>
                  <w:rFonts w:ascii="Times New Roman;serif" w:hAnsi="Times New Roman;serif"/>
                  <w:b w:val="false"/>
                  <w:color w:val="000080"/>
                  <w:sz w:val="20"/>
                  <w:u w:val="single"/>
                </w:rPr>
                <w:t>, 2025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80"/>
                  <w:sz w:val="20"/>
                  <w:u w:val="single"/>
                </w:rPr>
                <w:t>Modification to Master Loan Agreement, dated December 12, 2025 by and between Limoneira Company and AgWest Farm Credit, PCA (Incorporated by reference to Exhibit 10.30 to the Company</w:t>
              </w:r>
            </w:hyperlink>
            <w:hyperlink r:id="rId30">
              <w:r>
                <w:rPr>
                  <w:rStyle w:val="InternetLink"/>
                  <w:rFonts w:ascii="Times New Roman;serif" w:hAnsi="Times New Roman;serif"/>
                  <w:b w:val="false"/>
                  <w:color w:val="000080"/>
                  <w:sz w:val="20"/>
                  <w:u w:val="single"/>
                </w:rPr>
                <w:t>’</w:t>
              </w:r>
            </w:hyperlink>
            <w:hyperlink r:id="rId31">
              <w:r>
                <w:rPr>
                  <w:rStyle w:val="InternetLink"/>
                  <w:rFonts w:ascii="Times New Roman;serif" w:hAnsi="Times New Roman;serif"/>
                  <w:b w:val="false"/>
                  <w:color w:val="000080"/>
                  <w:sz w:val="20"/>
                  <w:u w:val="single"/>
                </w:rPr>
                <w:t>s Annual Report on Form 10-K, filed December 23, 2025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80"/>
                  <w:sz w:val="20"/>
                  <w:u w:val="single"/>
                </w:rPr>
                <w:t>P</w:t>
              </w:r>
            </w:hyperlink>
            <w:hyperlink r:id="rId33">
              <w:r>
                <w:rPr>
                  <w:rStyle w:val="InternetLink"/>
                  <w:rFonts w:ascii="Times New Roman;serif" w:hAnsi="Times New Roman;serif"/>
                  <w:b w:val="false"/>
                  <w:color w:val="000080"/>
                  <w:sz w:val="20"/>
                  <w:u w:val="single"/>
                </w:rPr>
                <w:t>u</w:t>
              </w:r>
            </w:hyperlink>
            <w:hyperlink r:id="rId34">
              <w:r>
                <w:rPr>
                  <w:rStyle w:val="InternetLink"/>
                  <w:rFonts w:ascii="Times New Roman;serif" w:hAnsi="Times New Roman;serif"/>
                  <w:b w:val="false"/>
                  <w:color w:val="000080"/>
                  <w:sz w:val="20"/>
                  <w:u w:val="single"/>
                </w:rPr>
                <w:t>r</w:t>
              </w:r>
            </w:hyperlink>
            <w:hyperlink r:id="rId35">
              <w:r>
                <w:rPr>
                  <w:rStyle w:val="InternetLink"/>
                  <w:rFonts w:ascii="Times New Roman;serif" w:hAnsi="Times New Roman;serif"/>
                  <w:b w:val="false"/>
                  <w:color w:val="000080"/>
                  <w:sz w:val="20"/>
                  <w:u w:val="single"/>
                </w:rPr>
                <w:t>chase</w:t>
              </w:r>
            </w:hyperlink>
            <w:hyperlink r:id="rId36">
              <w:r>
                <w:rPr>
                  <w:rStyle w:val="InternetLink"/>
                  <w:rFonts w:ascii="Times New Roman;serif" w:hAnsi="Times New Roman;serif"/>
                  <w:b w:val="false"/>
                  <w:color w:val="000080"/>
                  <w:sz w:val="20"/>
                  <w:u w:val="single"/>
                </w:rPr>
                <w:t xml:space="preserve"> and Sale Agreement, dat</w:t>
              </w:r>
            </w:hyperlink>
            <w:hyperlink r:id="rId37">
              <w:r>
                <w:rPr>
                  <w:rStyle w:val="InternetLink"/>
                  <w:rFonts w:ascii="Times New Roman;serif" w:hAnsi="Times New Roman;serif"/>
                  <w:b w:val="false"/>
                  <w:color w:val="000080"/>
                  <w:sz w:val="20"/>
                  <w:u w:val="single"/>
                </w:rPr>
                <w:t xml:space="preserve">ed November 7, 2025 </w:t>
              </w:r>
            </w:hyperlink>
            <w:hyperlink r:id="rId38">
              <w:r>
                <w:rPr>
                  <w:rStyle w:val="InternetLink"/>
                  <w:rFonts w:ascii="Times New Roman;serif" w:hAnsi="Times New Roman;serif"/>
                  <w:b w:val="false"/>
                  <w:color w:val="000080"/>
                  <w:sz w:val="20"/>
                  <w:u w:val="single"/>
                </w:rPr>
                <w:t>by and</w:t>
              </w:r>
            </w:hyperlink>
            <w:hyperlink r:id="rId39">
              <w:r>
                <w:rPr>
                  <w:rStyle w:val="InternetLink"/>
                  <w:rFonts w:ascii="Times New Roman;serif" w:hAnsi="Times New Roman;serif"/>
                  <w:b w:val="false"/>
                  <w:color w:val="000080"/>
                  <w:sz w:val="20"/>
                  <w:u w:val="single"/>
                </w:rPr>
                <w:t xml:space="preserve"> between </w:t>
              </w:r>
            </w:hyperlink>
            <w:hyperlink r:id="rId40">
              <w:r>
                <w:rPr>
                  <w:rStyle w:val="InternetLink"/>
                  <w:rFonts w:ascii="Times New Roman;serif" w:hAnsi="Times New Roman;serif"/>
                  <w:b w:val="false"/>
                  <w:color w:val="000080"/>
                  <w:sz w:val="20"/>
                  <w:u w:val="single"/>
                </w:rPr>
                <w:t>Agricola San Pablo SpA and San Pedro</w:t>
              </w:r>
            </w:hyperlink>
            <w:hyperlink r:id="rId41">
              <w:r>
                <w:rPr>
                  <w:rStyle w:val="InternetLink"/>
                  <w:rFonts w:ascii="Times New Roman;serif" w:hAnsi="Times New Roman;serif"/>
                  <w:b w:val="false"/>
                  <w:color w:val="000080"/>
                  <w:sz w:val="20"/>
                  <w:u w:val="single"/>
                </w:rPr>
                <w:t>,</w:t>
              </w:r>
            </w:hyperlink>
            <w:hyperlink r:id="rId42">
              <w:r>
                <w:rPr>
                  <w:rStyle w:val="InternetLink"/>
                  <w:rFonts w:ascii="Times New Roman;serif" w:hAnsi="Times New Roman;serif"/>
                  <w:b w:val="false"/>
                  <w:color w:val="000080"/>
                  <w:sz w:val="20"/>
                  <w:u w:val="single"/>
                </w:rPr>
                <w:t xml:space="preserve"> SpA</w:t>
              </w:r>
            </w:hyperlink>
            <w:hyperlink r:id="rId43">
              <w:r>
                <w:rPr>
                  <w:rStyle w:val="InternetLink"/>
                  <w:rFonts w:ascii="Times New Roman;serif" w:hAnsi="Times New Roman;serif"/>
                  <w:b w:val="false"/>
                  <w:color w:val="000080"/>
                  <w:sz w:val="20"/>
                  <w:u w:val="single"/>
                </w:rPr>
                <w:t xml:space="preserve"> (Incorporated by reference to Exhibit 10.3</w:t>
              </w:r>
            </w:hyperlink>
            <w:hyperlink r:id="rId44">
              <w:r>
                <w:rPr>
                  <w:rStyle w:val="InternetLink"/>
                  <w:rFonts w:ascii="Times New Roman;serif" w:hAnsi="Times New Roman;serif"/>
                  <w:b w:val="false"/>
                  <w:color w:val="000080"/>
                  <w:sz w:val="20"/>
                  <w:u w:val="single"/>
                </w:rPr>
                <w:t>1</w:t>
              </w:r>
            </w:hyperlink>
            <w:hyperlink r:id="rId45">
              <w:r>
                <w:rPr>
                  <w:rStyle w:val="InternetLink"/>
                  <w:rFonts w:ascii="Times New Roman;serif" w:hAnsi="Times New Roman;serif"/>
                  <w:b w:val="false"/>
                  <w:color w:val="000080"/>
                  <w:sz w:val="20"/>
                  <w:u w:val="single"/>
                </w:rPr>
                <w:t xml:space="preserve"> to the Company</w:t>
              </w:r>
            </w:hyperlink>
            <w:hyperlink r:id="rId46">
              <w:r>
                <w:rPr>
                  <w:rStyle w:val="InternetLink"/>
                  <w:rFonts w:ascii="Times New Roman;serif" w:hAnsi="Times New Roman;serif"/>
                  <w:b w:val="false"/>
                  <w:color w:val="000080"/>
                  <w:sz w:val="20"/>
                  <w:u w:val="single"/>
                </w:rPr>
                <w:t>’</w:t>
              </w:r>
            </w:hyperlink>
            <w:hyperlink r:id="rId47">
              <w:r>
                <w:rPr>
                  <w:rStyle w:val="InternetLink"/>
                  <w:rFonts w:ascii="Times New Roman;serif" w:hAnsi="Times New Roman;serif"/>
                  <w:b w:val="false"/>
                  <w:color w:val="000080"/>
                  <w:sz w:val="20"/>
                  <w:u w:val="single"/>
                </w:rPr>
                <w:t xml:space="preserve">s </w:t>
              </w:r>
            </w:hyperlink>
            <w:hyperlink r:id="rId48">
              <w:r>
                <w:rPr>
                  <w:rStyle w:val="InternetLink"/>
                  <w:rFonts w:ascii="Times New Roman;serif" w:hAnsi="Times New Roman;serif"/>
                  <w:b w:val="false"/>
                  <w:color w:val="000080"/>
                  <w:sz w:val="20"/>
                  <w:u w:val="single"/>
                </w:rPr>
                <w:t>Annual</w:t>
              </w:r>
            </w:hyperlink>
            <w:hyperlink r:id="rId49">
              <w:r>
                <w:rPr>
                  <w:rStyle w:val="InternetLink"/>
                  <w:rFonts w:ascii="Times New Roman;serif" w:hAnsi="Times New Roman;serif"/>
                  <w:b w:val="false"/>
                  <w:color w:val="000080"/>
                  <w:sz w:val="20"/>
                  <w:u w:val="single"/>
                </w:rPr>
                <w:t xml:space="preserve"> Report on Form </w:t>
              </w:r>
            </w:hyperlink>
            <w:hyperlink r:id="rId50">
              <w:r>
                <w:rPr>
                  <w:rStyle w:val="InternetLink"/>
                  <w:rFonts w:ascii="Times New Roman;serif" w:hAnsi="Times New Roman;serif"/>
                  <w:b w:val="false"/>
                  <w:color w:val="000080"/>
                  <w:sz w:val="20"/>
                  <w:u w:val="single"/>
                </w:rPr>
                <w:t>10</w:t>
              </w:r>
            </w:hyperlink>
            <w:hyperlink r:id="rId51">
              <w:r>
                <w:rPr>
                  <w:rStyle w:val="InternetLink"/>
                  <w:rFonts w:ascii="Times New Roman;serif" w:hAnsi="Times New Roman;serif"/>
                  <w:b w:val="false"/>
                  <w:color w:val="000080"/>
                  <w:sz w:val="20"/>
                  <w:u w:val="single"/>
                </w:rPr>
                <w:t xml:space="preserve">-K, filed </w:t>
              </w:r>
            </w:hyperlink>
            <w:hyperlink r:id="rId52">
              <w:r>
                <w:rPr>
                  <w:rStyle w:val="InternetLink"/>
                  <w:rFonts w:ascii="Times New Roman;serif" w:hAnsi="Times New Roman;serif"/>
                  <w:b w:val="false"/>
                  <w:color w:val="000080"/>
                  <w:sz w:val="20"/>
                  <w:u w:val="single"/>
                </w:rPr>
                <w:t>December</w:t>
              </w:r>
            </w:hyperlink>
            <w:hyperlink r:id="rId53">
              <w:r>
                <w:rPr>
                  <w:rStyle w:val="InternetLink"/>
                  <w:rFonts w:ascii="Times New Roman;serif" w:hAnsi="Times New Roman;serif"/>
                  <w:b w:val="false"/>
                  <w:color w:val="000080"/>
                  <w:sz w:val="20"/>
                  <w:u w:val="single"/>
                </w:rPr>
                <w:t xml:space="preserve"> 2</w:t>
              </w:r>
            </w:hyperlink>
            <w:hyperlink r:id="rId54">
              <w:r>
                <w:rPr>
                  <w:rStyle w:val="InternetLink"/>
                  <w:rFonts w:ascii="Times New Roman;serif" w:hAnsi="Times New Roman;serif"/>
                  <w:b w:val="false"/>
                  <w:color w:val="000080"/>
                  <w:sz w:val="20"/>
                  <w:u w:val="single"/>
                </w:rPr>
                <w:t>3</w:t>
              </w:r>
            </w:hyperlink>
            <w:hyperlink r:id="rId55">
              <w:r>
                <w:rPr>
                  <w:rStyle w:val="InternetLink"/>
                  <w:rFonts w:ascii="Times New Roman;serif" w:hAnsi="Times New Roman;serif"/>
                  <w:b w:val="false"/>
                  <w:color w:val="000080"/>
                  <w:sz w:val="20"/>
                  <w:u w:val="single"/>
                </w:rPr>
                <w:t>, 2025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80"/>
                  <w:sz w:val="20"/>
                  <w:u w:val="single"/>
                </w:rPr>
                <w:t>Purchase and Sale Agreement, dated November 7, 2025 by and between Fruticola Pan de Azucar S.A. and San Pedro, SpA (Incorporated by reference to Exhibit 10.32 to the Company</w:t>
              </w:r>
            </w:hyperlink>
            <w:hyperlink r:id="rId57">
              <w:r>
                <w:rPr>
                  <w:rStyle w:val="InternetLink"/>
                  <w:rFonts w:ascii="Times New Roman;serif" w:hAnsi="Times New Roman;serif"/>
                  <w:b w:val="false"/>
                  <w:color w:val="000080"/>
                  <w:sz w:val="20"/>
                  <w:u w:val="single"/>
                </w:rPr>
                <w:t>’</w:t>
              </w:r>
            </w:hyperlink>
            <w:hyperlink r:id="rId58">
              <w:r>
                <w:rPr>
                  <w:rStyle w:val="InternetLink"/>
                  <w:rFonts w:ascii="Times New Roman;serif" w:hAnsi="Times New Roman;serif"/>
                  <w:b w:val="false"/>
                  <w:color w:val="000080"/>
                  <w:sz w:val="20"/>
                  <w:u w:val="single"/>
                </w:rPr>
                <w:t>s Annual Report on Form 10-K, filed December 23, 2025 (File No. 001-34755))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842"/>
        <w:gridCol w:w="2692"/>
        <w:gridCol w:w="386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80"/>
                  <w:sz w:val="20"/>
                  <w:u w:val="single"/>
                </w:rPr>
                <w:t>N</w:t>
              </w:r>
            </w:hyperlink>
            <w:hyperlink r:id="rId60">
              <w:r>
                <w:rPr>
                  <w:rStyle w:val="InternetLink"/>
                  <w:rFonts w:ascii="Times New Roman;serif" w:hAnsi="Times New Roman;serif"/>
                  <w:b w:val="false"/>
                  <w:color w:val="000080"/>
                  <w:sz w:val="20"/>
                  <w:u w:val="single"/>
                </w:rPr>
                <w:t>ov</w:t>
              </w:r>
            </w:hyperlink>
            <w:hyperlink r:id="rId61">
              <w:r>
                <w:rPr>
                  <w:rStyle w:val="InternetLink"/>
                  <w:rFonts w:ascii="Times New Roman;serif" w:hAnsi="Times New Roman;serif"/>
                  <w:b w:val="false"/>
                  <w:color w:val="000080"/>
                  <w:sz w:val="20"/>
                  <w:u w:val="single"/>
                </w:rPr>
                <w:t>ation</w:t>
              </w:r>
            </w:hyperlink>
            <w:hyperlink r:id="rId62">
              <w:r>
                <w:rPr>
                  <w:rStyle w:val="InternetLink"/>
                  <w:rFonts w:ascii="Times New Roman;serif" w:hAnsi="Times New Roman;serif"/>
                  <w:b w:val="false"/>
                  <w:color w:val="000080"/>
                  <w:sz w:val="20"/>
                  <w:u w:val="single"/>
                </w:rPr>
                <w:t xml:space="preserve"> Contract, dated November 7, 2025</w:t>
              </w:r>
            </w:hyperlink>
            <w:hyperlink r:id="rId63">
              <w:r>
                <w:rPr>
                  <w:rStyle w:val="InternetLink"/>
                  <w:rFonts w:ascii="Times New Roman;serif" w:hAnsi="Times New Roman;serif"/>
                  <w:b w:val="false"/>
                  <w:color w:val="000080"/>
                  <w:sz w:val="20"/>
                  <w:u w:val="single"/>
                </w:rPr>
                <w:t xml:space="preserve"> by and between </w:t>
              </w:r>
            </w:hyperlink>
            <w:hyperlink r:id="rId64">
              <w:r>
                <w:rPr>
                  <w:rStyle w:val="InternetLink"/>
                  <w:rFonts w:ascii="Times New Roman;serif" w:hAnsi="Times New Roman;serif"/>
                  <w:b w:val="false"/>
                  <w:color w:val="000080"/>
                  <w:sz w:val="20"/>
                  <w:u w:val="single"/>
                </w:rPr>
                <w:t>Agricola San Pablo SpA</w:t>
              </w:r>
            </w:hyperlink>
            <w:hyperlink r:id="rId65">
              <w:r>
                <w:rPr>
                  <w:rStyle w:val="InternetLink"/>
                  <w:rFonts w:ascii="Times New Roman;serif" w:hAnsi="Times New Roman;serif"/>
                  <w:b w:val="false"/>
                  <w:color w:val="000080"/>
                  <w:sz w:val="20"/>
                  <w:u w:val="single"/>
                </w:rPr>
                <w:t xml:space="preserve"> </w:t>
              </w:r>
            </w:hyperlink>
            <w:hyperlink r:id="rId66">
              <w:r>
                <w:rPr>
                  <w:rStyle w:val="InternetLink"/>
                  <w:rFonts w:ascii="Times New Roman;serif" w:hAnsi="Times New Roman;serif"/>
                  <w:b w:val="false"/>
                  <w:color w:val="000080"/>
                  <w:sz w:val="20"/>
                  <w:u w:val="single"/>
                </w:rPr>
                <w:t>and San Pedro, SpA (Incorporated by reference to Exhibit 10.3</w:t>
              </w:r>
            </w:hyperlink>
            <w:hyperlink r:id="rId67">
              <w:r>
                <w:rPr>
                  <w:rStyle w:val="InternetLink"/>
                  <w:rFonts w:ascii="Times New Roman;serif" w:hAnsi="Times New Roman;serif"/>
                  <w:b w:val="false"/>
                  <w:color w:val="000080"/>
                  <w:sz w:val="20"/>
                  <w:u w:val="single"/>
                </w:rPr>
                <w:t>3</w:t>
              </w:r>
            </w:hyperlink>
            <w:hyperlink r:id="rId68">
              <w:r>
                <w:rPr>
                  <w:rStyle w:val="InternetLink"/>
                  <w:rFonts w:ascii="Times New Roman;serif" w:hAnsi="Times New Roman;serif"/>
                  <w:b w:val="false"/>
                  <w:color w:val="000080"/>
                  <w:sz w:val="20"/>
                  <w:u w:val="single"/>
                </w:rPr>
                <w:t xml:space="preserve"> to the Company</w:t>
              </w:r>
            </w:hyperlink>
            <w:hyperlink r:id="rId69">
              <w:r>
                <w:rPr>
                  <w:rStyle w:val="InternetLink"/>
                  <w:rFonts w:ascii="Times New Roman;serif" w:hAnsi="Times New Roman;serif"/>
                  <w:b w:val="false"/>
                  <w:color w:val="000080"/>
                  <w:sz w:val="20"/>
                  <w:u w:val="single"/>
                </w:rPr>
                <w:t>’</w:t>
              </w:r>
            </w:hyperlink>
            <w:hyperlink r:id="rId70">
              <w:r>
                <w:rPr>
                  <w:rStyle w:val="InternetLink"/>
                  <w:rFonts w:ascii="Times New Roman;serif" w:hAnsi="Times New Roman;serif"/>
                  <w:b w:val="false"/>
                  <w:color w:val="000080"/>
                  <w:sz w:val="20"/>
                  <w:u w:val="single"/>
                </w:rPr>
                <w:t>s Annual Report on Form 10-K, filed December 23, 2025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erif" w:hAnsi="Times New Roman;serif"/>
                  <w:b w:val="false"/>
                  <w:color w:val="000080"/>
                  <w:sz w:val="20"/>
                  <w:u w:val="single"/>
                </w:rPr>
                <w:t xml:space="preserve">Novation Contract, dated November 7, 2025 by and between </w:t>
              </w:r>
            </w:hyperlink>
            <w:hyperlink r:id="rId72">
              <w:r>
                <w:rPr>
                  <w:rStyle w:val="InternetLink"/>
                  <w:rFonts w:ascii="Times New Roman;serif" w:hAnsi="Times New Roman;serif"/>
                  <w:b w:val="false"/>
                  <w:color w:val="000080"/>
                  <w:sz w:val="20"/>
                  <w:u w:val="single"/>
                </w:rPr>
                <w:t>F</w:t>
              </w:r>
            </w:hyperlink>
            <w:hyperlink r:id="rId73">
              <w:r>
                <w:rPr>
                  <w:rStyle w:val="InternetLink"/>
                  <w:rFonts w:ascii="Times New Roman;serif" w:hAnsi="Times New Roman;serif"/>
                  <w:b w:val="false"/>
                  <w:color w:val="000080"/>
                  <w:sz w:val="20"/>
                  <w:u w:val="single"/>
                </w:rPr>
                <w:t>r</w:t>
              </w:r>
            </w:hyperlink>
            <w:hyperlink r:id="rId74">
              <w:r>
                <w:rPr>
                  <w:rStyle w:val="InternetLink"/>
                  <w:rFonts w:ascii="Times New Roman;serif" w:hAnsi="Times New Roman;serif"/>
                  <w:b w:val="false"/>
                  <w:color w:val="000080"/>
                  <w:sz w:val="20"/>
                  <w:u w:val="single"/>
                </w:rPr>
                <w:t>uticola Pan de Azucar S.A.</w:t>
              </w:r>
            </w:hyperlink>
            <w:hyperlink r:id="rId75">
              <w:r>
                <w:rPr>
                  <w:rStyle w:val="InternetLink"/>
                  <w:rFonts w:ascii="Times New Roman;serif" w:hAnsi="Times New Roman;serif"/>
                  <w:b w:val="false"/>
                  <w:color w:val="000080"/>
                  <w:sz w:val="20"/>
                  <w:u w:val="single"/>
                </w:rPr>
                <w:t xml:space="preserve"> a</w:t>
              </w:r>
            </w:hyperlink>
            <w:hyperlink r:id="rId76">
              <w:r>
                <w:rPr>
                  <w:rStyle w:val="InternetLink"/>
                  <w:rFonts w:ascii="Times New Roman;serif" w:hAnsi="Times New Roman;serif"/>
                  <w:b w:val="false"/>
                  <w:color w:val="000080"/>
                  <w:sz w:val="20"/>
                  <w:u w:val="single"/>
                </w:rPr>
                <w:t>nd San Pedro, SpA (Incorporated by reference to Exhibit 10.3</w:t>
              </w:r>
            </w:hyperlink>
            <w:hyperlink r:id="rId77">
              <w:r>
                <w:rPr>
                  <w:rStyle w:val="InternetLink"/>
                  <w:rFonts w:ascii="Times New Roman;serif" w:hAnsi="Times New Roman;serif"/>
                  <w:b w:val="false"/>
                  <w:color w:val="000080"/>
                  <w:sz w:val="20"/>
                  <w:u w:val="single"/>
                </w:rPr>
                <w:t>4</w:t>
              </w:r>
            </w:hyperlink>
            <w:hyperlink r:id="rId78">
              <w:r>
                <w:rPr>
                  <w:rStyle w:val="InternetLink"/>
                  <w:rFonts w:ascii="Times New Roman;serif" w:hAnsi="Times New Roman;serif"/>
                  <w:b w:val="false"/>
                  <w:color w:val="000080"/>
                  <w:sz w:val="20"/>
                  <w:u w:val="single"/>
                </w:rPr>
                <w:t xml:space="preserve"> to the Company</w:t>
              </w:r>
            </w:hyperlink>
            <w:hyperlink r:id="rId79">
              <w:r>
                <w:rPr>
                  <w:rStyle w:val="InternetLink"/>
                  <w:rFonts w:ascii="Times New Roman;serif" w:hAnsi="Times New Roman;serif"/>
                  <w:b w:val="false"/>
                  <w:color w:val="000080"/>
                  <w:sz w:val="20"/>
                  <w:u w:val="single"/>
                </w:rPr>
                <w:t>’</w:t>
              </w:r>
            </w:hyperlink>
            <w:hyperlink r:id="rId80">
              <w:r>
                <w:rPr>
                  <w:rStyle w:val="InternetLink"/>
                  <w:rFonts w:ascii="Times New Roman;serif" w:hAnsi="Times New Roman;serif"/>
                  <w:b w:val="false"/>
                  <w:color w:val="000080"/>
                  <w:sz w:val="20"/>
                  <w:u w:val="single"/>
                </w:rPr>
                <w:t>s Annual Report on Form 10-K, filed December 23, 2025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6ex311.htm">
              <w:r>
                <w:rPr>
                  <w:rStyle w:val="InternetLink"/>
                  <w:rFonts w:ascii="Times New Roman;serif" w:hAnsi="Times New Roman;serif"/>
                  <w:b w:val="false"/>
                  <w:color w:val="0000FF"/>
                  <w:sz w:val="20"/>
                  <w:u w:val="single"/>
                </w:rPr>
                <w:t>Certification of the Principal Executive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6ex312.htm">
              <w:r>
                <w:rPr>
                  <w:rStyle w:val="InternetLink"/>
                  <w:rFonts w:ascii="Times New Roman;serif" w:hAnsi="Times New Roman;serif"/>
                  <w:b w:val="false"/>
                  <w:color w:val="0000FF"/>
                  <w:sz w:val="20"/>
                  <w:u w:val="single"/>
                </w:rPr>
                <w:t>Certification of the Principal Financial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6ex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6ex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from the Company’s Quarterly Report on Form 10-Q for the quarter ended January 31, 2026 formatted in Inline XBRL (Extensible Business Reporting Language) includes: (i) the Consolidated Balance Sheets (Unaudited), (ii) the Consolidated Statements of Operations (Unaudited), (iii) the Consolidated Statements of Comprehensive Loss (Unaudited), (iv) the Consolidated Statements of Stockholders’ Equity and Temporary Equity (Unaudited), (v) the Consolidated Statements of Cash Flows (Unaudited), and (vi) the Notes to Consolidated Financial Statements (Unaudited)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for the Company’s Quarterly Report on Form 10-Q for the quarter ended January 31, 2026 has been formatted in Inline XBRL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858" w:type="dxa"/>
        <w:jc w:val="left"/>
        <w:tblInd w:w="0" w:type="dxa"/>
        <w:tblLayout w:type="fixed"/>
        <w:tblCellMar>
          <w:top w:w="28" w:type="dxa"/>
          <w:left w:w="28" w:type="dxa"/>
          <w:bottom w:w="28" w:type="dxa"/>
          <w:right w:w="28" w:type="dxa"/>
        </w:tblCellMar>
      </w:tblPr>
      <w:tblGrid>
        <w:gridCol w:w="511"/>
        <w:gridCol w:w="447"/>
        <w:gridCol w:w="452"/>
        <w:gridCol w:w="346"/>
        <w:gridCol w:w="346"/>
        <w:gridCol w:w="346"/>
        <w:gridCol w:w="1279"/>
        <w:gridCol w:w="1279"/>
        <w:gridCol w:w="1852"/>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4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LIMONEIRA COMPANY</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0" w:after="0"/>
              <w:jc w:val="left"/>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Harold S. Edwards</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GREGORY C. HAMM</w:t>
            </w:r>
          </w:p>
          <w:p>
            <w:pPr>
              <w:pStyle w:val="TableContents"/>
              <w:bidi w:val="0"/>
              <w:spacing w:lineRule="auto" w:line="240" w:before="0" w:after="0"/>
              <w:jc w:val="left"/>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C. Hamm</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Vice President, Chief Financial Officer and Treasurer</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Harold S. Edwards,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5876"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210"/>
        <w:gridCol w:w="1210"/>
        <w:gridCol w:w="1719"/>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Harold S. Edwards,</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Director, President and Chief Executive Officer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Gregory C. Hamm,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6416"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370"/>
        <w:gridCol w:w="1370"/>
        <w:gridCol w:w="1939"/>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Gregory C. Hamm</w:t>
            </w:r>
          </w:p>
          <w:p>
            <w:pPr>
              <w:pStyle w:val="TableContents"/>
              <w:bidi w:val="0"/>
              <w:spacing w:lineRule="auto" w:line="240" w:before="20" w:after="283"/>
              <w:jc w:val="both"/>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Gregory C. Hamm,</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Vice President, Chief Financial Officer and Treasurer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January 31, 2026 (the “Report”) of Limoneira Company (the “Registrant”), as filed with the Securities and Exchange Commission on the date hereof, I, Harold S. Edwards, Director, President and Chief Executive Officer of the Registrant, hereby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tbl>
      <w:tblPr>
        <w:tblW w:w="5876"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210"/>
        <w:gridCol w:w="1210"/>
        <w:gridCol w:w="1719"/>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Harold S. Edwards,</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Director, President and Chief Executive Officer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for the quarter ended January 31, 2026 (the “Report”) of Limoneira Company (the “Registrant”), as filed with the Securities and Exchange Commission on the date hereof, I, Gregory C. Hamm, Vice President, Chief Financial Officer and Treasurer of the Registrant, hereby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Registrant.</w:t>
      </w:r>
    </w:p>
    <w:tbl>
      <w:tblPr>
        <w:tblW w:w="6416"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370"/>
        <w:gridCol w:w="1370"/>
        <w:gridCol w:w="1939"/>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Gregory C. Hamm</w:t>
            </w:r>
          </w:p>
          <w:p>
            <w:pPr>
              <w:pStyle w:val="TableContents"/>
              <w:bidi w:val="0"/>
              <w:spacing w:lineRule="auto" w:line="240" w:before="20" w:after="283"/>
              <w:jc w:val="center"/>
              <w:rPr>
                <w:color w:val="000000"/>
              </w:rPr>
            </w:pPr>
            <w:r>
              <w:rPr>
                <w:color w:val="000000"/>
              </w:rPr>
              <w:t> </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Gregory C. Hamm,</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Vice President, Chief Financial Officer and Treasurer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2423/000114420410007241/v173157_ex3-1.htm" TargetMode="External"/><Relationship Id="rId3" Type="http://schemas.openxmlformats.org/officeDocument/2006/relationships/hyperlink" Target="https://www.sec.gov/Archives/edgar/data/1342423/000114420410007241/v173157_ex3-7.htm" TargetMode="External"/><Relationship Id="rId4" Type="http://schemas.openxmlformats.org/officeDocument/2006/relationships/hyperlink" Target="https://www.sec.gov/Archives/edgar/data/1342423/000114420410017415/v178900_ex3-9.htm" TargetMode="External"/><Relationship Id="rId5" Type="http://schemas.openxmlformats.org/officeDocument/2006/relationships/hyperlink" Target="https://www.sec.gov/Archives/edgar/data/1342423/000114420417018212/v463210_ex3-1.htm" TargetMode="External"/><Relationship Id="rId6" Type="http://schemas.openxmlformats.org/officeDocument/2006/relationships/hyperlink" Target="https://www.sec.gov/Archives/edgar/data/1342423/000110465924040501/tm249848d1_ex3-1.htm" TargetMode="External"/><Relationship Id="rId7" Type="http://schemas.openxmlformats.org/officeDocument/2006/relationships/hyperlink" Target="https://www.sec.gov/Archives/edgar/data/1342423/000110465923126652/tm2333025d1_ex3-1.htm" TargetMode="External"/><Relationship Id="rId8" Type="http://schemas.openxmlformats.org/officeDocument/2006/relationships/hyperlink" Target="https://www.sec.gov/Archives/edgar/data/1342423/000114420410007241/v173157_ex3-8.htm" TargetMode="External"/><Relationship Id="rId9" Type="http://schemas.openxmlformats.org/officeDocument/2006/relationships/hyperlink" Target="https://www.sec.gov/Archives/edgar/data/1342423/000110465923126652/tm2333025d1_ex3-1.htm" TargetMode="External"/><Relationship Id="rId10" Type="http://schemas.openxmlformats.org/officeDocument/2006/relationships/hyperlink" Target="https://www.sec.gov/Archives/edgar/data/1342423/000114420410007241/v173157_ex3-8.htm" TargetMode="External"/><Relationship Id="rId11" Type="http://schemas.openxmlformats.org/officeDocument/2006/relationships/hyperlink" Target="https://www.sec.gov/Archives/edgar/data/1342423/000114420410007241/v173157_ex3-4.htm" TargetMode="External"/><Relationship Id="rId12" Type="http://schemas.openxmlformats.org/officeDocument/2006/relationships/hyperlink" Target="https://www.sec.gov/Archives/edgar/data/1342423/000114420410007241/v173157_ex3-5.htm" TargetMode="External"/><Relationship Id="rId13" Type="http://schemas.openxmlformats.org/officeDocument/2006/relationships/hyperlink" Target="https://www.sec.gov/Archives/edgar/data/1342423/000114420414017379/v372494_ex3-1.htm" TargetMode="External"/><Relationship Id="rId14" Type="http://schemas.openxmlformats.org/officeDocument/2006/relationships/hyperlink" Target="https://www.sec.gov/Archives/edgar/data/1342423/000134242322000038/lmnr-103122ex47.htm" TargetMode="External"/><Relationship Id="rId15" Type="http://schemas.openxmlformats.org/officeDocument/2006/relationships/hyperlink" Target="https://www.sec.gov/Archives/edgar/data/1342423/000114420410007241/v173157_ex3-8.htm" TargetMode="External"/><Relationship Id="rId16" Type="http://schemas.openxmlformats.org/officeDocument/2006/relationships/hyperlink" Target="https://www.sec.gov/Archives/edgar/data/1342423/000134242322000038/lmnr-103122ex47.htm" TargetMode="External"/><Relationship Id="rId17" Type="http://schemas.openxmlformats.org/officeDocument/2006/relationships/hyperlink" Target="https://www.sec.gov/Archives/edgar/data/1342423/000110465925115058/tm2531978d1_ex10-1.htm" TargetMode="External"/><Relationship Id="rId18" Type="http://schemas.openxmlformats.org/officeDocument/2006/relationships/hyperlink" Target="https://www.sec.gov/Archives/edgar/data/1342423/000110465925115058/tm2531978d1_ex10-1.htm" TargetMode="External"/><Relationship Id="rId19" Type="http://schemas.openxmlformats.org/officeDocument/2006/relationships/hyperlink" Target="https://www.sec.gov/Archives/edgar/data/1342423/000110465925115058/tm2531978d1_ex10-1.htm" TargetMode="External"/><Relationship Id="rId20" Type="http://schemas.openxmlformats.org/officeDocument/2006/relationships/hyperlink" Target="https://www.sec.gov/Archives/edgar/data/1342423/000110465925115058/tm2531978d1_ex10-1.htm" TargetMode="External"/><Relationship Id="rId21" Type="http://schemas.openxmlformats.org/officeDocument/2006/relationships/hyperlink" Target="https://www.sec.gov/Archives/edgar/data/1342423/000110465925115058/tm2531978d1_ex10-1.htm" TargetMode="External"/><Relationship Id="rId22" Type="http://schemas.openxmlformats.org/officeDocument/2006/relationships/hyperlink" Target="https://www.sec.gov/Archives/edgar/data/1342423/000110465925115058/tm2531978d1_ex10-1.htm" TargetMode="External"/><Relationship Id="rId23" Type="http://schemas.openxmlformats.org/officeDocument/2006/relationships/hyperlink" Target="https://www.sec.gov/Archives/edgar/data/1342423/000110465925115058/tm2531978d1_ex10-1.htm" TargetMode="External"/><Relationship Id="rId24" Type="http://schemas.openxmlformats.org/officeDocument/2006/relationships/hyperlink" Target="https://www.sec.gov/Archives/edgar/data/1342423/000110465925115058/tm2531978d1_ex10-1.htm" TargetMode="External"/><Relationship Id="rId25" Type="http://schemas.openxmlformats.org/officeDocument/2006/relationships/hyperlink" Target="https://www.sec.gov/Archives/edgar/data/1342423/000114420410007241/v173157_ex3-8.htm" TargetMode="External"/><Relationship Id="rId26" Type="http://schemas.openxmlformats.org/officeDocument/2006/relationships/hyperlink" Target="https://www.sec.gov/Archives/edgar/data/1342423/000110465923126652/tm2333025d1_ex3-1.htm" TargetMode="External"/><Relationship Id="rId27" Type="http://schemas.openxmlformats.org/officeDocument/2006/relationships/hyperlink" Target="https://www.sec.gov/Archives/edgar/data/1342423/000110465923126652/tm2333025d1_ex3-1.htm" TargetMode="External"/><Relationship Id="rId28" Type="http://schemas.openxmlformats.org/officeDocument/2006/relationships/hyperlink" Target="https://www.sec.gov/Archives/edgar/data/1342423/000110465923126652/tm2333025d1_ex3-1.htm" TargetMode="External"/><Relationship Id="rId29" Type="http://schemas.openxmlformats.org/officeDocument/2006/relationships/hyperlink" Target="https://www.sec.gov/Archives/edgar/data/1342423/000110465925121572/tm2533597d1_ex10-1.htm" TargetMode="External"/><Relationship Id="rId30" Type="http://schemas.openxmlformats.org/officeDocument/2006/relationships/hyperlink" Target="https://www.sec.gov/Archives/edgar/data/1342423/000114420410007241/v173157_ex3-8.htm" TargetMode="External"/><Relationship Id="rId31" Type="http://schemas.openxmlformats.org/officeDocument/2006/relationships/hyperlink" Target="https://www.sec.gov/Archives/edgar/data/1342423/000110465923126652/tm2333025d1_ex3-1.htm" TargetMode="External"/><Relationship Id="rId32" Type="http://schemas.openxmlformats.org/officeDocument/2006/relationships/hyperlink" Target="https://www.sec.gov/Archives/edgar/data/1342423/000110465925110919/tm2530989d1_ex10-1.htm" TargetMode="External"/><Relationship Id="rId33" Type="http://schemas.openxmlformats.org/officeDocument/2006/relationships/hyperlink" Target="https://www.sec.gov/Archives/edgar/data/1342423/000110465925110919/tm2530989d1_ex10-1.htm" TargetMode="External"/><Relationship Id="rId34" Type="http://schemas.openxmlformats.org/officeDocument/2006/relationships/hyperlink" Target="https://www.sec.gov/Archives/edgar/data/1342423/000110465925110919/tm2530989d1_ex10-1.htm" TargetMode="External"/><Relationship Id="rId35" Type="http://schemas.openxmlformats.org/officeDocument/2006/relationships/hyperlink" Target="https://www.sec.gov/Archives/edgar/data/1342423/000110465925110919/tm2530989d1_ex10-1.htm" TargetMode="External"/><Relationship Id="rId36" Type="http://schemas.openxmlformats.org/officeDocument/2006/relationships/hyperlink" Target="https://www.sec.gov/Archives/edgar/data/1342423/000110465925110919/tm2530989d1_ex10-1.htm" TargetMode="External"/><Relationship Id="rId37" Type="http://schemas.openxmlformats.org/officeDocument/2006/relationships/hyperlink" Target="https://www.sec.gov/Archives/edgar/data/1342423/000110465925110919/tm2530989d1_ex10-1.htm" TargetMode="External"/><Relationship Id="rId38" Type="http://schemas.openxmlformats.org/officeDocument/2006/relationships/hyperlink" Target="https://www.sec.gov/Archives/edgar/data/1342423/000110465925110919/tm2530989d1_ex10-1.htm" TargetMode="External"/><Relationship Id="rId39" Type="http://schemas.openxmlformats.org/officeDocument/2006/relationships/hyperlink" Target="https://www.sec.gov/Archives/edgar/data/1342423/000110465925110919/tm2530989d1_ex10-1.htm" TargetMode="External"/><Relationship Id="rId40" Type="http://schemas.openxmlformats.org/officeDocument/2006/relationships/hyperlink" Target="https://www.sec.gov/Archives/edgar/data/1342423/000110465925110919/tm2530989d1_ex10-1.htm" TargetMode="External"/><Relationship Id="rId41" Type="http://schemas.openxmlformats.org/officeDocument/2006/relationships/hyperlink" Target="https://www.sec.gov/Archives/edgar/data/1342423/000110465925110919/tm2530989d1_ex10-1.htm" TargetMode="External"/><Relationship Id="rId42" Type="http://schemas.openxmlformats.org/officeDocument/2006/relationships/hyperlink" Target="https://www.sec.gov/Archives/edgar/data/1342423/000110465925110919/tm2530989d1_ex10-1.htm" TargetMode="External"/><Relationship Id="rId43" Type="http://schemas.openxmlformats.org/officeDocument/2006/relationships/hyperlink" Target="https://www.sec.gov/Archives/edgar/data/1342423/000110465925110919/tm2530989d1_ex10-1.htm" TargetMode="External"/><Relationship Id="rId44" Type="http://schemas.openxmlformats.org/officeDocument/2006/relationships/hyperlink" Target="https://www.sec.gov/Archives/edgar/data/1342423/000110465925110919/tm2530989d1_ex10-1.htm" TargetMode="External"/><Relationship Id="rId45" Type="http://schemas.openxmlformats.org/officeDocument/2006/relationships/hyperlink" Target="https://www.sec.gov/Archives/edgar/data/1342423/000110465925110919/tm2530989d1_ex10-1.htm" TargetMode="External"/><Relationship Id="rId46" Type="http://schemas.openxmlformats.org/officeDocument/2006/relationships/hyperlink" Target="https://www.sec.gov/Archives/edgar/data/1342423/000114420410007241/v173157_ex3-8.htm" TargetMode="External"/><Relationship Id="rId47" Type="http://schemas.openxmlformats.org/officeDocument/2006/relationships/hyperlink" Target="https://www.sec.gov/Archives/edgar/data/1342423/000110465923126652/tm2333025d1_ex3-1.htm" TargetMode="External"/><Relationship Id="rId48" Type="http://schemas.openxmlformats.org/officeDocument/2006/relationships/hyperlink" Target="https://www.sec.gov/Archives/edgar/data/1342423/000110465923126652/tm2333025d1_ex3-1.htm" TargetMode="External"/><Relationship Id="rId49" Type="http://schemas.openxmlformats.org/officeDocument/2006/relationships/hyperlink" Target="https://www.sec.gov/Archives/edgar/data/1342423/000110465923126652/tm2333025d1_ex3-1.htm" TargetMode="External"/><Relationship Id="rId50" Type="http://schemas.openxmlformats.org/officeDocument/2006/relationships/hyperlink" Target="https://www.sec.gov/Archives/edgar/data/1342423/000110465923126652/tm2333025d1_ex3-1.htm" TargetMode="External"/><Relationship Id="rId51" Type="http://schemas.openxmlformats.org/officeDocument/2006/relationships/hyperlink" Target="https://www.sec.gov/Archives/edgar/data/1342423/000110465923126652/tm2333025d1_ex3-1.htm" TargetMode="External"/><Relationship Id="rId52" Type="http://schemas.openxmlformats.org/officeDocument/2006/relationships/hyperlink" Target="https://www.sec.gov/Archives/edgar/data/1342423/000110465923126652/tm2333025d1_ex3-1.htm" TargetMode="External"/><Relationship Id="rId53" Type="http://schemas.openxmlformats.org/officeDocument/2006/relationships/hyperlink" Target="https://www.sec.gov/Archives/edgar/data/1342423/000110465923126652/tm2333025d1_ex3-1.htm" TargetMode="External"/><Relationship Id="rId54" Type="http://schemas.openxmlformats.org/officeDocument/2006/relationships/hyperlink" Target="https://www.sec.gov/Archives/edgar/data/1342423/000110465923126652/tm2333025d1_ex3-1.htm" TargetMode="External"/><Relationship Id="rId55" Type="http://schemas.openxmlformats.org/officeDocument/2006/relationships/hyperlink" Target="https://www.sec.gov/Archives/edgar/data/1342423/000110465923126652/tm2333025d1_ex3-1.htm" TargetMode="External"/><Relationship Id="rId56" Type="http://schemas.openxmlformats.org/officeDocument/2006/relationships/hyperlink" Target="https://www.sec.gov/Archives/edgar/data/1342423/000110465925110919/tm2530989d1_ex10-2.htm" TargetMode="External"/><Relationship Id="rId57" Type="http://schemas.openxmlformats.org/officeDocument/2006/relationships/hyperlink" Target="https://www.sec.gov/Archives/edgar/data/1342423/000114420410007241/v173157_ex3-8.htm" TargetMode="External"/><Relationship Id="rId58" Type="http://schemas.openxmlformats.org/officeDocument/2006/relationships/hyperlink" Target="https://www.sec.gov/Archives/edgar/data/1342423/000110465923126652/tm2333025d1_ex3-1.htm" TargetMode="External"/><Relationship Id="rId59" Type="http://schemas.openxmlformats.org/officeDocument/2006/relationships/hyperlink" Target="https://www.sec.gov/Archives/edgar/data/1342423/000110465925110919/tm2530989d1_ex10-3.htm" TargetMode="External"/><Relationship Id="rId60" Type="http://schemas.openxmlformats.org/officeDocument/2006/relationships/hyperlink" Target="https://www.sec.gov/Archives/edgar/data/1342423/000110465925110919/tm2530989d1_ex10-3.htm" TargetMode="External"/><Relationship Id="rId61" Type="http://schemas.openxmlformats.org/officeDocument/2006/relationships/hyperlink" Target="https://www.sec.gov/Archives/edgar/data/1342423/000110465925110919/tm2530989d1_ex10-3.htm" TargetMode="External"/><Relationship Id="rId62" Type="http://schemas.openxmlformats.org/officeDocument/2006/relationships/hyperlink" Target="https://www.sec.gov/Archives/edgar/data/1342423/000110465925110919/tm2530989d1_ex10-3.htm" TargetMode="External"/><Relationship Id="rId63" Type="http://schemas.openxmlformats.org/officeDocument/2006/relationships/hyperlink" Target="https://www.sec.gov/Archives/edgar/data/1342423/000110465925110919/tm2530989d1_ex10-3.htm" TargetMode="External"/><Relationship Id="rId64" Type="http://schemas.openxmlformats.org/officeDocument/2006/relationships/hyperlink" Target="https://www.sec.gov/Archives/edgar/data/1342423/000110465925110919/tm2530989d1_ex10-3.htm" TargetMode="External"/><Relationship Id="rId65" Type="http://schemas.openxmlformats.org/officeDocument/2006/relationships/hyperlink" Target="https://www.sec.gov/Archives/edgar/data/1342423/000110465925110919/tm2530989d1_ex10-3.htm" TargetMode="External"/><Relationship Id="rId66" Type="http://schemas.openxmlformats.org/officeDocument/2006/relationships/hyperlink" Target="https://www.sec.gov/Archives/edgar/data/1342423/000110465925110919/tm2530989d1_ex10-3.htm" TargetMode="External"/><Relationship Id="rId67" Type="http://schemas.openxmlformats.org/officeDocument/2006/relationships/hyperlink" Target="https://www.sec.gov/Archives/edgar/data/1342423/000110465925110919/tm2530989d1_ex10-3.htm" TargetMode="External"/><Relationship Id="rId68" Type="http://schemas.openxmlformats.org/officeDocument/2006/relationships/hyperlink" Target="https://www.sec.gov/Archives/edgar/data/1342423/000110465925110919/tm2530989d1_ex10-3.htm" TargetMode="External"/><Relationship Id="rId69" Type="http://schemas.openxmlformats.org/officeDocument/2006/relationships/hyperlink" Target="https://www.sec.gov/Archives/edgar/data/1342423/000114420410007241/v173157_ex3-8.htm" TargetMode="External"/><Relationship Id="rId70" Type="http://schemas.openxmlformats.org/officeDocument/2006/relationships/hyperlink" Target="https://www.sec.gov/Archives/edgar/data/1342423/000110465923126652/tm2333025d1_ex3-1.htm" TargetMode="External"/><Relationship Id="rId71" Type="http://schemas.openxmlformats.org/officeDocument/2006/relationships/hyperlink" Target="https://www.sec.gov/Archives/edgar/data/1342423/000110465925110919/tm2530989d1_ex10-4.htm" TargetMode="External"/><Relationship Id="rId72" Type="http://schemas.openxmlformats.org/officeDocument/2006/relationships/hyperlink" Target="https://www.sec.gov/Archives/edgar/data/1342423/000110465925110919/tm2530989d1_ex10-4.htm" TargetMode="External"/><Relationship Id="rId73" Type="http://schemas.openxmlformats.org/officeDocument/2006/relationships/hyperlink" Target="https://www.sec.gov/Archives/edgar/data/1342423/000110465925110919/tm2530989d1_ex10-4.htm" TargetMode="External"/><Relationship Id="rId74" Type="http://schemas.openxmlformats.org/officeDocument/2006/relationships/hyperlink" Target="https://www.sec.gov/Archives/edgar/data/1342423/000110465925110919/tm2530989d1_ex10-4.htm" TargetMode="External"/><Relationship Id="rId75" Type="http://schemas.openxmlformats.org/officeDocument/2006/relationships/hyperlink" Target="https://www.sec.gov/Archives/edgar/data/1342423/000110465925110919/tm2530989d1_ex10-4.htm" TargetMode="External"/><Relationship Id="rId76" Type="http://schemas.openxmlformats.org/officeDocument/2006/relationships/hyperlink" Target="https://www.sec.gov/Archives/edgar/data/1342423/000110465925110919/tm2530989d1_ex10-4.htm" TargetMode="External"/><Relationship Id="rId77" Type="http://schemas.openxmlformats.org/officeDocument/2006/relationships/hyperlink" Target="https://www.sec.gov/Archives/edgar/data/1342423/000110465925110919/tm2530989d1_ex10-4.htm" TargetMode="External"/><Relationship Id="rId78" Type="http://schemas.openxmlformats.org/officeDocument/2006/relationships/hyperlink" Target="https://www.sec.gov/Archives/edgar/data/1342423/000110465925110919/tm2530989d1_ex10-4.htm" TargetMode="External"/><Relationship Id="rId79" Type="http://schemas.openxmlformats.org/officeDocument/2006/relationships/hyperlink" Target="https://www.sec.gov/Archives/edgar/data/1342423/000114420410007241/v173157_ex3-8.htm" TargetMode="External"/><Relationship Id="rId80" Type="http://schemas.openxmlformats.org/officeDocument/2006/relationships/hyperlink" Target="https://www.sec.gov/Archives/edgar/data/1342423/000110465923126652/tm2333025d1_ex3-1.htm" TargetMode="External"/><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20087</Words>
  <Characters>111194</Characters>
  <CharactersWithSpaces>130106</CharactersWithSpaces>
  <Paragraphs>2979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