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22860</wp:posOffset>
            </wp:positionV>
            <wp:extent cx="40290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25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-199390</wp:posOffset>
            </wp:positionV>
            <wp:extent cx="4029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60" w:lineRule="exact"/>
        <w:rPr>
          <w:sz w:val="24"/>
          <w:szCs w:val="24"/>
          <w:color w:val="auto"/>
        </w:rPr>
      </w:pPr>
    </w:p>
    <w:p>
      <w:pPr>
        <w:ind w:left="300" w:hanging="231"/>
        <w:spacing w:after="0"/>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APRIL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0" w:lineRule="exact"/>
        <w:rPr>
          <w:sz w:val="24"/>
          <w:szCs w:val="24"/>
          <w:color w:val="auto"/>
        </w:rPr>
      </w:pPr>
    </w:p>
    <w:p>
      <w:pPr>
        <w:ind w:left="300" w:hanging="231"/>
        <w:spacing w:after="0"/>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00"/>
        <w:spacing w:after="0"/>
        <w:tabs>
          <w:tab w:leader="none" w:pos="42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2338705</wp:posOffset>
            </wp:positionH>
            <wp:positionV relativeFrom="paragraph">
              <wp:posOffset>-7620</wp:posOffset>
            </wp:positionV>
            <wp:extent cx="905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001-34755</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-294640</wp:posOffset>
            </wp:positionV>
            <wp:extent cx="402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4445</wp:posOffset>
            </wp:positionV>
            <wp:extent cx="4029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18" w:lineRule="exact"/>
        <w:rPr>
          <w:sz w:val="24"/>
          <w:szCs w:val="24"/>
          <w:color w:val="auto"/>
        </w:rPr>
      </w:pPr>
    </w:p>
    <w:tbl>
      <w:tblPr>
        <w:tblLayout w:type="fixed"/>
        <w:tblInd w:w="500" w:type="dxa"/>
        <w:tblCellMar>
          <w:top w:w="0" w:type="dxa"/>
          <w:left w:w="0" w:type="dxa"/>
          <w:bottom w:w="0" w:type="dxa"/>
          <w:right w:w="0" w:type="dxa"/>
        </w:tblCellMar>
      </w:tblPr>
      <w:tr>
        <w:trPr>
          <w:trHeight w:val="229"/>
        </w:trPr>
        <w:tc>
          <w:tcPr>
            <w:tcW w:w="5600" w:type="dxa"/>
            <w:vAlign w:val="bottom"/>
          </w:tcPr>
          <w:p>
            <w:pPr>
              <w:jc w:val="center"/>
              <w:ind w:right="872"/>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850"/>
              <w:spacing w:after="0"/>
              <w:rPr>
                <w:sz w:val="20"/>
                <w:szCs w:val="20"/>
                <w:color w:val="auto"/>
              </w:rPr>
            </w:pPr>
            <w:r>
              <w:rPr>
                <w:rFonts w:ascii="Arial" w:cs="Arial" w:eastAsia="Arial" w:hAnsi="Arial"/>
                <w:sz w:val="18"/>
                <w:szCs w:val="18"/>
                <w:b w:val="1"/>
                <w:bCs w:val="1"/>
                <w:color w:val="auto"/>
              </w:rPr>
              <w:t>77-0260692</w:t>
            </w:r>
          </w:p>
        </w:tc>
      </w:tr>
      <w:tr>
        <w:trPr>
          <w:trHeight w:val="234"/>
        </w:trPr>
        <w:tc>
          <w:tcPr>
            <w:tcW w:w="5600" w:type="dxa"/>
            <w:vAlign w:val="bottom"/>
          </w:tcPr>
          <w:p>
            <w:pPr>
              <w:jc w:val="center"/>
              <w:ind w:right="872"/>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20" w:type="dxa"/>
            <w:vAlign w:val="bottom"/>
          </w:tcPr>
          <w:p>
            <w:pPr>
              <w:jc w:val="center"/>
              <w:ind w:left="8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33"/>
        </w:trPr>
        <w:tc>
          <w:tcPr>
            <w:tcW w:w="5600" w:type="dxa"/>
            <w:vAlign w:val="bottom"/>
          </w:tcPr>
          <w:p>
            <w:pPr>
              <w:jc w:val="center"/>
              <w:ind w:right="872"/>
              <w:spacing w:after="0"/>
              <w:rPr>
                <w:sz w:val="20"/>
                <w:szCs w:val="20"/>
                <w:color w:val="auto"/>
              </w:rPr>
            </w:pPr>
            <w:r>
              <w:rPr>
                <w:rFonts w:ascii="Arial" w:cs="Arial" w:eastAsia="Arial" w:hAnsi="Arial"/>
                <w:sz w:val="16"/>
                <w:szCs w:val="16"/>
                <w:b w:val="1"/>
                <w:bCs w:val="1"/>
                <w:color w:val="auto"/>
                <w:w w:val="92"/>
              </w:rPr>
              <w:t>1141 Cummings Road</w:t>
            </w:r>
            <w:r>
              <w:rPr>
                <w:rFonts w:ascii="Arial" w:cs="Arial" w:eastAsia="Arial" w:hAnsi="Arial"/>
                <w:sz w:val="17"/>
                <w:szCs w:val="17"/>
                <w:b w:val="1"/>
                <w:bCs w:val="1"/>
                <w:color w:val="auto"/>
                <w:w w:val="92"/>
              </w:rPr>
              <w:t>,</w:t>
            </w:r>
            <w:r>
              <w:rPr>
                <w:rFonts w:ascii="Arial" w:cs="Arial" w:eastAsia="Arial" w:hAnsi="Arial"/>
                <w:sz w:val="16"/>
                <w:szCs w:val="16"/>
                <w:b w:val="1"/>
                <w:bCs w:val="1"/>
                <w:color w:val="auto"/>
                <w:w w:val="92"/>
              </w:rPr>
              <w:t xml:space="preserve"> Santa Paula</w:t>
            </w:r>
            <w:r>
              <w:rPr>
                <w:rFonts w:ascii="Arial" w:cs="Arial" w:eastAsia="Arial" w:hAnsi="Arial"/>
                <w:sz w:val="17"/>
                <w:szCs w:val="17"/>
                <w:b w:val="1"/>
                <w:bCs w:val="1"/>
                <w:color w:val="auto"/>
                <w:w w:val="92"/>
              </w:rPr>
              <w:t>,</w:t>
            </w:r>
            <w:r>
              <w:rPr>
                <w:rFonts w:ascii="Arial" w:cs="Arial" w:eastAsia="Arial" w:hAnsi="Arial"/>
                <w:sz w:val="16"/>
                <w:szCs w:val="16"/>
                <w:b w:val="1"/>
                <w:bCs w:val="1"/>
                <w:color w:val="auto"/>
                <w:w w:val="92"/>
              </w:rPr>
              <w:t xml:space="preserve"> CA</w:t>
            </w:r>
          </w:p>
        </w:tc>
        <w:tc>
          <w:tcPr>
            <w:tcW w:w="3720" w:type="dxa"/>
            <w:vAlign w:val="bottom"/>
          </w:tcPr>
          <w:p>
            <w:pPr>
              <w:jc w:val="right"/>
              <w:ind w:right="1070"/>
              <w:spacing w:after="0"/>
              <w:rPr>
                <w:sz w:val="20"/>
                <w:szCs w:val="20"/>
                <w:color w:val="auto"/>
              </w:rPr>
            </w:pPr>
            <w:r>
              <w:rPr>
                <w:rFonts w:ascii="Arial" w:cs="Arial" w:eastAsia="Arial" w:hAnsi="Arial"/>
                <w:sz w:val="18"/>
                <w:szCs w:val="18"/>
                <w:b w:val="1"/>
                <w:bCs w:val="1"/>
                <w:color w:val="auto"/>
              </w:rPr>
              <w:t>93060</w:t>
            </w:r>
          </w:p>
        </w:tc>
      </w:tr>
      <w:tr>
        <w:trPr>
          <w:trHeight w:val="234"/>
        </w:trPr>
        <w:tc>
          <w:tcPr>
            <w:tcW w:w="5600" w:type="dxa"/>
            <w:vAlign w:val="bottom"/>
          </w:tcPr>
          <w:p>
            <w:pPr>
              <w:jc w:val="center"/>
              <w:ind w:right="852"/>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2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200" w:lineRule="exact"/>
        <w:rPr>
          <w:sz w:val="24"/>
          <w:szCs w:val="24"/>
          <w:color w:val="auto"/>
        </w:rPr>
      </w:pPr>
    </w:p>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(805) 525-5541</w:t>
      </w:r>
    </w:p>
    <w:p>
      <w:pPr>
        <w:spacing w:after="0" w:line="121" w:lineRule="exact"/>
        <w:rPr>
          <w:sz w:val="24"/>
          <w:szCs w:val="24"/>
          <w:color w:val="auto"/>
        </w:rPr>
      </w:pPr>
    </w:p>
    <w:tbl>
      <w:tblPr>
        <w:tblLayout w:type="fixed"/>
        <w:tblInd w:w="92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7660" w:type="dxa"/>
            <w:vAlign w:val="bottom"/>
            <w:gridSpan w:val="2"/>
          </w:tcPr>
          <w:p>
            <w:pPr>
              <w:jc w:val="center"/>
              <w:ind w:right="311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350"/>
        </w:trPr>
        <w:tc>
          <w:tcPr>
            <w:tcW w:w="2480" w:type="dxa"/>
            <w:vAlign w:val="bottom"/>
          </w:tcPr>
          <w:p>
            <w:pPr>
              <w:jc w:val="center"/>
              <w:ind w:right="50"/>
              <w:spacing w:after="0"/>
              <w:rPr>
                <w:sz w:val="20"/>
                <w:szCs w:val="20"/>
                <w:color w:val="auto"/>
              </w:rPr>
            </w:pPr>
            <w:r>
              <w:rPr>
                <w:rFonts w:ascii="Arial" w:cs="Arial" w:eastAsia="Arial" w:hAnsi="Arial"/>
                <w:sz w:val="18"/>
                <w:szCs w:val="18"/>
                <w:color w:val="auto"/>
                <w:w w:val="91"/>
              </w:rPr>
              <w:t>Title of Each Class</w:t>
            </w:r>
          </w:p>
        </w:tc>
        <w:tc>
          <w:tcPr>
            <w:tcW w:w="3320" w:type="dxa"/>
            <w:vAlign w:val="bottom"/>
          </w:tcPr>
          <w:p>
            <w:pPr>
              <w:jc w:val="center"/>
              <w:ind w:left="1030"/>
              <w:spacing w:after="0"/>
              <w:rPr>
                <w:sz w:val="20"/>
                <w:szCs w:val="20"/>
                <w:color w:val="auto"/>
              </w:rPr>
            </w:pPr>
            <w:r>
              <w:rPr>
                <w:rFonts w:ascii="Arial" w:cs="Arial" w:eastAsia="Arial" w:hAnsi="Arial"/>
                <w:sz w:val="18"/>
                <w:szCs w:val="18"/>
                <w:color w:val="auto"/>
                <w:w w:val="91"/>
              </w:rPr>
              <w:t>Trading Symbol</w:t>
            </w:r>
          </w:p>
        </w:tc>
        <w:tc>
          <w:tcPr>
            <w:tcW w:w="4340" w:type="dxa"/>
            <w:vAlign w:val="bottom"/>
          </w:tcPr>
          <w:p>
            <w:pPr>
              <w:jc w:val="center"/>
              <w:ind w:left="450"/>
              <w:spacing w:after="0"/>
              <w:rPr>
                <w:sz w:val="20"/>
                <w:szCs w:val="20"/>
                <w:color w:val="auto"/>
              </w:rPr>
            </w:pPr>
            <w:r>
              <w:rPr>
                <w:rFonts w:ascii="Arial" w:cs="Arial" w:eastAsia="Arial" w:hAnsi="Arial"/>
                <w:sz w:val="18"/>
                <w:szCs w:val="18"/>
                <w:color w:val="auto"/>
                <w:w w:val="90"/>
              </w:rPr>
              <w:t>Name of Each Exchange of Which Registered</w:t>
            </w:r>
          </w:p>
        </w:tc>
        <w:tc>
          <w:tcPr>
            <w:tcW w:w="0" w:type="dxa"/>
            <w:vAlign w:val="bottom"/>
          </w:tcPr>
          <w:p>
            <w:pPr>
              <w:spacing w:after="0"/>
              <w:rPr>
                <w:sz w:val="1"/>
                <w:szCs w:val="1"/>
                <w:color w:val="auto"/>
              </w:rPr>
            </w:pPr>
          </w:p>
        </w:tc>
      </w:tr>
      <w:tr>
        <w:trPr>
          <w:trHeight w:val="176"/>
        </w:trPr>
        <w:tc>
          <w:tcPr>
            <w:tcW w:w="2480" w:type="dxa"/>
            <w:vAlign w:val="bottom"/>
            <w:vMerge w:val="restart"/>
          </w:tcPr>
          <w:p>
            <w:pPr>
              <w:jc w:val="center"/>
              <w:ind w:right="50"/>
              <w:spacing w:after="0"/>
              <w:rPr>
                <w:sz w:val="20"/>
                <w:szCs w:val="20"/>
                <w:color w:val="auto"/>
              </w:rPr>
            </w:pPr>
            <w:r>
              <w:rPr>
                <w:rFonts w:ascii="Arial" w:cs="Arial" w:eastAsia="Arial" w:hAnsi="Arial"/>
                <w:sz w:val="18"/>
                <w:szCs w:val="18"/>
                <w:color w:val="auto"/>
                <w:w w:val="90"/>
              </w:rPr>
              <w:t>Common Stock, $0.01 par value</w:t>
            </w:r>
          </w:p>
        </w:tc>
        <w:tc>
          <w:tcPr>
            <w:tcW w:w="3320" w:type="dxa"/>
            <w:vAlign w:val="bottom"/>
            <w:vMerge w:val="restart"/>
          </w:tcPr>
          <w:p>
            <w:pPr>
              <w:jc w:val="center"/>
              <w:ind w:left="1030"/>
              <w:spacing w:after="0"/>
              <w:rPr>
                <w:sz w:val="20"/>
                <w:szCs w:val="20"/>
                <w:color w:val="auto"/>
              </w:rPr>
            </w:pPr>
            <w:r>
              <w:rPr>
                <w:rFonts w:ascii="Arial" w:cs="Arial" w:eastAsia="Arial" w:hAnsi="Arial"/>
                <w:sz w:val="18"/>
                <w:szCs w:val="18"/>
                <w:color w:val="auto"/>
              </w:rPr>
              <w:t>LMNR</w:t>
            </w:r>
          </w:p>
        </w:tc>
        <w:tc>
          <w:tcPr>
            <w:tcW w:w="4340" w:type="dxa"/>
            <w:vAlign w:val="bottom"/>
          </w:tcPr>
          <w:p>
            <w:pPr>
              <w:jc w:val="center"/>
              <w:ind w:left="450"/>
              <w:spacing w:after="0" w:line="176" w:lineRule="exact"/>
              <w:rPr>
                <w:sz w:val="20"/>
                <w:szCs w:val="20"/>
                <w:color w:val="auto"/>
              </w:rPr>
            </w:pPr>
            <w:r>
              <w:rPr>
                <w:rFonts w:ascii="Arial" w:cs="Arial" w:eastAsia="Arial" w:hAnsi="Arial"/>
                <w:sz w:val="18"/>
                <w:szCs w:val="18"/>
                <w:color w:val="auto"/>
                <w:w w:val="96"/>
              </w:rPr>
              <w:t xml:space="preserve">The </w:t>
            </w:r>
            <w:r>
              <w:rPr>
                <w:rFonts w:ascii="Arial" w:cs="Arial" w:eastAsia="Arial" w:hAnsi="Arial"/>
                <w:sz w:val="16"/>
                <w:szCs w:val="16"/>
                <w:color w:val="auto"/>
                <w:w w:val="96"/>
              </w:rPr>
              <w:t>NASDAQ</w:t>
            </w:r>
            <w:r>
              <w:rPr>
                <w:rFonts w:ascii="Arial" w:cs="Arial" w:eastAsia="Arial" w:hAnsi="Arial"/>
                <w:sz w:val="18"/>
                <w:szCs w:val="18"/>
                <w:color w:val="auto"/>
                <w:w w:val="96"/>
              </w:rPr>
              <w:t xml:space="preserve"> Stock Market LLC (NASDAQ Global</w:t>
            </w:r>
          </w:p>
        </w:tc>
        <w:tc>
          <w:tcPr>
            <w:tcW w:w="0" w:type="dxa"/>
            <w:vAlign w:val="bottom"/>
          </w:tcPr>
          <w:p>
            <w:pPr>
              <w:spacing w:after="0"/>
              <w:rPr>
                <w:sz w:val="1"/>
                <w:szCs w:val="1"/>
                <w:color w:val="auto"/>
              </w:rPr>
            </w:pPr>
          </w:p>
        </w:tc>
      </w:tr>
      <w:tr>
        <w:trPr>
          <w:trHeight w:val="230"/>
        </w:trPr>
        <w:tc>
          <w:tcPr>
            <w:tcW w:w="2480" w:type="dxa"/>
            <w:vAlign w:val="bottom"/>
            <w:vMerge w:val="continue"/>
          </w:tcPr>
          <w:p>
            <w:pPr>
              <w:spacing w:after="0"/>
              <w:rPr>
                <w:sz w:val="20"/>
                <w:szCs w:val="20"/>
                <w:color w:val="auto"/>
              </w:rPr>
            </w:pPr>
          </w:p>
        </w:tc>
        <w:tc>
          <w:tcPr>
            <w:tcW w:w="3320" w:type="dxa"/>
            <w:vAlign w:val="bottom"/>
            <w:vMerge w:val="continue"/>
          </w:tcPr>
          <w:p>
            <w:pPr>
              <w:spacing w:after="0"/>
              <w:rPr>
                <w:sz w:val="20"/>
                <w:szCs w:val="20"/>
                <w:color w:val="auto"/>
              </w:rPr>
            </w:pPr>
          </w:p>
        </w:tc>
        <w:tc>
          <w:tcPr>
            <w:tcW w:w="4340" w:type="dxa"/>
            <w:vAlign w:val="bottom"/>
          </w:tcPr>
          <w:p>
            <w:pPr>
              <w:jc w:val="center"/>
              <w:ind w:left="430"/>
              <w:spacing w:after="0"/>
              <w:rPr>
                <w:sz w:val="20"/>
                <w:szCs w:val="20"/>
                <w:color w:val="auto"/>
              </w:rPr>
            </w:pPr>
            <w:r>
              <w:rPr>
                <w:rFonts w:ascii="Arial" w:cs="Arial" w:eastAsia="Arial" w:hAnsi="Arial"/>
                <w:sz w:val="18"/>
                <w:szCs w:val="18"/>
                <w:color w:val="auto"/>
                <w:w w:val="91"/>
              </w:rPr>
              <w:t>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jc w:val="both"/>
        <w:ind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87" w:right="339" w:bottom="1440" w:gutter="0" w:footer="0" w:header="0"/>
        </w:sectPr>
      </w:pPr>
    </w:p>
    <w:p>
      <w:pPr>
        <w:spacing w:after="0" w:line="137"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369" w:lineRule="exact"/>
        <w:rPr>
          <w:sz w:val="24"/>
          <w:szCs w:val="24"/>
          <w:color w:val="auto"/>
        </w:rPr>
      </w:pPr>
    </w:p>
    <w:p>
      <w:pPr>
        <w:sectPr>
          <w:pgSz w:w="11900" w:h="16838" w:orient="portrait"/>
          <w:cols w:equalWidth="0" w:num="6">
            <w:col w:w="180" w:space="260"/>
            <w:col w:w="2600" w:space="720"/>
            <w:col w:w="160" w:space="260"/>
            <w:col w:w="2600" w:space="720"/>
            <w:col w:w="160" w:space="280"/>
            <w:col w:w="3300"/>
          </w:cols>
          <w:pgMar w:left="320" w:top="1187" w:right="339" w:bottom="1440" w:gutter="0" w:footer="0" w:header="0"/>
          <w:type w:val="continuous"/>
        </w:sect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spacing w:after="0" w:line="207" w:lineRule="exact"/>
        <w:tabs>
          <w:tab w:leader="none" w:pos="87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8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May 31, 2021, there were 17,685,400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 I. FINANCIAL INFORMATION</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29"/>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9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Financial Statements (Unaudited)</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Balance Sheets – April 30, 2021 and October 31, 2020</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Operations – three and six months ended April 30, 2021 and 2020</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29"/>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Comprehensive Income (Loss) – three and six months ended April 30, 2021 and 2020</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29"/>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Stockholders' Equity and Temporary Equity – three and six months ended April 30, 2021 and 2020</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108"/>
        </w:trPr>
        <w:tc>
          <w:tcPr>
            <w:tcW w:w="11040" w:type="dxa"/>
            <w:vAlign w:val="bottom"/>
            <w:tcBorders>
              <w:top w:val="single" w:sz="8" w:color="CCEEFF"/>
            </w:tcBorders>
            <w:gridSpan w:val="2"/>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209"/>
        </w:trPr>
        <w:tc>
          <w:tcPr>
            <w:tcW w:w="110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Cash Flows – six months ended April 30, 2021 and 2020</w:t>
            </w:r>
          </w:p>
        </w:tc>
        <w:tc>
          <w:tcPr>
            <w:tcW w:w="20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04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Notes to Consolidated Financial Statements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25</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29"/>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4">
              <w:r>
                <w:rPr>
                  <w:rFonts w:ascii="Arial" w:cs="Arial" w:eastAsia="Arial" w:hAnsi="Arial"/>
                  <w:sz w:val="18"/>
                  <w:szCs w:val="18"/>
                  <w:color w:val="0000FF"/>
                  <w:w w:val="79"/>
                </w:rPr>
                <w:t>45</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29"/>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04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04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4"/>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5.</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6">
              <w:r>
                <w:rPr>
                  <w:rFonts w:ascii="Arial" w:cs="Arial" w:eastAsia="Arial" w:hAnsi="Arial"/>
                  <w:sz w:val="18"/>
                  <w:szCs w:val="18"/>
                  <w:color w:val="0000FF"/>
                  <w:w w:val="79"/>
                </w:rPr>
                <w:t>46</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5"/>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99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7">
              <w:r>
                <w:rPr>
                  <w:rFonts w:ascii="Arial" w:cs="Arial" w:eastAsia="Arial" w:hAnsi="Arial"/>
                  <w:sz w:val="18"/>
                  <w:szCs w:val="18"/>
                  <w:color w:val="0000FF"/>
                  <w:w w:val="79"/>
                </w:rPr>
                <w:t>48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140" w:type="dxa"/>
            <w:vAlign w:val="bottom"/>
            <w:tcBorders>
              <w:top w:val="single" w:sz="8" w:color="CCEEFF"/>
            </w:tcBorders>
          </w:tcPr>
          <w:p>
            <w:pPr>
              <w:spacing w:after="0"/>
              <w:rPr>
                <w:sz w:val="19"/>
                <w:szCs w:val="19"/>
                <w:color w:val="auto"/>
              </w:rPr>
            </w:pPr>
          </w:p>
        </w:tc>
        <w:tc>
          <w:tcPr>
            <w:tcW w:w="99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9"/>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SIGNATURES</w:t>
            </w:r>
          </w:p>
        </w:tc>
        <w:tc>
          <w:tcPr>
            <w:tcW w:w="99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50</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9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Cautionary Note on Forward-Looking Statements.</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include:</w:t>
      </w:r>
    </w:p>
    <w:p>
      <w:pPr>
        <w:spacing w:after="0" w:line="17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laws, regulations, rules, quotas, tariffs, and import laws;</w:t>
      </w:r>
    </w:p>
    <w:p>
      <w:pPr>
        <w:spacing w:after="0" w:line="117"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adverse weather conditions, natural disasters and other adverse natural conditions, including freezes, rains, fires and droughts that affect the production, transportation, storage, import and export of fresh produce;</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market responses to industry volume pressures;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pressure from disease, insects and other pests;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 of water supplies or changes in water allocations;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product and raw materials supplies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energy supply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interest rates;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availability of financing for development activities;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general economic conditions for residential and commercial real estate development;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political changes and economic crises;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conflict;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acts of terrorism;</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labor disruptions, strikes, shortages or work stoppages;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foreign exchange rate movements;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negative impacts related to the COVID-19 pandemic and the effectiveness of the Company's responses to the pandemic;</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ability to maintain compliance with covenants under our loan agreements;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loss of important intellectual property rights; and</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disclosed in our public filings with the Securities and Exchange Commission (the "SEC").</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forward-looking statements involve risks and uncertainties that we have identified as having the potential to cause actual results to differ materially from those contemplated herein. We have described in Part I, Item 1A-“Risk Factors” in our Annual Report on Form 10-K for the fiscal year ended October 31, 2020 additional factors that could cause our actual results to differ from our projections or estimates, especially relating to the COVID-19 pandemic.</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of these risks and uncertainties are currently amplified by, and will continue to be amplified by, or in the future may be amplified by, the COVID-19 outbreak. It is not possible to predict or identify all such risks.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2020.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references to “we,” "us," “our,” “our Company,” "the Company" or "Limoneira" in this Quarterly Report on Form 10-Q mean Limoneira Company,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(UNAUDITED)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in thousands, except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April 30, 2021</w:t>
            </w:r>
          </w:p>
        </w:tc>
        <w:tc>
          <w:tcPr>
            <w:tcW w:w="14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October 31,</w:t>
            </w:r>
          </w:p>
        </w:tc>
        <w:tc>
          <w:tcPr>
            <w:tcW w:w="0" w:type="dxa"/>
            <w:vAlign w:val="bottom"/>
          </w:tcPr>
          <w:p>
            <w:pPr>
              <w:spacing w:after="0"/>
              <w:rPr>
                <w:sz w:val="1"/>
                <w:szCs w:val="1"/>
                <w:color w:val="auto"/>
              </w:rPr>
            </w:pPr>
          </w:p>
        </w:tc>
      </w:tr>
      <w:tr>
        <w:trPr>
          <w:trHeight w:val="129"/>
        </w:trPr>
        <w:tc>
          <w:tcPr>
            <w:tcW w:w="880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84"/>
        </w:trPr>
        <w:tc>
          <w:tcPr>
            <w:tcW w:w="88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16,261</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Cultural costs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6,865</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10,688</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Receivables/other from related parties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taxes receivable</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5,911</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42,520</w:t>
            </w:r>
          </w:p>
        </w:tc>
        <w:tc>
          <w:tcPr>
            <w:tcW w:w="0" w:type="dxa"/>
            <w:vAlign w:val="bottom"/>
          </w:tcPr>
          <w:p>
            <w:pPr>
              <w:spacing w:after="0"/>
              <w:rPr>
                <w:sz w:val="1"/>
                <w:szCs w:val="1"/>
                <w:color w:val="auto"/>
              </w:rPr>
            </w:pPr>
          </w:p>
        </w:tc>
      </w:tr>
      <w:tr>
        <w:trPr>
          <w:trHeight w:val="95"/>
        </w:trPr>
        <w:tc>
          <w:tcPr>
            <w:tcW w:w="8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242,649</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Real estate development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21,941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21,636</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investments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61,214</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11,309</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8,737</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394,627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389,600</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5,838</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Growers payable</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8,126</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7,947</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Payables to related parties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6,273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3,277</w:t>
            </w:r>
          </w:p>
        </w:tc>
        <w:tc>
          <w:tcPr>
            <w:tcW w:w="0" w:type="dxa"/>
            <w:vAlign w:val="bottom"/>
          </w:tcPr>
          <w:p>
            <w:pPr>
              <w:spacing w:after="0"/>
              <w:rPr>
                <w:sz w:val="1"/>
                <w:szCs w:val="1"/>
                <w:color w:val="auto"/>
              </w:rPr>
            </w:pPr>
          </w:p>
        </w:tc>
      </w:tr>
      <w:tr>
        <w:trPr>
          <w:trHeight w:val="206"/>
        </w:trPr>
        <w:tc>
          <w:tcPr>
            <w:tcW w:w="880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33,750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31,461</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Long-term debt, less current portion</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122,571</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22,430</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6,568</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183,030</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Commitments and contingencies (See Note 16)</w:t>
            </w:r>
          </w:p>
        </w:tc>
        <w:tc>
          <w:tcPr>
            <w:tcW w:w="34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800" w:type="dxa"/>
            <w:vAlign w:val="bottom"/>
          </w:tcPr>
          <w:p>
            <w:pPr>
              <w:ind w:left="20"/>
              <w:spacing w:after="0" w:line="166" w:lineRule="exact"/>
              <w:rPr>
                <w:sz w:val="20"/>
                <w:szCs w:val="20"/>
                <w:color w:val="auto"/>
              </w:rPr>
            </w:pPr>
            <w:r>
              <w:rPr>
                <w:rFonts w:ascii="Arial" w:cs="Arial" w:eastAsia="Arial" w:hAnsi="Arial"/>
                <w:sz w:val="16"/>
                <w:szCs w:val="16"/>
                <w:color w:val="auto"/>
                <w:w w:val="91"/>
              </w:rPr>
              <w:t>Series B Convertible Preferred Stock – $100.00 par value (50,000 shares authorized: 14,790 shares issued and outstanding at April 30,</w:t>
            </w: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09"/>
        </w:trPr>
        <w:tc>
          <w:tcPr>
            <w:tcW w:w="8800" w:type="dxa"/>
            <w:vAlign w:val="bottom"/>
          </w:tcPr>
          <w:p>
            <w:pPr>
              <w:ind w:left="20"/>
              <w:spacing w:after="0"/>
              <w:rPr>
                <w:sz w:val="20"/>
                <w:szCs w:val="20"/>
                <w:color w:val="auto"/>
              </w:rPr>
            </w:pPr>
            <w:r>
              <w:rPr>
                <w:rFonts w:ascii="Arial" w:cs="Arial" w:eastAsia="Arial" w:hAnsi="Arial"/>
                <w:sz w:val="16"/>
                <w:szCs w:val="16"/>
                <w:color w:val="auto"/>
              </w:rPr>
              <w:t>2021 and October 31, 2020) (8.75% coupon rate)</w:t>
            </w:r>
          </w:p>
        </w:tc>
        <w:tc>
          <w:tcPr>
            <w:tcW w:w="3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Series B-2 Convertible Preferred Stock – $100.00 par value (10,000 shares authorized: 9,300 shares issued and outstanding at April</w:t>
            </w:r>
          </w:p>
        </w:tc>
        <w:tc>
          <w:tcPr>
            <w:tcW w:w="3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9,331</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 2021 and October 31, 2020) (4% dividend rate on liquidation value of $1,000 per share)</w:t>
            </w:r>
          </w:p>
        </w:tc>
        <w:tc>
          <w:tcPr>
            <w:tcW w:w="3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800" w:type="dxa"/>
            <w:vAlign w:val="bottom"/>
          </w:tcPr>
          <w:p>
            <w:pPr>
              <w:ind w:left="220"/>
              <w:spacing w:after="0" w:line="166" w:lineRule="exact"/>
              <w:rPr>
                <w:sz w:val="20"/>
                <w:szCs w:val="20"/>
                <w:color w:val="auto"/>
              </w:rPr>
            </w:pPr>
            <w:r>
              <w:rPr>
                <w:rFonts w:ascii="Arial" w:cs="Arial" w:eastAsia="Arial" w:hAnsi="Arial"/>
                <w:sz w:val="16"/>
                <w:szCs w:val="16"/>
                <w:color w:val="auto"/>
                <w:w w:val="93"/>
              </w:rPr>
              <w:t>Series A Junior Participating Preferred Stock – $0.01 par value (20,000 shares authorized: zero issued or outstanding at April 30,</w:t>
            </w:r>
          </w:p>
        </w:tc>
        <w:tc>
          <w:tcPr>
            <w:tcW w:w="3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800" w:type="dxa"/>
            <w:vAlign w:val="bottom"/>
          </w:tcPr>
          <w:p>
            <w:pPr>
              <w:ind w:left="220"/>
              <w:spacing w:after="0"/>
              <w:rPr>
                <w:sz w:val="20"/>
                <w:szCs w:val="20"/>
                <w:color w:val="auto"/>
              </w:rPr>
            </w:pPr>
            <w:r>
              <w:rPr>
                <w:rFonts w:ascii="Arial" w:cs="Arial" w:eastAsia="Arial" w:hAnsi="Arial"/>
                <w:sz w:val="16"/>
                <w:szCs w:val="16"/>
                <w:color w:val="auto"/>
              </w:rPr>
              <w:t>2021 and October 31, 2020)</w:t>
            </w:r>
          </w:p>
        </w:tc>
        <w:tc>
          <w:tcPr>
            <w:tcW w:w="3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3"/>
              </w:rPr>
              <w:t>Common Stock – $0.01 par value (39,000,000 shares authorized: 17,936,377 and 17,857,707 shares issued and 17,685,400 and</w:t>
            </w:r>
          </w:p>
        </w:tc>
        <w:tc>
          <w:tcPr>
            <w:tcW w:w="3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17,606,730 shares outstanding at April 30, 2021 and October 31, 2020, respectively)</w:t>
            </w:r>
          </w:p>
        </w:tc>
        <w:tc>
          <w:tcPr>
            <w:tcW w:w="3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162,084</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30,797</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(7,548)</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250,977 shares at April 30, 2021 and October 31, 2020</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Noncontrolling interest</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13,741</w:t>
            </w:r>
          </w:p>
        </w:tc>
        <w:tc>
          <w:tcPr>
            <w:tcW w:w="0" w:type="dxa"/>
            <w:vAlign w:val="bottom"/>
          </w:tcPr>
          <w:p>
            <w:pPr>
              <w:spacing w:after="0"/>
              <w:rPr>
                <w:sz w:val="1"/>
                <w:szCs w:val="1"/>
                <w:color w:val="auto"/>
              </w:rPr>
            </w:pPr>
          </w:p>
        </w:tc>
      </w:tr>
      <w:tr>
        <w:trPr>
          <w:trHeight w:val="210"/>
        </w:trPr>
        <w:tc>
          <w:tcPr>
            <w:tcW w:w="8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195,760</w:t>
            </w:r>
          </w:p>
        </w:tc>
        <w:tc>
          <w:tcPr>
            <w:tcW w:w="0" w:type="dxa"/>
            <w:vAlign w:val="bottom"/>
          </w:tcPr>
          <w:p>
            <w:pPr>
              <w:spacing w:after="0"/>
              <w:rPr>
                <w:sz w:val="1"/>
                <w:szCs w:val="1"/>
                <w:color w:val="auto"/>
              </w:rPr>
            </w:pPr>
          </w:p>
        </w:tc>
      </w:tr>
      <w:tr>
        <w:trPr>
          <w:trHeight w:val="213"/>
        </w:trPr>
        <w:tc>
          <w:tcPr>
            <w:tcW w:w="8800" w:type="dxa"/>
            <w:vAlign w:val="bottom"/>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394,627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389,600</w:t>
            </w:r>
          </w:p>
        </w:tc>
        <w:tc>
          <w:tcPr>
            <w:tcW w:w="0" w:type="dxa"/>
            <w:vAlign w:val="bottom"/>
          </w:tcPr>
          <w:p>
            <w:pPr>
              <w:spacing w:after="0"/>
              <w:rPr>
                <w:sz w:val="1"/>
                <w:szCs w:val="1"/>
                <w:color w:val="auto"/>
              </w:rPr>
            </w:pPr>
          </w:p>
        </w:tc>
      </w:tr>
      <w:tr>
        <w:trPr>
          <w:trHeight w:val="21"/>
        </w:trPr>
        <w:tc>
          <w:tcPr>
            <w:tcW w:w="8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100" w:type="dxa"/>
            <w:vAlign w:val="bottom"/>
            <w:gridSpan w:val="4"/>
          </w:tcPr>
          <w:p>
            <w:pPr>
              <w:jc w:val="right"/>
              <w:ind w:right="359"/>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6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800" w:type="dxa"/>
            <w:vAlign w:val="bottom"/>
            <w:tcBorders>
              <w:bottom w:val="single" w:sz="8" w:color="auto"/>
            </w:tcBorders>
          </w:tcPr>
          <w:p>
            <w:pPr>
              <w:spacing w:after="0"/>
              <w:rPr>
                <w:sz w:val="19"/>
                <w:szCs w:val="19"/>
                <w:color w:val="auto"/>
              </w:rPr>
            </w:pPr>
          </w:p>
        </w:tc>
      </w:tr>
      <w:tr>
        <w:trPr>
          <w:trHeight w:val="207"/>
        </w:trPr>
        <w:tc>
          <w:tcPr>
            <w:tcW w:w="6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6540" w:type="dxa"/>
            <w:vAlign w:val="bottom"/>
          </w:tcPr>
          <w:p>
            <w:pPr>
              <w:ind w:left="220"/>
              <w:spacing w:after="0"/>
              <w:rPr>
                <w:sz w:val="20"/>
                <w:szCs w:val="20"/>
                <w:color w:val="auto"/>
              </w:rPr>
            </w:pPr>
            <w:r>
              <w:rPr>
                <w:rFonts w:ascii="Arial" w:cs="Arial" w:eastAsia="Arial" w:hAnsi="Arial"/>
                <w:sz w:val="16"/>
                <w:szCs w:val="16"/>
                <w:color w:val="auto"/>
              </w:rPr>
              <w:t>Agribusiness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43,989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38,439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81,126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78,922</w:t>
            </w:r>
          </w:p>
        </w:tc>
      </w:tr>
      <w:tr>
        <w:trPr>
          <w:trHeight w:val="21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operations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2,305</w:t>
            </w:r>
          </w:p>
        </w:tc>
      </w:tr>
      <w:tr>
        <w:trPr>
          <w:trHeight w:val="206"/>
        </w:trPr>
        <w:tc>
          <w:tcPr>
            <w:tcW w:w="6540" w:type="dxa"/>
            <w:vAlign w:val="bottom"/>
          </w:tcPr>
          <w:p>
            <w:pPr>
              <w:ind w:left="20"/>
              <w:spacing w:after="0"/>
              <w:rPr>
                <w:sz w:val="20"/>
                <w:szCs w:val="20"/>
                <w:color w:val="auto"/>
              </w:rPr>
            </w:pPr>
            <w:r>
              <w:rPr>
                <w:rFonts w:ascii="Arial" w:cs="Arial" w:eastAsia="Arial" w:hAnsi="Arial"/>
                <w:sz w:val="16"/>
                <w:szCs w:val="16"/>
                <w:color w:val="auto"/>
              </w:rPr>
              <w:t>Total net revenues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45,132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39,571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83,407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81,227</w:t>
            </w: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6540" w:type="dxa"/>
            <w:vAlign w:val="bottom"/>
          </w:tcPr>
          <w:p>
            <w:pPr>
              <w:ind w:left="220"/>
              <w:spacing w:after="0"/>
              <w:rPr>
                <w:sz w:val="20"/>
                <w:szCs w:val="20"/>
                <w:color w:val="auto"/>
              </w:rPr>
            </w:pPr>
            <w:r>
              <w:rPr>
                <w:rFonts w:ascii="Arial" w:cs="Arial" w:eastAsia="Arial" w:hAnsi="Arial"/>
                <w:sz w:val="16"/>
                <w:szCs w:val="16"/>
                <w:color w:val="auto"/>
              </w:rPr>
              <w:t>Agribusiness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36,442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35,949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73,380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78,492</w:t>
            </w:r>
          </w:p>
        </w:tc>
      </w:tr>
      <w:tr>
        <w:trPr>
          <w:trHeight w:val="21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operations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w:t>
            </w:r>
          </w:p>
        </w:tc>
      </w:tr>
      <w:tr>
        <w:trPr>
          <w:trHeight w:val="213"/>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11,648</w:t>
            </w: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42,748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92,526</w:t>
            </w:r>
          </w:p>
        </w:tc>
      </w:tr>
      <w:tr>
        <w:trPr>
          <w:trHeight w:val="207"/>
        </w:trPr>
        <w:tc>
          <w:tcPr>
            <w:tcW w:w="65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(11,299)</w:t>
            </w: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65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 of patronage dividends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r>
      <w:tr>
        <w:trPr>
          <w:trHeight w:val="213"/>
        </w:trPr>
        <w:tc>
          <w:tcPr>
            <w:tcW w:w="6540" w:type="dxa"/>
            <w:vAlign w:val="bottom"/>
          </w:tcPr>
          <w:p>
            <w:pPr>
              <w:ind w:left="220"/>
              <w:spacing w:after="0"/>
              <w:rPr>
                <w:sz w:val="20"/>
                <w:szCs w:val="20"/>
                <w:color w:val="auto"/>
              </w:rPr>
            </w:pPr>
            <w:r>
              <w:rPr>
                <w:rFonts w:ascii="Arial" w:cs="Arial" w:eastAsia="Arial" w:hAnsi="Arial"/>
                <w:sz w:val="16"/>
                <w:szCs w:val="16"/>
                <w:color w:val="auto"/>
              </w:rPr>
              <w:t>Equity in earnings (losses) of investments, net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21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stock in Calavo Growers, Inc.</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(6,299)</w:t>
            </w:r>
          </w:p>
        </w:tc>
      </w:tr>
      <w:tr>
        <w:trPr>
          <w:trHeight w:val="213"/>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(7,552)</w:t>
            </w:r>
          </w:p>
        </w:tc>
      </w:tr>
      <w:tr>
        <w:trPr>
          <w:trHeight w:val="145"/>
        </w:trPr>
        <w:tc>
          <w:tcPr>
            <w:tcW w:w="6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 (provision) benefit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(18,851)</w:t>
            </w:r>
          </w:p>
        </w:tc>
      </w:tr>
      <w:tr>
        <w:trPr>
          <w:trHeight w:val="21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 benefit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6,641</w:t>
            </w:r>
          </w:p>
        </w:tc>
      </w:tr>
      <w:tr>
        <w:trPr>
          <w:trHeight w:val="213"/>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(12,210)</w:t>
            </w:r>
          </w:p>
        </w:tc>
      </w:tr>
      <w:tr>
        <w:trPr>
          <w:trHeight w:val="21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r>
      <w:tr>
        <w:trPr>
          <w:trHeight w:val="213"/>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Limoneira Company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(11,310)</w:t>
            </w:r>
          </w:p>
        </w:tc>
      </w:tr>
      <w:tr>
        <w:trPr>
          <w:trHeight w:val="21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Preferred dividends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23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41"/>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income (loss) per common share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(0.66)</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41"/>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income (loss) per common share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(0.66)</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outstanding-basic</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17,461,000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17,634,000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17,429,000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17,602,000</w:t>
            </w:r>
          </w:p>
        </w:tc>
      </w:tr>
      <w:tr>
        <w:trPr>
          <w:trHeight w:val="210"/>
        </w:trPr>
        <w:tc>
          <w:tcPr>
            <w:tcW w:w="654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outstanding-diluted</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17,461,000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7"/>
              </w:rPr>
              <w:t>17,634,000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17,429,000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9"/>
              </w:rPr>
              <w:t>17,602,000</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April</w:t>
            </w:r>
          </w:p>
        </w:tc>
        <w:tc>
          <w:tcPr>
            <w:tcW w:w="230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4"/>
              </w:rPr>
              <w:t>Six Months Ended April 30,</w:t>
            </w:r>
          </w:p>
        </w:tc>
        <w:tc>
          <w:tcPr>
            <w:tcW w:w="0" w:type="dxa"/>
            <w:vAlign w:val="bottom"/>
          </w:tcPr>
          <w:p>
            <w:pPr>
              <w:spacing w:after="0"/>
              <w:rPr>
                <w:sz w:val="1"/>
                <w:szCs w:val="1"/>
                <w:color w:val="auto"/>
              </w:rPr>
            </w:pPr>
          </w:p>
        </w:tc>
      </w:tr>
      <w:tr>
        <w:trPr>
          <w:trHeight w:val="229"/>
        </w:trPr>
        <w:tc>
          <w:tcPr>
            <w:tcW w:w="6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79"/>
              </w:rPr>
              <w:t>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5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(12,210)</w:t>
            </w:r>
          </w:p>
        </w:tc>
        <w:tc>
          <w:tcPr>
            <w:tcW w:w="0" w:type="dxa"/>
            <w:vAlign w:val="bottom"/>
          </w:tcPr>
          <w:p>
            <w:pPr>
              <w:spacing w:after="0"/>
              <w:rPr>
                <w:sz w:val="1"/>
                <w:szCs w:val="1"/>
                <w:color w:val="auto"/>
              </w:rPr>
            </w:pPr>
          </w:p>
        </w:tc>
      </w:tr>
      <w:tr>
        <w:trPr>
          <w:trHeight w:val="213"/>
        </w:trPr>
        <w:tc>
          <w:tcPr>
            <w:tcW w:w="654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166"/>
        </w:trPr>
        <w:tc>
          <w:tcPr>
            <w:tcW w:w="6540" w:type="dxa"/>
            <w:vAlign w:val="bottom"/>
          </w:tcPr>
          <w:p>
            <w:pPr>
              <w:ind w:left="20"/>
              <w:spacing w:after="0" w:line="166" w:lineRule="exact"/>
              <w:rPr>
                <w:sz w:val="20"/>
                <w:szCs w:val="20"/>
                <w:color w:val="auto"/>
              </w:rPr>
            </w:pPr>
            <w:r>
              <w:rPr>
                <w:rFonts w:ascii="Arial" w:cs="Arial" w:eastAsia="Arial" w:hAnsi="Arial"/>
                <w:sz w:val="16"/>
                <w:szCs w:val="16"/>
                <w:color w:val="auto"/>
                <w:w w:val="95"/>
              </w:rPr>
              <w:t>Minimum pension liability adjustment, net of tax of $50, $50, $100 and $100 for the three and six</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134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months ended April 30, 2021 and 2020, respectively.</w:t>
            </w: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Residual state tax effects on sale of equity securities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income (loss), net of tax</w:t>
            </w: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2,224</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(13,761)</w:t>
            </w:r>
          </w:p>
        </w:tc>
        <w:tc>
          <w:tcPr>
            <w:tcW w:w="0" w:type="dxa"/>
            <w:vAlign w:val="bottom"/>
          </w:tcPr>
          <w:p>
            <w:pPr>
              <w:spacing w:after="0"/>
              <w:rPr>
                <w:sz w:val="1"/>
                <w:szCs w:val="1"/>
                <w:color w:val="auto"/>
              </w:rPr>
            </w:pPr>
          </w:p>
        </w:tc>
      </w:tr>
      <w:tr>
        <w:trPr>
          <w:trHeight w:val="20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loss attributable to noncontrolling interest</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33"/>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Limoneira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AND TEMPORARY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3"/>
                <w:szCs w:val="13"/>
                <w:b w:val="1"/>
                <w:bCs w:val="1"/>
                <w:color w:val="auto"/>
              </w:rPr>
              <w:t>Temporary Equity</w:t>
            </w:r>
          </w:p>
        </w:tc>
        <w:tc>
          <w:tcPr>
            <w:tcW w:w="0" w:type="dxa"/>
            <w:vAlign w:val="bottom"/>
          </w:tcPr>
          <w:p>
            <w:pPr>
              <w:spacing w:after="0"/>
              <w:rPr>
                <w:sz w:val="1"/>
                <w:szCs w:val="1"/>
                <w:color w:val="auto"/>
              </w:rPr>
            </w:pPr>
          </w:p>
        </w:tc>
      </w:tr>
      <w:tr>
        <w:trPr>
          <w:trHeight w:val="136"/>
        </w:trPr>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Series B</w:t>
            </w:r>
          </w:p>
        </w:tc>
        <w:tc>
          <w:tcPr>
            <w:tcW w:w="120" w:type="dxa"/>
            <w:vAlign w:val="bottom"/>
          </w:tcPr>
          <w:p>
            <w:pPr>
              <w:spacing w:after="0"/>
              <w:rPr>
                <w:sz w:val="11"/>
                <w:szCs w:val="11"/>
                <w:color w:val="auto"/>
              </w:rPr>
            </w:pPr>
          </w:p>
        </w:tc>
        <w:tc>
          <w:tcPr>
            <w:tcW w:w="74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1"/>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68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4"/>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5"/>
                <w:szCs w:val="15"/>
                <w:color w:val="auto"/>
              </w:rPr>
            </w:pPr>
          </w:p>
        </w:tc>
        <w:tc>
          <w:tcPr>
            <w:tcW w:w="1680" w:type="dxa"/>
            <w:vAlign w:val="bottom"/>
            <w:tcBorders>
              <w:bottom w:val="single" w:sz="8" w:color="auto"/>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controlling</w:t>
            </w: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Preferred</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6"/>
              </w:rPr>
              <w:t>Preferred</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(Loss) Income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0"/>
              </w:rPr>
              <w:t>Stock</w:t>
            </w:r>
          </w:p>
        </w:tc>
        <w:tc>
          <w:tcPr>
            <w:tcW w:w="0" w:type="dxa"/>
            <w:vAlign w:val="bottom"/>
          </w:tcPr>
          <w:p>
            <w:pPr>
              <w:spacing w:after="0"/>
              <w:rPr>
                <w:sz w:val="1"/>
                <w:szCs w:val="1"/>
                <w:color w:val="auto"/>
              </w:rPr>
            </w:pPr>
          </w:p>
        </w:tc>
      </w:tr>
      <w:tr>
        <w:trPr>
          <w:trHeight w:val="175"/>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17,606,730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162,084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30,797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(3,493)</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13,741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195,760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94"/>
              </w:rPr>
              <w:t>Dividends Common ($0.075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Exchange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(46,993)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89"/>
              </w:rPr>
              <w:t>Other comprehensive income, net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929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968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3"/>
                <w:szCs w:val="13"/>
                <w:color w:val="auto"/>
              </w:rPr>
              <w:t>of tax</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17,684,927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162,450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25,140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(6,619)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(3,493)</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191,729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94"/>
              </w:rPr>
              <w:t>Dividends Common ($0.075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(1,327)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9"/>
              </w:rPr>
              <w:t>Other comprehensive income, net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 tax</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80" w:type="dxa"/>
            <w:vAlign w:val="bottom"/>
          </w:tcPr>
          <w:p>
            <w:pPr>
              <w:ind w:left="20"/>
              <w:spacing w:after="0" w:line="142" w:lineRule="exact"/>
              <w:rPr>
                <w:sz w:val="20"/>
                <w:szCs w:val="20"/>
                <w:color w:val="auto"/>
              </w:rPr>
            </w:pPr>
            <w:r>
              <w:rPr>
                <w:rFonts w:ascii="Arial" w:cs="Arial" w:eastAsia="Arial" w:hAnsi="Arial"/>
                <w:sz w:val="13"/>
                <w:szCs w:val="13"/>
                <w:color w:val="auto"/>
              </w:rPr>
              <w:t>Balance at April 30, 2021</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17,685,400</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179</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163,020</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25,620</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(5,908)</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(3,493)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13,669</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193,087</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1,479</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17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3"/>
                <w:szCs w:val="13"/>
                <w:b w:val="1"/>
                <w:bCs w:val="1"/>
                <w:color w:val="auto"/>
              </w:rPr>
              <w:t>Temporary Equity</w:t>
            </w:r>
          </w:p>
        </w:tc>
        <w:tc>
          <w:tcPr>
            <w:tcW w:w="0" w:type="dxa"/>
            <w:vAlign w:val="bottom"/>
          </w:tcPr>
          <w:p>
            <w:pPr>
              <w:spacing w:after="0"/>
              <w:rPr>
                <w:sz w:val="1"/>
                <w:szCs w:val="1"/>
                <w:color w:val="auto"/>
              </w:rPr>
            </w:pPr>
          </w:p>
        </w:tc>
      </w:tr>
      <w:tr>
        <w:trPr>
          <w:trHeight w:val="136"/>
        </w:trPr>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Series B</w:t>
            </w:r>
          </w:p>
        </w:tc>
        <w:tc>
          <w:tcPr>
            <w:tcW w:w="120" w:type="dxa"/>
            <w:vAlign w:val="bottom"/>
          </w:tcPr>
          <w:p>
            <w:pPr>
              <w:spacing w:after="0"/>
              <w:rPr>
                <w:sz w:val="11"/>
                <w:szCs w:val="11"/>
                <w:color w:val="auto"/>
              </w:rPr>
            </w:pPr>
          </w:p>
        </w:tc>
        <w:tc>
          <w:tcPr>
            <w:tcW w:w="74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1"/>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68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4"/>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5"/>
                <w:szCs w:val="15"/>
                <w:color w:val="auto"/>
              </w:rPr>
            </w:pPr>
          </w:p>
        </w:tc>
        <w:tc>
          <w:tcPr>
            <w:tcW w:w="1680" w:type="dxa"/>
            <w:vAlign w:val="bottom"/>
            <w:tcBorders>
              <w:bottom w:val="single" w:sz="8" w:color="auto"/>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controlling</w:t>
            </w: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Preferred</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6"/>
              </w:rPr>
              <w:t>Preferred</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Loss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0"/>
              </w:rPr>
              <w:t>Stock</w:t>
            </w:r>
          </w:p>
        </w:tc>
        <w:tc>
          <w:tcPr>
            <w:tcW w:w="0" w:type="dxa"/>
            <w:vAlign w:val="bottom"/>
          </w:tcPr>
          <w:p>
            <w:pPr>
              <w:spacing w:after="0"/>
              <w:rPr>
                <w:sz w:val="1"/>
                <w:szCs w:val="1"/>
                <w:color w:val="auto"/>
              </w:rPr>
            </w:pPr>
          </w:p>
        </w:tc>
      </w:tr>
      <w:tr>
        <w:trPr>
          <w:trHeight w:val="175"/>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17,756,180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160,254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(7,255)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15,422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221,688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94"/>
              </w:rPr>
              <w:t>Dividends Common ($0.075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Exchange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(11,314)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Other comprehensive (loss)</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(1,132)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3"/>
                <w:szCs w:val="13"/>
                <w:color w:val="auto"/>
              </w:rPr>
              <w:t>income, net of tax</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17,857,707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160,869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45,199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(8,387)</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14,957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212,817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94"/>
              </w:rPr>
              <w:t>Dividends Common ($0.075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(1,341)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(1,341)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Noncontrolling interest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adjustment</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Other comprehensive (loss)</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(419)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(418)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3"/>
                <w:szCs w:val="13"/>
                <w:color w:val="auto"/>
              </w:rPr>
              <w:t>income, net of tax</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April 30,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17,857,707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161,227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38,850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(8,806)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14,390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205,840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 (In thousands)</w:t>
      </w:r>
    </w:p>
    <w:p>
      <w:pPr>
        <w:spacing w:after="0" w:line="141"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Six Months Ended</w:t>
      </w:r>
    </w:p>
    <w:p>
      <w:pPr>
        <w:jc w:val="center"/>
        <w:ind w:left="8220"/>
        <w:spacing w:after="0"/>
        <w:rPr>
          <w:sz w:val="20"/>
          <w:szCs w:val="20"/>
          <w:color w:val="auto"/>
        </w:rPr>
      </w:pPr>
      <w:r>
        <w:rPr>
          <w:rFonts w:ascii="Arial" w:cs="Arial" w:eastAsia="Arial" w:hAnsi="Arial"/>
          <w:sz w:val="16"/>
          <w:szCs w:val="16"/>
          <w:b w:val="1"/>
          <w:bCs w:val="1"/>
          <w:color w:val="auto"/>
        </w:rPr>
        <w:t>April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(12,210)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4,998</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or loss on disposals of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1,187</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lease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Equity in (earnings) losses of investments,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(6,641)</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Loss on stock in Calavo Growers, Inc.</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6,299</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receivable and receivables/other from related parties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Cultural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3,001</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(4,620)</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Income taxes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and growers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(3,841)</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liabilities and payables to related parties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w:t>
            </w:r>
          </w:p>
        </w:tc>
      </w:tr>
      <w:tr>
        <w:trPr>
          <w:trHeight w:val="213"/>
        </w:trPr>
        <w:tc>
          <w:tcPr>
            <w:tcW w:w="8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Net proceeds from sales of property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proceeds from sale of stock in Calavo Growers, Inc.</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Loan to Limoneira Lewis Community Builders, LLC</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Collection on note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Equity investment contributions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(2,800)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mutual water companies and water rights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Insurance proceeds received</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71,275</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Repayments of 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(42,675)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(52,771)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 common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Dividends paid – preferred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15,362</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Net increase in cash</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648</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at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2"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Six Months Ended</w:t>
      </w:r>
    </w:p>
    <w:p>
      <w:pPr>
        <w:jc w:val="center"/>
        <w:ind w:left="8220"/>
        <w:spacing w:after="0"/>
        <w:rPr>
          <w:sz w:val="20"/>
          <w:szCs w:val="20"/>
          <w:color w:val="auto"/>
        </w:rPr>
      </w:pPr>
      <w:r>
        <w:rPr>
          <w:rFonts w:ascii="Arial" w:cs="Arial" w:eastAsia="Arial" w:hAnsi="Arial"/>
          <w:sz w:val="16"/>
          <w:szCs w:val="16"/>
          <w:b w:val="1"/>
          <w:bCs w:val="1"/>
          <w:color w:val="auto"/>
        </w:rPr>
        <w:t>April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paid during the period for interest, net of amounts capitalized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981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(received) paid during the period for income taxes, net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accrued but not paid at period-end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r>
      <w:tr>
        <w:trPr>
          <w:trHeight w:val="210"/>
        </w:trPr>
        <w:tc>
          <w:tcPr>
            <w:tcW w:w="8240" w:type="dxa"/>
            <w:vAlign w:val="bottom"/>
          </w:tcPr>
          <w:p>
            <w:pPr>
              <w:ind w:left="220"/>
              <w:spacing w:after="0"/>
              <w:rPr>
                <w:sz w:val="20"/>
                <w:szCs w:val="20"/>
                <w:color w:val="auto"/>
              </w:rPr>
            </w:pPr>
            <w:r>
              <w:rPr>
                <w:rFonts w:ascii="Arial" w:cs="Arial" w:eastAsia="Arial" w:hAnsi="Arial"/>
                <w:sz w:val="16"/>
                <w:szCs w:val="16"/>
                <w:color w:val="auto"/>
              </w:rPr>
              <w:t>Accrued contribution obligation of investment in water company</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450</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40" w:firstLine="8"/>
        <w:spacing w:after="0" w:line="377"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Business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Limoneira Company (together with its consolidated subsidiaries,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markets and sells lemons directly to food service, wholesale and retail customers throughout the United States, Canada, Asia, Europe and other international markets. The Company is a member of Sunkist Growers, Inc. (“Sunkist”), an agricultural marketing cooperative, and sells its oranges, specialty citrus and other crops to Sunkist-licensed and other third-party packinghouses.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sells the majority of its avocado production to Calavo Growers, Inc. (“Calavo”), a packing and marketing company listed on the NASDAQ Global Select Market under the symbol CVGW. Calavo’s customers include many of the largest retail and food service companies in the United States and Canada. Calavo packs the Company’s avocados, which are then sold and distributed under Calavo brands to its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interim consolidated financial statements include the accounts of the Company and the accounts of all the subsidiaries and investments in which the Company holds a controlling interest. Intercompany accounts and transactions have been eliminated.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accounting principles generally accepted in the United States (“GAAP”) requires management to make estimates and assumptions that affect the amounts reported. Actual results could differ materially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189" w:lineRule="exact"/>
        <w:rPr>
          <w:sz w:val="20"/>
          <w:szCs w:val="20"/>
          <w:color w:val="auto"/>
        </w:rPr>
      </w:pPr>
    </w:p>
    <w:p>
      <w:pPr>
        <w:ind w:right="7680" w:firstLine="8"/>
        <w:spacing w:after="0" w:line="485"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Comprehensive Income (Loss)</w:t>
      </w:r>
    </w:p>
    <w:p>
      <w:pPr>
        <w:spacing w:after="0" w:line="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income (loss) represents all changes in a company’s net assets, except changes resulting from transactions with stockholders. Other comprehensive income or loss primarily includes foreign currency translation items and defined benefit pension items. Accumulated other comprehensive income (loss) is reported as a component of the Company's stockholders'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summarizes the changes in other comprehensive income (loss) by component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9"/>
          </w:tcPr>
          <w:p>
            <w:pPr>
              <w:ind w:left="600"/>
              <w:spacing w:after="0"/>
              <w:rPr>
                <w:sz w:val="20"/>
                <w:szCs w:val="20"/>
                <w:color w:val="auto"/>
              </w:rPr>
            </w:pPr>
            <w:r>
              <w:rPr>
                <w:rFonts w:ascii="Arial" w:cs="Arial" w:eastAsia="Arial" w:hAnsi="Arial"/>
                <w:sz w:val="16"/>
                <w:szCs w:val="16"/>
                <w:b w:val="1"/>
                <w:bCs w:val="1"/>
                <w:color w:val="auto"/>
                <w:w w:val="98"/>
              </w:rPr>
              <w:t>Three Months Ended April 30,</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Pre-tax</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Tax Expense</w:t>
            </w: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8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Pre-tax</w:t>
            </w: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Tax Expense</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gridSpan w:val="3"/>
            <w:vMerge w:val="continue"/>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gridSpan w:val="3"/>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center"/>
              <w:ind w:left="345"/>
              <w:spacing w:after="0"/>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center"/>
              <w:ind w:left="288"/>
              <w:spacing w:after="0"/>
              <w:rPr>
                <w:sz w:val="20"/>
                <w:szCs w:val="20"/>
                <w:color w:val="auto"/>
              </w:rPr>
            </w:pPr>
            <w:r>
              <w:rPr>
                <w:rFonts w:ascii="Arial" w:cs="Arial" w:eastAsia="Arial" w:hAnsi="Arial"/>
                <w:sz w:val="14"/>
                <w:szCs w:val="14"/>
                <w:color w:val="auto"/>
                <w:w w:val="91"/>
              </w:rPr>
              <w:t>(619)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center"/>
              <w:ind w:left="326"/>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Minimum pension liability adjustments: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gain before reclassifications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325"/>
              <w:spacing w:after="0"/>
              <w:rPr>
                <w:sz w:val="20"/>
                <w:szCs w:val="20"/>
                <w:color w:val="auto"/>
              </w:rPr>
            </w:pPr>
            <w:r>
              <w:rPr>
                <w:rFonts w:ascii="Arial" w:cs="Arial" w:eastAsia="Arial" w:hAnsi="Arial"/>
                <w:sz w:val="14"/>
                <w:szCs w:val="14"/>
                <w:color w:val="auto"/>
                <w:w w:val="96"/>
              </w:rPr>
              <w:t>(50)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85"/>
              </w:rPr>
              <w:t>110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286"/>
              <w:spacing w:after="0"/>
              <w:rPr>
                <w:sz w:val="20"/>
                <w:szCs w:val="20"/>
                <w:color w:val="auto"/>
              </w:rPr>
            </w:pPr>
            <w:r>
              <w:rPr>
                <w:rFonts w:ascii="Arial" w:cs="Arial" w:eastAsia="Arial" w:hAnsi="Arial"/>
                <w:sz w:val="14"/>
                <w:szCs w:val="14"/>
                <w:color w:val="auto"/>
                <w:w w:val="96"/>
              </w:rPr>
              <w:t>(50)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Available-for-sale securities: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Amounts reclassified to earnings included in "Selling, general and administrative"</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left="245"/>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85"/>
              </w:rPr>
              <w:t>140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left="246"/>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761</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center"/>
              <w:ind w:left="325"/>
              <w:spacing w:after="0"/>
              <w:rPr>
                <w:sz w:val="20"/>
                <w:szCs w:val="20"/>
                <w:color w:val="auto"/>
              </w:rPr>
            </w:pPr>
            <w:r>
              <w:rPr>
                <w:rFonts w:ascii="Arial" w:cs="Arial" w:eastAsia="Arial" w:hAnsi="Arial"/>
                <w:sz w:val="14"/>
                <w:szCs w:val="14"/>
                <w:color w:val="auto"/>
                <w:w w:val="96"/>
              </w:rPr>
              <w:t>(50)</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center"/>
              <w:ind w:left="288"/>
              <w:spacing w:after="0"/>
              <w:rPr>
                <w:sz w:val="20"/>
                <w:szCs w:val="20"/>
                <w:color w:val="auto"/>
              </w:rPr>
            </w:pPr>
            <w:r>
              <w:rPr>
                <w:rFonts w:ascii="Arial" w:cs="Arial" w:eastAsia="Arial" w:hAnsi="Arial"/>
                <w:sz w:val="14"/>
                <w:szCs w:val="14"/>
                <w:color w:val="auto"/>
                <w:w w:val="91"/>
              </w:rPr>
              <w:t>(369)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center"/>
              <w:ind w:left="286"/>
              <w:spacing w:after="0"/>
              <w:rPr>
                <w:sz w:val="20"/>
                <w:szCs w:val="20"/>
                <w:color w:val="auto"/>
              </w:rPr>
            </w:pPr>
            <w:r>
              <w:rPr>
                <w:rFonts w:ascii="Arial" w:cs="Arial" w:eastAsia="Arial" w:hAnsi="Arial"/>
                <w:sz w:val="14"/>
                <w:szCs w:val="14"/>
                <w:color w:val="auto"/>
                <w:w w:val="96"/>
              </w:rPr>
              <w:t>(50)</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4"/>
              </w:rPr>
              <w:t>Six Months Ended April 30,</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Pre-tax</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Tax Expense</w:t>
            </w:r>
          </w:p>
        </w:tc>
        <w:tc>
          <w:tcPr>
            <w:tcW w:w="100" w:type="dxa"/>
            <w:vAlign w:val="bottom"/>
          </w:tcPr>
          <w:p>
            <w:pPr>
              <w:spacing w:after="0"/>
              <w:rPr>
                <w:sz w:val="11"/>
                <w:szCs w:val="11"/>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8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6"/>
              </w:rPr>
              <w:t>Pre-tax</w:t>
            </w: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Tax Expense</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gridSpan w:val="3"/>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1,372</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Minimum pension liability adjustments: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gain before reclassifications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Available-for-sale securities: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Amounts reclassified to earnings included in "Selling, general and administrative"</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1,740</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(loss) income by component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Defined Benefit</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Available-for-Sale</w:t>
            </w:r>
          </w:p>
        </w:tc>
        <w:tc>
          <w:tcPr>
            <w:tcW w:w="120" w:type="dxa"/>
            <w:vAlign w:val="bottom"/>
          </w:tcPr>
          <w:p>
            <w:pPr>
              <w:spacing w:after="0"/>
              <w:rPr>
                <w:sz w:val="14"/>
                <w:szCs w:val="14"/>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3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Translation (Loss)</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0"/>
              </w:rPr>
              <w:t>Comprehensive (Loss)</w:t>
            </w:r>
          </w:p>
        </w:tc>
        <w:tc>
          <w:tcPr>
            <w:tcW w:w="0" w:type="dxa"/>
            <w:vAlign w:val="bottom"/>
          </w:tcPr>
          <w:p>
            <w:pPr>
              <w:spacing w:after="0"/>
              <w:rPr>
                <w:sz w:val="1"/>
                <w:szCs w:val="1"/>
                <w:color w:val="auto"/>
              </w:rPr>
            </w:pPr>
          </w:p>
        </w:tc>
      </w:tr>
      <w:tr>
        <w:trPr>
          <w:trHeight w:val="188"/>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Pension Plan</w:t>
            </w:r>
          </w:p>
        </w:tc>
        <w:tc>
          <w:tcPr>
            <w:tcW w:w="2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8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October 31, 2020</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w w:val="94"/>
              </w:rPr>
              <w:t>(3,069)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center"/>
              <w:ind w:left="988"/>
              <w:spacing w:after="0"/>
              <w:rPr>
                <w:sz w:val="20"/>
                <w:szCs w:val="20"/>
                <w:color w:val="auto"/>
              </w:rPr>
            </w:pPr>
            <w:r>
              <w:rPr>
                <w:rFonts w:ascii="Arial" w:cs="Arial" w:eastAsia="Arial" w:hAnsi="Arial"/>
                <w:sz w:val="14"/>
                <w:szCs w:val="14"/>
                <w:color w:val="auto"/>
                <w:w w:val="94"/>
              </w:rPr>
              <w:t>(7,548)</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240" w:type="dxa"/>
            <w:vAlign w:val="bottom"/>
          </w:tcPr>
          <w:p>
            <w:pPr>
              <w:spacing w:after="0"/>
              <w:rPr>
                <w:sz w:val="16"/>
                <w:szCs w:val="16"/>
                <w:color w:val="auto"/>
              </w:rPr>
            </w:pPr>
          </w:p>
        </w:tc>
        <w:tc>
          <w:tcPr>
            <w:tcW w:w="1020" w:type="dxa"/>
            <w:vAlign w:val="bottom"/>
          </w:tcPr>
          <w:p>
            <w:pPr>
              <w:jc w:val="center"/>
              <w:ind w:left="508"/>
              <w:spacing w:after="0"/>
              <w:rPr>
                <w:sz w:val="20"/>
                <w:szCs w:val="20"/>
                <w:color w:val="auto"/>
              </w:rPr>
            </w:pPr>
            <w:r>
              <w:rPr>
                <w:rFonts w:ascii="Arial" w:cs="Arial" w:eastAsia="Arial" w:hAnsi="Arial"/>
                <w:sz w:val="14"/>
                <w:szCs w:val="14"/>
                <w:color w:val="auto"/>
                <w:w w:val="91"/>
              </w:rPr>
              <w:t>1,372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20" w:type="dxa"/>
            <w:vAlign w:val="bottom"/>
          </w:tcPr>
          <w:p>
            <w:pPr>
              <w:jc w:val="center"/>
              <w:ind w:left="1008"/>
              <w:spacing w:after="0"/>
              <w:rPr>
                <w:sz w:val="20"/>
                <w:szCs w:val="20"/>
                <w:color w:val="auto"/>
              </w:rPr>
            </w:pPr>
            <w:r>
              <w:rPr>
                <w:rFonts w:ascii="Arial" w:cs="Arial" w:eastAsia="Arial" w:hAnsi="Arial"/>
                <w:sz w:val="14"/>
                <w:szCs w:val="14"/>
                <w:color w:val="auto"/>
                <w:w w:val="91"/>
              </w:rPr>
              <w:t>1,640</w:t>
            </w:r>
          </w:p>
        </w:tc>
        <w:tc>
          <w:tcPr>
            <w:tcW w:w="0" w:type="dxa"/>
            <w:vAlign w:val="bottom"/>
          </w:tcPr>
          <w:p>
            <w:pPr>
              <w:spacing w:after="0"/>
              <w:rPr>
                <w:sz w:val="1"/>
                <w:szCs w:val="1"/>
                <w:color w:val="auto"/>
              </w:rPr>
            </w:pPr>
          </w:p>
        </w:tc>
      </w:tr>
      <w:tr>
        <w:trPr>
          <w:trHeight w:val="211"/>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April 30, 2021</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w w:val="94"/>
              </w:rPr>
              <w:t>(1,697)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center"/>
              <w:ind w:left="988"/>
              <w:spacing w:after="0"/>
              <w:rPr>
                <w:sz w:val="20"/>
                <w:szCs w:val="20"/>
                <w:color w:val="auto"/>
              </w:rPr>
            </w:pPr>
            <w:r>
              <w:rPr>
                <w:rFonts w:ascii="Arial" w:cs="Arial" w:eastAsia="Arial" w:hAnsi="Arial"/>
                <w:sz w:val="14"/>
                <w:szCs w:val="14"/>
                <w:color w:val="auto"/>
                <w:w w:val="94"/>
              </w:rPr>
              <w:t>(5,908)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Defined Benefit</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Available-for-Sale</w:t>
            </w:r>
          </w:p>
        </w:tc>
        <w:tc>
          <w:tcPr>
            <w:tcW w:w="140" w:type="dxa"/>
            <w:vAlign w:val="bottom"/>
          </w:tcPr>
          <w:p>
            <w:pPr>
              <w:spacing w:after="0"/>
              <w:rPr>
                <w:sz w:val="14"/>
                <w:szCs w:val="14"/>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b w:val="1"/>
                <w:bCs w:val="1"/>
                <w:color w:val="auto"/>
                <w:w w:val="99"/>
              </w:rPr>
              <w:t>Accumulated Other</w:t>
            </w:r>
          </w:p>
        </w:tc>
      </w:tr>
      <w:tr>
        <w:trPr>
          <w:trHeight w:val="188"/>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Translation Loss</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Pension Plan</w:t>
            </w:r>
          </w:p>
        </w:tc>
        <w:tc>
          <w:tcPr>
            <w:tcW w:w="2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b w:val="1"/>
                <w:bCs w:val="1"/>
                <w:color w:val="auto"/>
                <w:w w:val="91"/>
              </w:rPr>
              <w:t>Comprehensive Loss</w:t>
            </w:r>
          </w:p>
        </w:tc>
      </w:tr>
      <w:tr>
        <w:trPr>
          <w:trHeight w:val="18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October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(7,255)</w:t>
            </w:r>
          </w:p>
        </w:tc>
      </w:tr>
      <w:tr>
        <w:trPr>
          <w:trHeight w:val="186"/>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(loss) income</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(1,551)</w:t>
            </w:r>
          </w:p>
        </w:tc>
      </w:tr>
      <w:tr>
        <w:trPr>
          <w:trHeight w:val="211"/>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April 30,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FASB ASU 2016-13, Financial Instruments - Credit Losses (Topic 326): Measurement of Credit Losses on Financial Instruments, and related ASUs</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ASU 2016-13 is effective for SEC filers for fiscal years, and interim periods within those fiscal years, beginning after December 15, 2019. The Company adopted this ASU effective November 1, 2020 and the adoption did not have a material impact on its consolidated financial statements.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2020-06, Debt—Debt with Conversion and Other Options (Subtopic 470-20) and Derivatives and Hedging—Contracts in Entity’s Own Equity (Subtopic 815-40): Accounting for Convertible Instruments and Contracts in an Entity’s Own Equity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amendment simplifies accounting for convertible instruments by removing major separation models currently required under GAAP. Consequently,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earnings per share (EPS) calculation in certain areas.</w:t>
      </w:r>
    </w:p>
    <w:p>
      <w:pPr>
        <w:spacing w:after="0" w:line="20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ASU 2020-06 is effective for public business entities that meet the definition of a SEC filer for fiscal years beginning after December 15, 2021, including interim periods within those fiscal years. Early adoption is permitted for fiscal years beginning after December 15, 2020. The Company is evaluating the effect this ASU may have on its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Concentrations and Geographic Information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Lemons procured from third-party growers were 50% and 60% of the Company's lemon supply in the three months ended April 30, 2021 and 2020, respectively. Lemons procured from third-party growers were 49% and 58% of the Company's lemon supply in the six months ended April 30, 2021 and 2020, respectively, of which one third-party grower was 19% of the lemon supply for the six months ended April 30, 2021.</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the majority of its avocado production to Calavo. The Company sells a majority of its oranges and specialty citrus to a third-party packinghouse.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Concentrations of credit risk with respect to revenues and account receivables are limited due to a large, diverse customer base. One individual customer represented 11% of revenues for the six months ended April 30, 2021. One individual customer represented more than 10% of accounts receivable, net as of April 30, 2021.</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three months ended April 30, 2021 and 2020, the Company had approximately $950,000 and $921,000, respectively, of total sales in Chile by Fruticola Pan de Azucar S.A. ("PDA") and Agricola San Pablo SpA ("San Pablo"). During the three months ended April 30, 2021 and 2020, the Company had approximately $884,000 and $2,280,000, respectively, of total sales in Argentina by Trapani Fresh. During the six months ended April 30, 2021 and 2020, the Company had approximately $1,977,000 and $1,460,000, respectively, of total sales in Chile by PDA and San Pablo. During the six months ended April 30, 2021 and 2020, the Company had approximately $2,555,000 and $2,479,000, respectively, of total sales in Argentina by Trapani Fresh.</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Aggregate foreign exchange transaction losses realized for our foreign subsidiaries was approximately $551,000 for the six months ended April 30, 2021 and are included in selling, general and administrative expenses in the consolidated statements of operations. Foreign exchange transaction gains/losses were immaterial for the six months ended April 30,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0" w:type="dxa"/>
            <w:vAlign w:val="bottom"/>
          </w:tcPr>
          <w:p>
            <w:pPr>
              <w:spacing w:after="0"/>
              <w:rPr>
                <w:sz w:val="24"/>
                <w:szCs w:val="24"/>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April 30, 2021</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29"/>
        </w:trPr>
        <w:tc>
          <w:tcPr>
            <w:tcW w:w="860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supplies and insurance</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Note receivable and related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development held for sale</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Sales tax receivable</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 supplier advances and other</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10,688</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Real Estate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Real estate development assets are comprised primarily of land and land development costs and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8"/>
                <w:szCs w:val="18"/>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April 30, 2021</w:t>
            </w:r>
          </w:p>
        </w:tc>
        <w:tc>
          <w:tcPr>
            <w:tcW w:w="1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Property - East Area I</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13,169</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East Area II</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8,467</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21,636</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Real Estate Development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fiscal year 2005, the Company began capitalizing the costs of two real estate development projects east of Santa Paula, California, for the development of 550 acres of land into residential units, commercial buildings and civic facilities. On November 10,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or “Joint Venture”) as the development entity, contributed its East Area I property to LLCB and sold a 50% interest in LLCB to Lewis for $20,000,000.</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and the Joint Venture also entered into a Retained Property Development Agreement on the Transaction Date (the "Retained Property Agreement"). Under the terms of the Retained Property Agreement, the Joint Venture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Retained Property and East Area II includes estimated costs incurred by and reimbursable to LLCB of $5,450,000 and $5,300,000 at April 30, 2021 and October 31, 2020, respectively, which is included in payables to related parties.</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January 2018, the Joint Venture entered into a $45,000,000 unsecured Line of Credit Loan Agreement and Promissory Note (the “Loan”) with Bank of America, N.A. to fund early development activities. The Loan originally was scheduled to mature in January 2020 and was extended to February 22, 2021. In February 2021, this loan was extended to February 22, 2023 with an option to extend to February 22, 2024, subject to certain conditions. The interest rate on the Loan is LIBOR plus 2.85% and is payable monthly. The Loan contains certain customary default provisions and the Joint Venture may prepay any amounts outstanding under the Loan without penalty. The Joint Venture had an outstanding balance of $11,411,000 as of April 30, 2021.</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2018, certain principals from Lewis and by the Company guaranteed the obligations under the Loan. The guarantee shall continue in effect until all of the Loan obligations are fully paid and the guarantors are jointly and severally liable for all Loan obligations in the event of default by the Joint Venture. The $1,080,000 estimated value of the guarantee was recorded in the Company’s consolidated balance sheets and is included in other long-term liabilities with a corresponding value in equity in investments. The extension had no impact on the Company's Loan guarantee value. Additionally, a Reimbursement Agreement was executed between the Lewis guarantors and the Company, which provides for unpaid liabilities of the Joint Venture to be shared pro-rata by the Lewis guarantors and the Company in proportion to their percentage interest in the Joint Venture.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contributions to the Joint Venture of zero and $2,800,000 in the six months ended April 30, 2021 and 2020,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Through April 30, 2021, the Joint Venture has closed the sales of the initial residential lots representing 464 residential units.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Real Estate Development Projects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remaining real estate development parcel within the Templeton Santa Barbara, LLC project is described as Sevilla. In the first quarter of fiscal year 2020, the Company entered into an agreement to sell its Sevilla property for $2,700,000, which is expected to close in fiscal year 2021. After transaction and other costs, the Company expects to receive cash proceeds of approximately $2,550,000 and recognize an immaterial gain upon closing. At April 30, 2021, the $2,543,000 carrying value of the property was classified as held for sale and included in prepaid expenses and other current assets.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December 2017, the Company sold its Centennial property with a net book value of $2,983,000 for $3,250,000. The Company received cash and a $3,000,000 promissory note secured by the property for the balance of the purchase. The promissory note was originally scheduled to mature in December 2019 but was extended to December 15, 2020 and the interest rate was reset to equal to the 6-month LIBOR plus 2.75% on the outstanding principal balance of the note, interest only paid monthly on the first day of each month beginning January 1, 2020. In September 2020, the promissory note was further extended to June 15, 2021 on the same terms and conditions upon making a principal paydown of $25,000, which was paid in November 2020, with an option to further extend the maturity date of the promissory note to December 15, 2021 on the same terms and conditions and upon making an additional principal paydown of $25,000. The option was exercised and the extension payment was paid in May 2021. At April 30, 2021, the net carrying value of the note was $2,625,000 and classified in prepaid expenses and other current assets.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Arial" w:cs="Arial" w:eastAsia="Arial" w:hAnsi="Arial"/>
                <w:sz w:val="18"/>
                <w:szCs w:val="18"/>
                <w:b w:val="1"/>
                <w:bCs w:val="1"/>
                <w:color w:val="auto"/>
              </w:rPr>
              <w:t>6. Equity in Investments</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60" w:type="dxa"/>
            <w:vAlign w:val="bottom"/>
          </w:tcPr>
          <w:p>
            <w:pPr>
              <w:spacing w:after="0"/>
              <w:rPr>
                <w:sz w:val="20"/>
                <w:szCs w:val="20"/>
                <w:color w:val="auto"/>
              </w:rPr>
            </w:pPr>
            <w:r>
              <w:rPr>
                <w:rFonts w:ascii="Arial" w:cs="Arial" w:eastAsia="Arial" w:hAnsi="Arial"/>
                <w:sz w:val="18"/>
                <w:szCs w:val="18"/>
                <w:color w:val="auto"/>
              </w:rPr>
              <w:t>Equity in investments consist of the following (in thousands):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60" w:type="dxa"/>
            <w:vAlign w:val="bottom"/>
          </w:tcPr>
          <w:p>
            <w:pPr>
              <w:spacing w:after="0"/>
              <w:rPr>
                <w:sz w:val="24"/>
                <w:szCs w:val="24"/>
                <w:color w:val="auto"/>
              </w:rPr>
            </w:pPr>
          </w:p>
        </w:tc>
        <w:tc>
          <w:tcPr>
            <w:tcW w:w="142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April 30, 2021</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Limoneira Lewis Community Builders, LLC</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57,142</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Limco Del Mar, Ltd.</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Rosales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Romney Property Partnership</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Significant Subsidiary</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periods for the six months ended April 30, 2021 and 2020, this threshold was met for the Company's equity investment in LLCB.</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unaudited summarized financial information for LLCB (in thousands):</w:t>
      </w:r>
    </w:p>
    <w:p>
      <w:pPr>
        <w:spacing w:after="0" w:line="372" w:lineRule="exact"/>
        <w:rPr>
          <w:sz w:val="20"/>
          <w:szCs w:val="20"/>
          <w:color w:val="auto"/>
        </w:rPr>
      </w:pPr>
    </w:p>
    <w:p>
      <w:pPr>
        <w:jc w:val="center"/>
        <w:ind w:left="8340"/>
        <w:spacing w:after="0"/>
        <w:rPr>
          <w:sz w:val="20"/>
          <w:szCs w:val="20"/>
          <w:color w:val="auto"/>
        </w:rPr>
      </w:pPr>
      <w:r>
        <w:rPr>
          <w:rFonts w:ascii="Arial" w:cs="Arial" w:eastAsia="Arial" w:hAnsi="Arial"/>
          <w:sz w:val="18"/>
          <w:szCs w:val="18"/>
          <w:b w:val="1"/>
          <w:bCs w:val="1"/>
          <w:color w:val="auto"/>
        </w:rPr>
        <w:t>Six Months Ended</w:t>
      </w:r>
    </w:p>
    <w:p>
      <w:pPr>
        <w:jc w:val="center"/>
        <w:ind w:left="8340"/>
        <w:spacing w:after="0"/>
        <w:rPr>
          <w:sz w:val="20"/>
          <w:szCs w:val="20"/>
          <w:color w:val="auto"/>
        </w:rPr>
      </w:pPr>
      <w:r>
        <w:rPr>
          <w:rFonts w:ascii="Arial" w:cs="Arial" w:eastAsia="Arial" w:hAnsi="Arial"/>
          <w:sz w:val="18"/>
          <w:szCs w:val="18"/>
          <w:b w:val="1"/>
          <w:bCs w:val="1"/>
          <w:color w:val="auto"/>
        </w:rPr>
        <w:t>April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Cost of land sold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Limoneira Company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360" w:type="dxa"/>
            <w:vAlign w:val="bottom"/>
          </w:tcPr>
          <w:p>
            <w:pPr>
              <w:spacing w:after="0"/>
              <w:rPr>
                <w:sz w:val="20"/>
                <w:szCs w:val="20"/>
                <w:color w:val="auto"/>
              </w:rPr>
            </w:pPr>
            <w:r>
              <w:rPr>
                <w:rFonts w:ascii="Arial" w:cs="Arial" w:eastAsia="Arial" w:hAnsi="Arial"/>
                <w:sz w:val="18"/>
                <w:szCs w:val="18"/>
                <w:color w:val="auto"/>
              </w:rPr>
              <w:t>A summary of the change in the carrying amount of goodwill is as follows (in thousands):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2"/>
              </w:rPr>
              <w:t>Goodwill</w:t>
            </w:r>
          </w:p>
        </w:tc>
        <w:tc>
          <w:tcPr>
            <w:tcW w:w="0" w:type="dxa"/>
            <w:vAlign w:val="bottom"/>
          </w:tcPr>
          <w:p>
            <w:pPr>
              <w:spacing w:after="0"/>
              <w:rPr>
                <w:sz w:val="1"/>
                <w:szCs w:val="1"/>
                <w:color w:val="auto"/>
              </w:rPr>
            </w:pPr>
          </w:p>
        </w:tc>
      </w:tr>
      <w:tr>
        <w:trPr>
          <w:trHeight w:val="175"/>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October 31, 2020</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30, 2021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Goodwill is tested for impairment on an annual basis or when an event or changes in circumstances indicate that its carrying value may not be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impairment charges recorded against goodwill as of April 30,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April 30, 2021, the Company acquired additional water rights in Chile for $186,000.</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April 30, 2021 and October 31, 2020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b w:val="1"/>
                <w:bCs w:val="1"/>
                <w:color w:val="auto"/>
              </w:rPr>
              <w:t>April 30, 2021</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October 31, 2020</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Useful Life</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Years</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r>
        <w:trPr>
          <w:trHeight w:val="467"/>
        </w:trPr>
        <w:tc>
          <w:tcPr>
            <w:tcW w:w="3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9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9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3,756</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4,021</w:t>
            </w:r>
          </w:p>
        </w:tc>
        <w:tc>
          <w:tcPr>
            <w:tcW w:w="9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9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9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Acquired water and mineral rights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19"/>
                <w:szCs w:val="19"/>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Indefinite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Indefinite</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totaled $263,000 and $205,000 for the three months ended April 30, 2021 and 2020, respectively. Amortization expense totaled $526,000 and $490,000 for the six months ended April 30, 2021 and 2020,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Estimated future amortization expense of intangible assets as of April 30, 2021 are as follows (in thousands):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0"/>
        </w:trPr>
        <w:tc>
          <w:tcPr>
            <w:tcW w:w="9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(excluding the six months ended April 30, 2021)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r>
      <w:tr>
        <w:trPr>
          <w:trHeight w:val="248"/>
        </w:trPr>
        <w:tc>
          <w:tcPr>
            <w:tcW w:w="9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Mutual Water Companies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investments in various not-for-profit mutual water companies provide the Company with the right to receive a proportionate share of water from each of the not-for-profit mutual water companies that have been invested in and do not constitute voting shares and/or rights. Amounts included in other assets in the consolidated balance sheets as of April 30, 2021 and October 31, 2020 were $6,024,000 and $5,563,000,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9. Accrued Liabilities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0" w:type="dxa"/>
            <w:vAlign w:val="bottom"/>
          </w:tcPr>
          <w:p>
            <w:pPr>
              <w:spacing w:after="0"/>
              <w:rPr>
                <w:sz w:val="24"/>
                <w:szCs w:val="24"/>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April 30, 2021</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29"/>
        </w:trPr>
        <w:tc>
          <w:tcPr>
            <w:tcW w:w="860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 and orange supplier payables</w:t>
            </w: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Arial" w:cs="Arial" w:eastAsia="Arial" w:hAnsi="Arial"/>
                <w:sz w:val="18"/>
                <w:szCs w:val="18"/>
                <w:b w:val="1"/>
                <w:bCs w:val="1"/>
                <w:color w:val="auto"/>
              </w:rPr>
              <w:t>10. Long-Term Debt</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Long-term debt is comprised of the following (in thousands):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20" w:type="dxa"/>
            <w:vAlign w:val="bottom"/>
          </w:tcPr>
          <w:p>
            <w:pPr>
              <w:spacing w:after="0"/>
              <w:rPr>
                <w:sz w:val="24"/>
                <w:szCs w:val="24"/>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April 30, 2021</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29"/>
        </w:trPr>
        <w:tc>
          <w:tcPr>
            <w:tcW w:w="862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56"/>
        </w:trPr>
        <w:tc>
          <w:tcPr>
            <w:tcW w:w="8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9"/>
              </w:rPr>
              <w:t>Farm Credit West revolving and non-revolving lines of credit: the interest rate of the revolving line of credit is</w:t>
            </w:r>
          </w:p>
        </w:tc>
        <w:tc>
          <w:tcPr>
            <w:tcW w:w="3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variable based on the one-month London Interbank Offered Rate (“LIBOR”), which was 0.11% at April 30, 2021,</w:t>
            </w: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plus 1.60%. The interest rate for the $40.0 million outstanding balance of the non-revolving line of credit was fixed</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109,484</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102,251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4.77%. Interest is payable monthly and the principal is due in full on July 1, 2022.</w:t>
            </w:r>
          </w:p>
        </w:tc>
        <w:tc>
          <w:tcPr>
            <w:tcW w:w="3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20" w:type="dxa"/>
            <w:vAlign w:val="bottom"/>
          </w:tcPr>
          <w:p>
            <w:pPr>
              <w:ind w:left="20"/>
              <w:spacing w:after="0" w:line="176" w:lineRule="exact"/>
              <w:rPr>
                <w:sz w:val="20"/>
                <w:szCs w:val="20"/>
                <w:color w:val="auto"/>
              </w:rPr>
            </w:pPr>
            <w:r>
              <w:rPr>
                <w:rFonts w:ascii="Arial" w:cs="Arial" w:eastAsia="Arial" w:hAnsi="Arial"/>
                <w:sz w:val="18"/>
                <w:szCs w:val="18"/>
                <w:color w:val="auto"/>
                <w:w w:val="97"/>
              </w:rPr>
              <w:t>Farm Credit West term loan: Effective July 1, 2020, the interest rate was fixed at 2.48%. The loan is payable in</w:t>
            </w: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quarterly installments through November 2022.</w:t>
            </w: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Farm Credit West term loan: Effective July 1, 2020, the interest rate was fixed at 3.24%. The loan is payable in</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 installments through October 2035.</w:t>
            </w: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20" w:type="dxa"/>
            <w:vAlign w:val="bottom"/>
          </w:tcPr>
          <w:p>
            <w:pPr>
              <w:ind w:left="20"/>
              <w:spacing w:after="0" w:line="176" w:lineRule="exact"/>
              <w:rPr>
                <w:sz w:val="20"/>
                <w:szCs w:val="20"/>
                <w:color w:val="auto"/>
              </w:rPr>
            </w:pPr>
            <w:r>
              <w:rPr>
                <w:rFonts w:ascii="Arial" w:cs="Arial" w:eastAsia="Arial" w:hAnsi="Arial"/>
                <w:sz w:val="18"/>
                <w:szCs w:val="18"/>
                <w:color w:val="auto"/>
                <w:w w:val="97"/>
              </w:rPr>
              <w:t>Farm Credit West term loan: Effective July 1, 2020, the interest rate was fixed at 3.24%. The loan is payable in</w:t>
            </w: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8,220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monthly installments through March 2036.</w:t>
            </w: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Farm Credit West term loan: Effective July 1, 2020 the interest rate was fixed at 2.77% until July 1, 2025, becoming</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for the remainder of the loan. The loan is payable in monthly installments through March 2036.</w:t>
            </w: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tcPr>
          <w:p>
            <w:pPr>
              <w:ind w:left="20"/>
              <w:spacing w:after="0" w:line="176" w:lineRule="exact"/>
              <w:rPr>
                <w:sz w:val="20"/>
                <w:szCs w:val="20"/>
                <w:color w:val="auto"/>
              </w:rPr>
            </w:pPr>
            <w:r>
              <w:rPr>
                <w:rFonts w:ascii="Arial" w:cs="Arial" w:eastAsia="Arial" w:hAnsi="Arial"/>
                <w:sz w:val="18"/>
                <w:szCs w:val="18"/>
                <w:color w:val="auto"/>
                <w:w w:val="98"/>
              </w:rPr>
              <w:t>Wells Fargo term loan: the interest rate is fixed at 3.58%. The loan is payable in monthly installments through</w:t>
            </w: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January 2023.</w:t>
            </w: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Banco de Chile term loan: the interest rate is fixed at 6.48%. The loan is payable in annual installments through</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2025.</w:t>
            </w: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tcPr>
          <w:p>
            <w:pPr>
              <w:ind w:left="20"/>
              <w:spacing w:after="0" w:line="176" w:lineRule="exact"/>
              <w:rPr>
                <w:sz w:val="20"/>
                <w:szCs w:val="20"/>
                <w:color w:val="auto"/>
              </w:rPr>
            </w:pPr>
            <w:r>
              <w:rPr>
                <w:rFonts w:ascii="Arial" w:cs="Arial" w:eastAsia="Arial" w:hAnsi="Arial"/>
                <w:sz w:val="18"/>
                <w:szCs w:val="18"/>
                <w:color w:val="auto"/>
                <w:w w:val="96"/>
              </w:rPr>
              <w:t>Note Payable: the interest rate ranges from 5.00% to 7.00% and was 6.50% at April 30, 2021. The loan includes</w:t>
            </w:r>
          </w:p>
        </w:tc>
        <w:tc>
          <w:tcPr>
            <w:tcW w:w="3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interest only monthly payments and principal is due in February 2023.</w:t>
            </w: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Banco de Chile COVID-19 loans: The interest rates are fixed at 3.48% and 2.90%. The loans are payable in monthly</w:t>
            </w:r>
          </w:p>
        </w:tc>
        <w:tc>
          <w:tcPr>
            <w:tcW w:w="3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installments beginning February 2021 through September 2024.</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7"/>
                <w:szCs w:val="17"/>
                <w:color w:val="auto"/>
              </w:rPr>
              <w:t>Subtotal</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131,680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126,024</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deferred financing costs, net of accumulated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7"/>
                <w:szCs w:val="17"/>
                <w:color w:val="auto"/>
              </w:rPr>
              <w:t>Total long-term debt, net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131,526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125,848</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7"/>
                <w:szCs w:val="17"/>
                <w:color w:val="auto"/>
              </w:rPr>
              <w:t>Long-term debt, less current portion</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128,190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122,571</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and Farm Credit West, FLCA (“Farm Credit West”) are parties to that certain Master Loan Agreement (the “Loan Agreement”), dated June 20, 2017, which includes a Revolving Credit Supplement and a Non-Revolving Credit Supplement (together, the “Supplements”).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2020, the Company and Farm Credit West entered into a Conversion Agreement to convert the term loans noted above to fixed interest rate loans effective July 1, 2020. No changes were made to the outstanding principal balances on the term loans and the Company made no cash repayments of principal. The rates were subject to a prepayment restriction period for a portion of the fixed rate term that expired on January 1, 2021. The Company may prepay any amounts without penalty.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entered into a revolving equity line of credit promissory note and loan agreement with Farm Credit West for a $15,000,000 Revolving Equity Line of Credit (the "RELOC") secured by a first lien on the Windfall Investors, LLC property. The RELOC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Supplements and RELOC provide aggregate borrowing capacity of $130,000,000 comprised of $75,000,000 under the Revolving Credit Supplement, $40,000,000 under the Non-Revolving Credit Supplement and $15,000,000 under the RELOC. The borrowing capacity based on collateral value was $130,000,000 at April 30, 2021, of which $20,516,000 was available to borrow.</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indebtedness under the Loan Agreement and RELOC with Farm Credit West, including any indebtedness under the Supplements, is secured by a first lien on certain of its agricultural properties in Tulare, Ventura and San Luis Obispo counties in California and certain of the Company's building fixtures and improvements and investments in mutual water companies associated with the pledged agricultural properties. The Loan Agreement includes customary default provisions that provide should an event of default occur, Farm Credit West, at its option, may declare all or any portion of the indebtedness under the Loan Agreement to be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immediately due and payable without demand, notice of non-payment, protest or prior recourse to collateral, and terminate or suspend the Company's right to draw or request funds on any loan or line of credit.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2020, Farm Credit West declared an annual cash patronage dividend of 1.50% of average eligible loan balances. The Company received $1,170,000 in February 2021.</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Loan Agreement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covenant that it will maintain a debt service coverage ratio greater than 1.25:1.0 measured annually at October 31. In August 2020, Farm Credit West modified the covenant to defer measurement at October 31, 2020 and revert to a debt service coverage ratio of 1.25:1.0 measured as of October 31, 2021.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$308,000 and $355,000 during the three months ended April 30, 2021 and 2020, respectively, and $308,000 and $444,000 during the six months ended April 30, 2021 and 2020, respectively. Capitalized interest is included in property, plant and equipment and real estate development assets in the Company’s consolidated balance sheets.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 Arrangements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leasing transactions in which it rents certain of its assets and the Company is the lessor. These lease contracts are typically classified as operating leases with remaining terms ranging from one month to 22 years, with various renewal terms available. All of the residential rentals have month to month lease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rental operations revenue consists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3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900" w:type="dxa"/>
            <w:vAlign w:val="bottom"/>
            <w:tcBorders>
              <w:bottom w:val="single" w:sz="8" w:color="auto"/>
            </w:tcBorders>
          </w:tcPr>
          <w:p>
            <w:pPr>
              <w:spacing w:after="0"/>
              <w:rPr>
                <w:sz w:val="19"/>
                <w:szCs w:val="19"/>
                <w:color w:val="auto"/>
              </w:rPr>
            </w:pPr>
          </w:p>
        </w:tc>
      </w:tr>
      <w:tr>
        <w:trPr>
          <w:trHeight w:val="223"/>
        </w:trPr>
        <w:tc>
          <w:tcPr>
            <w:tcW w:w="5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revenue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Arrangements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enters into leasing transactions in which the Company is the lessee. These lease contracts are typically classified as operating leases. The Company’s lease contracts are generally for agricultural land and packinghouse equipment with remaining lease terms ranging from one to 17 years, with various term extensions available. The Company’s lease agreements do not contain any residual value guarantees or material restrictive covenants. Leases with an initial term of 12 months or less are not recorded on the balance sheet and the Company recognizes lease expense for these leases on a straight-line basis over the lease term. As of April 30, 2021, there were no material finance leases for which the Company was a lessee.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lease costs were $136,000 and $137,000 for the three months ended April 30, 2021 and 2020, respectively, and $278,000 and $274,000 for the six months ended April 30, 2021 and 2020, respectively, which are primarily included in agribusiness costs and expenses in the Company’s consolidated statements of operations. Variable and short term lease costs were immaterial.</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Arrangements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consists of the following (in thousands):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2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Classification</w:t>
            </w:r>
          </w:p>
        </w:tc>
        <w:tc>
          <w:tcPr>
            <w:tcW w:w="13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April 30, 2021</w:t>
            </w:r>
          </w:p>
        </w:tc>
        <w:tc>
          <w:tcPr>
            <w:tcW w:w="140" w:type="dxa"/>
            <w:vAlign w:val="bottom"/>
          </w:tcPr>
          <w:p>
            <w:pPr>
              <w:spacing w:after="0"/>
              <w:rPr>
                <w:sz w:val="17"/>
                <w:szCs w:val="17"/>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Operating lease ROU assets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70"/>
        </w:trPr>
        <w:tc>
          <w:tcPr>
            <w:tcW w:w="616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operating lease liabilities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operating lease liabilities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40" w:type="dxa"/>
            <w:vAlign w:val="bottom"/>
            <w:gridSpan w:val="2"/>
          </w:tcPr>
          <w:p>
            <w:pPr>
              <w:spacing w:after="0"/>
              <w:rPr>
                <w:sz w:val="20"/>
                <w:szCs w:val="20"/>
                <w:color w:val="auto"/>
              </w:rPr>
            </w:pPr>
            <w:r>
              <w:rPr>
                <w:rFonts w:ascii="Arial" w:cs="Arial" w:eastAsia="Arial" w:hAnsi="Arial"/>
                <w:sz w:val="18"/>
                <w:szCs w:val="18"/>
                <w:color w:val="auto"/>
              </w:rPr>
              <w:t>Accrued liabilities and</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9"/>
        </w:trPr>
        <w:tc>
          <w:tcPr>
            <w:tcW w:w="2840" w:type="dxa"/>
            <w:vAlign w:val="bottom"/>
            <w:gridSpan w:val="2"/>
          </w:tcPr>
          <w:p>
            <w:pPr>
              <w:spacing w:after="0"/>
              <w:rPr>
                <w:sz w:val="20"/>
                <w:szCs w:val="20"/>
                <w:color w:val="auto"/>
              </w:rPr>
            </w:pPr>
            <w:r>
              <w:rPr>
                <w:rFonts w:ascii="Arial" w:cs="Arial" w:eastAsia="Arial" w:hAnsi="Arial"/>
                <w:sz w:val="18"/>
                <w:szCs w:val="18"/>
                <w:color w:val="auto"/>
              </w:rPr>
              <w:t>payables to related parties</w:t>
            </w: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-591185</wp:posOffset>
            </wp:positionV>
            <wp:extent cx="7115175"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-187960</wp:posOffset>
            </wp:positionV>
            <wp:extent cx="71151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20"/>
            <w:col w:w="5040"/>
          </w:cols>
          <w:pgMar w:left="320" w:top="369" w:right="3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consists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900" w:type="dxa"/>
            <w:vAlign w:val="bottom"/>
            <w:tcBorders>
              <w:bottom w:val="single" w:sz="8" w:color="auto"/>
            </w:tcBorders>
          </w:tcPr>
          <w:p>
            <w:pPr>
              <w:spacing w:after="0"/>
              <w:rPr>
                <w:sz w:val="19"/>
                <w:szCs w:val="19"/>
                <w:color w:val="auto"/>
              </w:rPr>
            </w:pPr>
          </w:p>
        </w:tc>
      </w:tr>
      <w:tr>
        <w:trPr>
          <w:trHeight w:val="223"/>
        </w:trPr>
        <w:tc>
          <w:tcPr>
            <w:tcW w:w="5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0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0"/>
        </w:trPr>
        <w:tc>
          <w:tcPr>
            <w:tcW w:w="5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Basic and Diluted Net Income (Loss) per Share</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income (loss) per common share is calculated using the weighted-average number of common shares outstanding during the period without consideration of the dilutive effect of conversion of preferred stock. Diluted net income (loss) per common share is calculated using the weighted-average number of common shares outstanding during the period plus the dilutive effect of conversion of unvested, restricted stock and preferred stock. The computations for basic and diluted net income (loss) per common share are as follows (in thousands,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7"/>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5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April 30,</w:t>
            </w:r>
          </w:p>
        </w:tc>
        <w:tc>
          <w:tcPr>
            <w:tcW w:w="10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April 30,</w:t>
            </w:r>
          </w:p>
        </w:tc>
        <w:tc>
          <w:tcPr>
            <w:tcW w:w="1060" w:type="dxa"/>
            <w:vAlign w:val="bottom"/>
            <w:tcBorders>
              <w:bottom w:val="single" w:sz="8" w:color="auto"/>
            </w:tcBorders>
          </w:tcPr>
          <w:p>
            <w:pPr>
              <w:spacing w:after="0"/>
              <w:rPr>
                <w:sz w:val="19"/>
                <w:szCs w:val="19"/>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(loss) per common share: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Net income (loss) applicable to common stock</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(2,526)</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(11,561)</w:t>
            </w:r>
          </w:p>
        </w:tc>
      </w:tr>
      <w:tr>
        <w:trPr>
          <w:trHeight w:val="23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unvested, restricted stock</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Numerator: Net income (loss) for basic EPS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w:t>
            </w:r>
          </w:p>
        </w:tc>
      </w:tr>
      <w:tr>
        <w:trPr>
          <w:trHeight w:val="22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Denominator: Weighted average common shares-basic</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17,602</w:t>
            </w: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Basic net income (loss) per common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5"/>
        </w:trPr>
        <w:tc>
          <w:tcPr>
            <w:tcW w:w="5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23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 (loss) per common share: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Numerator: Net income (loss) for diluted EPS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(2,561)</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(11,595)</w:t>
            </w: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17,602</w:t>
            </w:r>
          </w:p>
        </w:tc>
      </w:tr>
      <w:tr>
        <w:trPr>
          <w:trHeight w:val="23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Effect of dilutive unvested, restricted stock and preferred stock</w:t>
            </w:r>
          </w:p>
        </w:tc>
        <w:tc>
          <w:tcPr>
            <w:tcW w:w="28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 Weighted average common shares–diluted</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17,602</w:t>
            </w: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1"/>
        </w:trPr>
        <w:tc>
          <w:tcPr>
            <w:tcW w:w="5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898"/>
        </w:trPr>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1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Basic and Diluted Net Income (Loss) per Share (continued)</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Diluted earnings (losses) per common share are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The Company excluded 178,000 and 220,000, unvested, restricted shares, as calculated under the treasury stock method, from its computation of diluted earnings (losses) per share for the three months ended April 30, 2021 and 2020, respectively, and 185,000 and 196,000 for the six months ended April 30,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transactions with various related-parties as summarized in the tables below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380"/>
              <w:spacing w:after="0"/>
              <w:rPr>
                <w:sz w:val="20"/>
                <w:szCs w:val="20"/>
                <w:color w:val="auto"/>
              </w:rPr>
            </w:pPr>
            <w:r>
              <w:rPr>
                <w:rFonts w:ascii="Arial" w:cs="Arial" w:eastAsia="Arial" w:hAnsi="Arial"/>
                <w:sz w:val="13"/>
                <w:szCs w:val="13"/>
                <w:b w:val="1"/>
                <w:bCs w:val="1"/>
                <w:color w:val="auto"/>
              </w:rPr>
              <w:t>April 30, 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left="177"/>
              <w:spacing w:after="0"/>
              <w:rPr>
                <w:sz w:val="20"/>
                <w:szCs w:val="20"/>
                <w:color w:val="auto"/>
              </w:rPr>
            </w:pPr>
            <w:r>
              <w:rPr>
                <w:rFonts w:ascii="Arial" w:cs="Arial" w:eastAsia="Arial" w:hAnsi="Arial"/>
                <w:sz w:val="13"/>
                <w:szCs w:val="13"/>
                <w:b w:val="1"/>
                <w:bCs w:val="1"/>
                <w:color w:val="auto"/>
                <w:w w:val="86"/>
              </w:rPr>
              <w:t>October 31, 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w w:val="96"/>
              </w:rPr>
              <w:t>Balance Sheet</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177"/>
              <w:spacing w:after="0"/>
              <w:rPr>
                <w:sz w:val="20"/>
                <w:szCs w:val="20"/>
                <w:color w:val="auto"/>
              </w:rPr>
            </w:pPr>
            <w:r>
              <w:rPr>
                <w:rFonts w:ascii="Arial" w:cs="Arial" w:eastAsia="Arial" w:hAnsi="Arial"/>
                <w:sz w:val="13"/>
                <w:szCs w:val="13"/>
                <w:b w:val="1"/>
                <w:bCs w:val="1"/>
                <w:color w:val="auto"/>
                <w:w w:val="83"/>
              </w:rPr>
              <w:t>Balance Sheet</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ind w:left="20"/>
              <w:spacing w:after="0" w:line="121" w:lineRule="exact"/>
              <w:rPr>
                <w:sz w:val="20"/>
                <w:szCs w:val="20"/>
                <w:color w:val="auto"/>
              </w:rPr>
            </w:pPr>
            <w:r>
              <w:rPr>
                <w:rFonts w:ascii="Arial" w:cs="Arial" w:eastAsia="Arial" w:hAnsi="Arial"/>
                <w:sz w:val="13"/>
                <w:szCs w:val="13"/>
                <w:b w:val="1"/>
                <w:bCs w:val="1"/>
                <w:color w:val="auto"/>
                <w:w w:val="99"/>
              </w:rPr>
              <w:t>Receivable/Other</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Payables to</w:t>
            </w:r>
          </w:p>
        </w:tc>
        <w:tc>
          <w:tcPr>
            <w:tcW w:w="100" w:type="dxa"/>
            <w:vAlign w:val="bottom"/>
          </w:tcPr>
          <w:p>
            <w:pPr>
              <w:spacing w:after="0"/>
              <w:rPr>
                <w:sz w:val="10"/>
                <w:szCs w:val="10"/>
                <w:color w:val="auto"/>
              </w:rPr>
            </w:pPr>
          </w:p>
        </w:tc>
        <w:tc>
          <w:tcPr>
            <w:tcW w:w="78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1"/>
              </w:rPr>
              <w:t>Other Long-</w:t>
            </w:r>
          </w:p>
        </w:tc>
        <w:tc>
          <w:tcPr>
            <w:tcW w:w="100" w:type="dxa"/>
            <w:vAlign w:val="bottom"/>
          </w:tcPr>
          <w:p>
            <w:pPr>
              <w:spacing w:after="0"/>
              <w:rPr>
                <w:sz w:val="10"/>
                <w:szCs w:val="10"/>
                <w:color w:val="auto"/>
              </w:rPr>
            </w:pPr>
          </w:p>
        </w:tc>
        <w:tc>
          <w:tcPr>
            <w:tcW w:w="1100" w:type="dxa"/>
            <w:vAlign w:val="bottom"/>
            <w:gridSpan w:val="3"/>
          </w:tcPr>
          <w:p>
            <w:pPr>
              <w:ind w:left="20"/>
              <w:spacing w:after="0" w:line="121" w:lineRule="exact"/>
              <w:rPr>
                <w:sz w:val="20"/>
                <w:szCs w:val="20"/>
                <w:color w:val="auto"/>
              </w:rPr>
            </w:pPr>
            <w:r>
              <w:rPr>
                <w:rFonts w:ascii="Arial" w:cs="Arial" w:eastAsia="Arial" w:hAnsi="Arial"/>
                <w:sz w:val="13"/>
                <w:szCs w:val="13"/>
                <w:b w:val="1"/>
                <w:bCs w:val="1"/>
                <w:color w:val="auto"/>
                <w:w w:val="99"/>
              </w:rPr>
              <w:t>Receivable/Other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Payables to</w:t>
            </w:r>
          </w:p>
        </w:tc>
        <w:tc>
          <w:tcPr>
            <w:tcW w:w="100" w:type="dxa"/>
            <w:vAlign w:val="bottom"/>
          </w:tcPr>
          <w:p>
            <w:pPr>
              <w:spacing w:after="0"/>
              <w:rPr>
                <w:sz w:val="10"/>
                <w:szCs w:val="10"/>
                <w:color w:val="auto"/>
              </w:rPr>
            </w:pPr>
          </w:p>
        </w:tc>
        <w:tc>
          <w:tcPr>
            <w:tcW w:w="78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1"/>
              </w:rPr>
              <w:t>Other Long-</w:t>
            </w:r>
          </w:p>
        </w:tc>
        <w:tc>
          <w:tcPr>
            <w:tcW w:w="0" w:type="dxa"/>
            <w:vAlign w:val="bottom"/>
          </w:tcPr>
          <w:p>
            <w:pPr>
              <w:spacing w:after="0"/>
              <w:rPr>
                <w:sz w:val="1"/>
                <w:szCs w:val="1"/>
                <w:color w:val="auto"/>
              </w:rPr>
            </w:pPr>
          </w:p>
        </w:tc>
      </w:tr>
      <w:tr>
        <w:trPr>
          <w:trHeight w:val="122"/>
        </w:trPr>
        <w:tc>
          <w:tcPr>
            <w:tcW w:w="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Ref</w:t>
            </w:r>
          </w:p>
        </w:tc>
        <w:tc>
          <w:tcPr>
            <w:tcW w:w="2880" w:type="dxa"/>
            <w:vAlign w:val="bottom"/>
            <w:gridSpan w:val="2"/>
            <w:vMerge w:val="restart"/>
          </w:tcPr>
          <w:p>
            <w:pPr>
              <w:ind w:left="1020"/>
              <w:spacing w:after="0"/>
              <w:rPr>
                <w:sz w:val="20"/>
                <w:szCs w:val="20"/>
                <w:color w:val="auto"/>
              </w:rPr>
            </w:pPr>
            <w:r>
              <w:rPr>
                <w:rFonts w:ascii="Arial" w:cs="Arial" w:eastAsia="Arial" w:hAnsi="Arial"/>
                <w:sz w:val="13"/>
                <w:szCs w:val="13"/>
                <w:b w:val="1"/>
                <w:bCs w:val="1"/>
                <w:color w:val="auto"/>
              </w:rPr>
              <w:t>Related Party</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from Related</w:t>
            </w:r>
          </w:p>
        </w:tc>
        <w:tc>
          <w:tcPr>
            <w:tcW w:w="8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Other Assets</w:t>
            </w:r>
          </w:p>
        </w:tc>
        <w:tc>
          <w:tcPr>
            <w:tcW w:w="9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7"/>
              </w:rPr>
              <w:t>Term</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from Related</w:t>
            </w:r>
          </w:p>
        </w:tc>
        <w:tc>
          <w:tcPr>
            <w:tcW w:w="80" w:type="dxa"/>
            <w:vAlign w:val="bottom"/>
          </w:tcPr>
          <w:p>
            <w:pPr>
              <w:spacing w:after="0"/>
              <w:rPr>
                <w:sz w:val="10"/>
                <w:szCs w:val="10"/>
                <w:color w:val="auto"/>
              </w:rPr>
            </w:pP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1"/>
              </w:rPr>
              <w:t>Other Assets</w:t>
            </w:r>
          </w:p>
        </w:tc>
        <w:tc>
          <w:tcPr>
            <w:tcW w:w="10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7"/>
              </w:rPr>
              <w:t>Term</w:t>
            </w:r>
          </w:p>
        </w:tc>
        <w:tc>
          <w:tcPr>
            <w:tcW w:w="0" w:type="dxa"/>
            <w:vAlign w:val="bottom"/>
          </w:tcPr>
          <w:p>
            <w:pPr>
              <w:spacing w:after="0"/>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Parties</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Related Parties</w:t>
            </w:r>
          </w:p>
        </w:tc>
        <w:tc>
          <w:tcPr>
            <w:tcW w:w="100" w:type="dxa"/>
            <w:vAlign w:val="bottom"/>
          </w:tcPr>
          <w:p>
            <w:pPr>
              <w:spacing w:after="0"/>
              <w:rPr>
                <w:sz w:val="14"/>
                <w:szCs w:val="1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Liabilities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Parties</w:t>
            </w: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40" w:type="dxa"/>
            <w:vAlign w:val="bottom"/>
            <w:gridSpan w:val="3"/>
          </w:tcPr>
          <w:p>
            <w:pPr>
              <w:ind w:left="100"/>
              <w:spacing w:after="0"/>
              <w:rPr>
                <w:sz w:val="20"/>
                <w:szCs w:val="20"/>
                <w:color w:val="auto"/>
              </w:rPr>
            </w:pPr>
            <w:r>
              <w:rPr>
                <w:rFonts w:ascii="Arial" w:cs="Arial" w:eastAsia="Arial" w:hAnsi="Arial"/>
                <w:sz w:val="13"/>
                <w:szCs w:val="13"/>
                <w:b w:val="1"/>
                <w:bCs w:val="1"/>
                <w:color w:val="auto"/>
                <w:w w:val="97"/>
              </w:rPr>
              <w:t>Related Parties</w:t>
            </w:r>
          </w:p>
        </w:tc>
        <w:tc>
          <w:tcPr>
            <w:tcW w:w="10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Liabilities</w:t>
            </w:r>
          </w:p>
        </w:tc>
        <w:tc>
          <w:tcPr>
            <w:tcW w:w="0" w:type="dxa"/>
            <w:vAlign w:val="bottom"/>
          </w:tcPr>
          <w:p>
            <w:pPr>
              <w:spacing w:after="0"/>
              <w:rPr>
                <w:sz w:val="1"/>
                <w:szCs w:val="1"/>
                <w:color w:val="auto"/>
              </w:rPr>
            </w:pPr>
          </w:p>
        </w:tc>
      </w:tr>
      <w:tr>
        <w:trPr>
          <w:trHeight w:val="175"/>
        </w:trPr>
        <w:tc>
          <w:tcPr>
            <w:tcW w:w="3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top w:val="single" w:sz="8" w:color="BFE4FF"/>
            </w:tcBorders>
            <w:shd w:val="clear" w:color="auto" w:fill="BFE4FF"/>
          </w:tcPr>
          <w:p>
            <w:pPr>
              <w:spacing w:after="0"/>
              <w:rPr>
                <w:sz w:val="15"/>
                <w:szCs w:val="15"/>
                <w:color w:val="auto"/>
              </w:rPr>
            </w:pPr>
          </w:p>
        </w:tc>
        <w:tc>
          <w:tcPr>
            <w:tcW w:w="278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Mutual water companies</w:t>
            </w:r>
          </w:p>
        </w:tc>
        <w:tc>
          <w:tcPr>
            <w:tcW w:w="100" w:type="dxa"/>
            <w:vAlign w:val="bottom"/>
            <w:tcBorders>
              <w:top w:val="single" w:sz="8" w:color="BFE4FF"/>
            </w:tcBorders>
            <w:shd w:val="clear" w:color="auto" w:fill="BFE4FF"/>
          </w:tcPr>
          <w:p>
            <w:pPr>
              <w:spacing w:after="0"/>
              <w:rPr>
                <w:sz w:val="15"/>
                <w:szCs w:val="15"/>
                <w:color w:val="auto"/>
              </w:rPr>
            </w:pPr>
          </w:p>
        </w:tc>
        <w:tc>
          <w:tcPr>
            <w:tcW w:w="12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BFE4FF"/>
            </w:tcBorders>
            <w:shd w:val="clear" w:color="auto" w:fill="BFE4FF"/>
          </w:tcPr>
          <w:p>
            <w:pPr>
              <w:spacing w:after="0"/>
              <w:rPr>
                <w:sz w:val="15"/>
                <w:szCs w:val="15"/>
                <w:color w:val="auto"/>
              </w:rPr>
            </w:pPr>
          </w:p>
        </w:tc>
        <w:tc>
          <w:tcPr>
            <w:tcW w:w="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461</w:t>
            </w:r>
          </w:p>
        </w:tc>
        <w:tc>
          <w:tcPr>
            <w:tcW w:w="120" w:type="dxa"/>
            <w:vAlign w:val="bottom"/>
            <w:tcBorders>
              <w:top w:val="single" w:sz="8" w:color="BFE4FF"/>
            </w:tcBorders>
            <w:shd w:val="clear" w:color="auto" w:fill="BFE4FF"/>
          </w:tcPr>
          <w:p>
            <w:pPr>
              <w:spacing w:after="0"/>
              <w:rPr>
                <w:sz w:val="15"/>
                <w:szCs w:val="15"/>
                <w:color w:val="auto"/>
              </w:rPr>
            </w:pPr>
          </w:p>
        </w:tc>
        <w:tc>
          <w:tcPr>
            <w:tcW w:w="40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BFE4FF"/>
            </w:tcBorders>
            <w:shd w:val="clear" w:color="auto" w:fill="BFE4FF"/>
          </w:tcPr>
          <w:p>
            <w:pPr>
              <w:spacing w:after="0"/>
              <w:rPr>
                <w:sz w:val="15"/>
                <w:szCs w:val="15"/>
                <w:color w:val="auto"/>
              </w:rPr>
            </w:pPr>
          </w:p>
        </w:tc>
        <w:tc>
          <w:tcPr>
            <w:tcW w:w="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BFE4FF"/>
          </w:tcPr>
          <w:p>
            <w:pPr>
              <w:jc w:val="right"/>
              <w:ind w:right="37"/>
              <w:spacing w:after="0"/>
              <w:rPr>
                <w:sz w:val="20"/>
                <w:szCs w:val="20"/>
                <w:color w:val="auto"/>
              </w:rPr>
            </w:pPr>
            <w:r>
              <w:rPr>
                <w:rFonts w:ascii="Arial" w:cs="Arial" w:eastAsia="Arial" w:hAnsi="Arial"/>
                <w:sz w:val="13"/>
                <w:szCs w:val="13"/>
                <w:color w:val="auto"/>
              </w:rPr>
              <w:t>64</w:t>
            </w:r>
          </w:p>
        </w:tc>
        <w:tc>
          <w:tcPr>
            <w:tcW w:w="500" w:type="dxa"/>
            <w:vAlign w:val="bottom"/>
            <w:tcBorders>
              <w:top w:val="single" w:sz="8" w:color="auto"/>
            </w:tcBorders>
            <w:shd w:val="clear" w:color="auto" w:fill="BFE4FF"/>
          </w:tcPr>
          <w:p>
            <w:pPr>
              <w:ind w:left="80"/>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64</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Cooperative association</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BFE4FF"/>
          </w:tcPr>
          <w:p>
            <w:pPr>
              <w:spacing w:after="0"/>
              <w:rPr>
                <w:sz w:val="16"/>
                <w:szCs w:val="16"/>
                <w:color w:val="auto"/>
              </w:rPr>
            </w:pPr>
          </w:p>
        </w:tc>
        <w:tc>
          <w:tcPr>
            <w:tcW w:w="288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Calavo</w:t>
            </w: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1,635</w:t>
            </w: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shd w:val="clear" w:color="auto" w:fill="BFE4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shd w:val="clear" w:color="auto" w:fill="BFE4FF"/>
          </w:tcPr>
          <w:p>
            <w:pPr>
              <w:ind w:left="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Cadiz / Fenner / WAM</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1,405</w:t>
            </w:r>
          </w:p>
        </w:tc>
        <w:tc>
          <w:tcPr>
            <w:tcW w:w="12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1,316</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1,443</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182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1,353</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BFE4FF"/>
          </w:tcPr>
          <w:p>
            <w:pPr>
              <w:spacing w:after="0"/>
              <w:rPr>
                <w:sz w:val="16"/>
                <w:szCs w:val="16"/>
                <w:color w:val="auto"/>
              </w:rPr>
            </w:pPr>
          </w:p>
        </w:tc>
        <w:tc>
          <w:tcPr>
            <w:tcW w:w="288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Colorado River Growers</w:t>
            </w: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shd w:val="clear" w:color="auto" w:fill="BFE4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81</w:t>
            </w: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shd w:val="clear" w:color="auto" w:fill="BFE4FF"/>
          </w:tcPr>
          <w:p>
            <w:pPr>
              <w:ind w:left="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FGF</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3,121</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1,111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2,213</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604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BFE4FF"/>
          </w:tcPr>
          <w:p>
            <w:pPr>
              <w:spacing w:after="0"/>
              <w:rPr>
                <w:sz w:val="16"/>
                <w:szCs w:val="16"/>
                <w:color w:val="auto"/>
              </w:rPr>
            </w:pPr>
          </w:p>
        </w:tc>
        <w:tc>
          <w:tcPr>
            <w:tcW w:w="288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LLCB</w:t>
            </w: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4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5,450</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shd w:val="clear" w:color="auto" w:fill="BFE4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shd w:val="clear" w:color="auto" w:fill="BFE4FF"/>
          </w:tcPr>
          <w:p>
            <w:pPr>
              <w:ind w:lef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5,300</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Freska</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tcPr>
          <w:p>
            <w:pPr>
              <w:ind w:left="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BFE4FF"/>
          </w:tcPr>
          <w:p>
            <w:pPr>
              <w:spacing w:after="0"/>
              <w:rPr>
                <w:sz w:val="16"/>
                <w:szCs w:val="16"/>
                <w:color w:val="auto"/>
              </w:rPr>
            </w:pPr>
          </w:p>
        </w:tc>
        <w:tc>
          <w:tcPr>
            <w:tcW w:w="288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Third party growers</w:t>
            </w: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40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4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shd w:val="clear" w:color="auto" w:fill="BFE4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shd w:val="clear" w:color="auto" w:fill="BFE4FF"/>
          </w:tcPr>
          <w:p>
            <w:pPr>
              <w:ind w:left="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5" w:lineRule="exact"/>
        <w:rPr>
          <w:sz w:val="20"/>
          <w:szCs w:val="20"/>
          <w:color w:val="auto"/>
        </w:rPr>
      </w:pPr>
    </w:p>
    <w:p>
      <w:pPr>
        <w:ind w:left="3700"/>
        <w:spacing w:after="0"/>
        <w:rPr>
          <w:sz w:val="20"/>
          <w:szCs w:val="20"/>
          <w:color w:val="auto"/>
        </w:rPr>
      </w:pPr>
      <w:r>
        <w:rPr>
          <w:rFonts w:ascii="Arial" w:cs="Arial" w:eastAsia="Arial" w:hAnsi="Arial"/>
          <w:sz w:val="10"/>
          <w:szCs w:val="10"/>
          <w:b w:val="1"/>
          <w:bCs w:val="1"/>
          <w:color w:val="auto"/>
        </w:rPr>
        <w:t>Three Months Ended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41275</wp:posOffset>
            </wp:positionV>
            <wp:extent cx="24174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4" w:lineRule="exact"/>
        <w:rPr>
          <w:sz w:val="20"/>
          <w:szCs w:val="20"/>
          <w:color w:val="auto"/>
        </w:rPr>
      </w:pPr>
    </w:p>
    <w:p>
      <w:pPr>
        <w:ind w:left="3260"/>
        <w:spacing w:after="0"/>
        <w:rPr>
          <w:sz w:val="20"/>
          <w:szCs w:val="20"/>
          <w:color w:val="auto"/>
        </w:rPr>
      </w:pPr>
      <w:r>
        <w:rPr>
          <w:rFonts w:ascii="Arial" w:cs="Arial" w:eastAsia="Arial" w:hAnsi="Arial"/>
          <w:sz w:val="13"/>
          <w:szCs w:val="13"/>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500"/>
        <w:spacing w:after="0"/>
        <w:rPr>
          <w:sz w:val="20"/>
          <w:szCs w:val="20"/>
          <w:color w:val="auto"/>
        </w:rPr>
      </w:pPr>
      <w:r>
        <w:rPr>
          <w:rFonts w:ascii="Arial" w:cs="Arial" w:eastAsia="Arial" w:hAnsi="Arial"/>
          <w:sz w:val="10"/>
          <w:szCs w:val="10"/>
          <w:b w:val="1"/>
          <w:bCs w:val="1"/>
          <w:color w:val="auto"/>
        </w:rPr>
        <w:t>Three Months Ended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41275</wp:posOffset>
            </wp:positionV>
            <wp:extent cx="28975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 of Operations</w:t>
      </w:r>
    </w:p>
    <w:p>
      <w:pPr>
        <w:spacing w:after="0" w:line="15" w:lineRule="exact"/>
        <w:rPr>
          <w:sz w:val="20"/>
          <w:szCs w:val="20"/>
          <w:color w:val="auto"/>
        </w:rPr>
      </w:pPr>
    </w:p>
    <w:p>
      <w:pPr>
        <w:sectPr>
          <w:pgSz w:w="11900" w:h="16838" w:orient="portrait"/>
          <w:cols w:equalWidth="0" w:num="2">
            <w:col w:w="6780" w:space="720"/>
            <w:col w:w="374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Net Revenue</w:t>
            </w:r>
          </w:p>
        </w:tc>
        <w:tc>
          <w:tcPr>
            <w:tcW w:w="940" w:type="dxa"/>
            <w:vAlign w:val="bottom"/>
            <w:tcBorders>
              <w:top w:val="single" w:sz="8" w:color="auto"/>
            </w:tcBorders>
            <w:gridSpan w:val="3"/>
          </w:tcPr>
          <w:p>
            <w:pPr>
              <w:jc w:val="center"/>
              <w:ind w:right="100"/>
              <w:spacing w:after="0" w:line="131" w:lineRule="exact"/>
              <w:rPr>
                <w:sz w:val="20"/>
                <w:szCs w:val="20"/>
                <w:color w:val="auto"/>
              </w:rPr>
            </w:pPr>
            <w:r>
              <w:rPr>
                <w:rFonts w:ascii="Arial" w:cs="Arial" w:eastAsia="Arial" w:hAnsi="Arial"/>
                <w:sz w:val="13"/>
                <w:szCs w:val="13"/>
                <w:b w:val="1"/>
                <w:bCs w:val="1"/>
                <w:color w:val="auto"/>
                <w:w w:val="86"/>
              </w:rPr>
              <w:t>Net Revenue</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4"/>
              </w:rPr>
              <w:t>Agribusiness</w:t>
            </w:r>
          </w:p>
        </w:tc>
        <w:tc>
          <w:tcPr>
            <w:tcW w:w="80" w:type="dxa"/>
            <w:vAlign w:val="bottom"/>
          </w:tcPr>
          <w:p>
            <w:pPr>
              <w:spacing w:after="0"/>
              <w:rPr>
                <w:sz w:val="11"/>
                <w:szCs w:val="11"/>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6"/>
              </w:rPr>
              <w:t>Dividends</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Net Revenue</w:t>
            </w:r>
          </w:p>
        </w:tc>
        <w:tc>
          <w:tcPr>
            <w:tcW w:w="960" w:type="dxa"/>
            <w:vAlign w:val="bottom"/>
            <w:tcBorders>
              <w:top w:val="single" w:sz="8" w:color="auto"/>
            </w:tcBorders>
            <w:gridSpan w:val="3"/>
          </w:tcPr>
          <w:p>
            <w:pPr>
              <w:jc w:val="center"/>
              <w:ind w:right="120"/>
              <w:spacing w:after="0" w:line="131" w:lineRule="exact"/>
              <w:rPr>
                <w:sz w:val="20"/>
                <w:szCs w:val="20"/>
                <w:color w:val="auto"/>
              </w:rPr>
            </w:pPr>
            <w:r>
              <w:rPr>
                <w:rFonts w:ascii="Arial" w:cs="Arial" w:eastAsia="Arial" w:hAnsi="Arial"/>
                <w:sz w:val="13"/>
                <w:szCs w:val="13"/>
                <w:b w:val="1"/>
                <w:bCs w:val="1"/>
                <w:color w:val="auto"/>
                <w:w w:val="86"/>
              </w:rPr>
              <w:t>Net Revenue</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4"/>
              </w:rPr>
              <w:t>Agribusiness</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37"/>
              <w:spacing w:after="0" w:line="131"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6"/>
              </w:rPr>
              <w:t>Dividends</w:t>
            </w:r>
          </w:p>
        </w:tc>
        <w:tc>
          <w:tcPr>
            <w:tcW w:w="0" w:type="dxa"/>
            <w:vAlign w:val="bottom"/>
          </w:tcPr>
          <w:p>
            <w:pPr>
              <w:spacing w:after="0"/>
              <w:rPr>
                <w:sz w:val="1"/>
                <w:szCs w:val="1"/>
                <w:color w:val="auto"/>
              </w:rPr>
            </w:pPr>
          </w:p>
        </w:tc>
      </w:tr>
      <w:tr>
        <w:trPr>
          <w:trHeight w:val="122"/>
        </w:trPr>
        <w:tc>
          <w:tcPr>
            <w:tcW w:w="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Ref</w:t>
            </w:r>
          </w:p>
        </w:tc>
        <w:tc>
          <w:tcPr>
            <w:tcW w:w="2300" w:type="dxa"/>
            <w:vAlign w:val="bottom"/>
            <w:gridSpan w:val="2"/>
            <w:vMerge w:val="restart"/>
          </w:tcPr>
          <w:p>
            <w:pPr>
              <w:ind w:left="720"/>
              <w:spacing w:after="0"/>
              <w:rPr>
                <w:sz w:val="20"/>
                <w:szCs w:val="20"/>
                <w:color w:val="auto"/>
              </w:rPr>
            </w:pPr>
            <w:r>
              <w:rPr>
                <w:rFonts w:ascii="Arial" w:cs="Arial" w:eastAsia="Arial" w:hAnsi="Arial"/>
                <w:sz w:val="13"/>
                <w:szCs w:val="13"/>
                <w:b w:val="1"/>
                <w:bCs w:val="1"/>
                <w:color w:val="auto"/>
              </w:rPr>
              <w:t>Related Party</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0"/>
              </w:rPr>
              <w:t>Rental</w:t>
            </w: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Expense and</w:t>
            </w: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Rental</w:t>
            </w:r>
          </w:p>
        </w:tc>
        <w:tc>
          <w:tcPr>
            <w:tcW w:w="10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Expense and</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Income,</w:t>
            </w: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Agribusiness</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4"/>
                <w:szCs w:val="14"/>
                <w:color w:val="auto"/>
              </w:rPr>
            </w:pPr>
          </w:p>
        </w:tc>
        <w:tc>
          <w:tcPr>
            <w:tcW w:w="660" w:type="dxa"/>
            <w:vAlign w:val="bottom"/>
          </w:tcPr>
          <w:p>
            <w:pPr>
              <w:jc w:val="right"/>
              <w:ind w:right="177"/>
              <w:spacing w:after="0"/>
              <w:rPr>
                <w:sz w:val="20"/>
                <w:szCs w:val="20"/>
                <w:color w:val="auto"/>
              </w:rPr>
            </w:pPr>
            <w:r>
              <w:rPr>
                <w:rFonts w:ascii="Arial" w:cs="Arial" w:eastAsia="Arial" w:hAnsi="Arial"/>
                <w:sz w:val="13"/>
                <w:szCs w:val="13"/>
                <w:b w:val="1"/>
                <w:bCs w:val="1"/>
                <w:color w:val="auto"/>
              </w:rPr>
              <w:t>Paid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Agribusiness</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Net</w:t>
            </w:r>
          </w:p>
        </w:tc>
        <w:tc>
          <w:tcPr>
            <w:tcW w:w="80" w:type="dxa"/>
            <w:vAlign w:val="bottom"/>
          </w:tcPr>
          <w:p>
            <w:pPr>
              <w:spacing w:after="0"/>
              <w:rPr>
                <w:sz w:val="14"/>
                <w:szCs w:val="14"/>
                <w:color w:val="auto"/>
              </w:rPr>
            </w:pPr>
          </w:p>
        </w:tc>
        <w:tc>
          <w:tcPr>
            <w:tcW w:w="680" w:type="dxa"/>
            <w:vAlign w:val="bottom"/>
          </w:tcPr>
          <w:p>
            <w:pPr>
              <w:jc w:val="right"/>
              <w:ind w:right="197"/>
              <w:spacing w:after="0"/>
              <w:rPr>
                <w:sz w:val="20"/>
                <w:szCs w:val="20"/>
                <w:color w:val="auto"/>
              </w:rPr>
            </w:pPr>
            <w:r>
              <w:rPr>
                <w:rFonts w:ascii="Arial" w:cs="Arial" w:eastAsia="Arial" w:hAnsi="Arial"/>
                <w:sz w:val="13"/>
                <w:szCs w:val="13"/>
                <w:b w:val="1"/>
                <w:bCs w:val="1"/>
                <w:color w:val="auto"/>
              </w:rPr>
              <w:t>Paid</w:t>
            </w:r>
          </w:p>
        </w:tc>
        <w:tc>
          <w:tcPr>
            <w:tcW w:w="0" w:type="dxa"/>
            <w:vAlign w:val="bottom"/>
          </w:tcPr>
          <w:p>
            <w:pPr>
              <w:spacing w:after="0"/>
              <w:rPr>
                <w:sz w:val="1"/>
                <w:szCs w:val="1"/>
                <w:color w:val="auto"/>
              </w:rPr>
            </w:pPr>
          </w:p>
        </w:tc>
      </w:tr>
      <w:tr>
        <w:trPr>
          <w:trHeight w:val="175"/>
        </w:trPr>
        <w:tc>
          <w:tcPr>
            <w:tcW w:w="3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BFE4FF"/>
            </w:tcBorders>
            <w:shd w:val="clear" w:color="auto" w:fill="BFE4FF"/>
          </w:tcPr>
          <w:p>
            <w:pPr>
              <w:spacing w:after="0"/>
              <w:rPr>
                <w:sz w:val="15"/>
                <w:szCs w:val="15"/>
                <w:color w:val="auto"/>
              </w:rPr>
            </w:pPr>
          </w:p>
        </w:tc>
        <w:tc>
          <w:tcPr>
            <w:tcW w:w="220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Employees</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BFE4FF"/>
            </w:tcBorders>
            <w:shd w:val="clear" w:color="auto" w:fill="BFE4FF"/>
          </w:tcPr>
          <w:p>
            <w:pPr>
              <w:spacing w:after="0"/>
              <w:rPr>
                <w:sz w:val="15"/>
                <w:szCs w:val="15"/>
                <w:color w:val="auto"/>
              </w:rPr>
            </w:pPr>
          </w:p>
        </w:tc>
        <w:tc>
          <w:tcPr>
            <w:tcW w:w="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193</w:t>
            </w:r>
          </w:p>
        </w:tc>
        <w:tc>
          <w:tcPr>
            <w:tcW w:w="12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BFE4FF"/>
          </w:tcPr>
          <w:p>
            <w:pPr>
              <w:ind w:left="36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BFE4FF"/>
            </w:tcBorders>
            <w:shd w:val="clear" w:color="auto" w:fill="BFE4FF"/>
          </w:tcPr>
          <w:p>
            <w:pPr>
              <w:spacing w:after="0"/>
              <w:rPr>
                <w:sz w:val="15"/>
                <w:szCs w:val="15"/>
                <w:color w:val="auto"/>
              </w:rPr>
            </w:pPr>
          </w:p>
        </w:tc>
        <w:tc>
          <w:tcPr>
            <w:tcW w:w="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Mutual water companies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BFE4FF"/>
          </w:tcPr>
          <w:p>
            <w:pPr>
              <w:spacing w:after="0"/>
              <w:rPr>
                <w:sz w:val="16"/>
                <w:szCs w:val="16"/>
                <w:color w:val="auto"/>
              </w:rPr>
            </w:pPr>
          </w:p>
        </w:tc>
        <w:tc>
          <w:tcPr>
            <w:tcW w:w="23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Cooperative association</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369</w:t>
            </w: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447</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BFE4FF"/>
          </w:tcPr>
          <w:p>
            <w:pPr>
              <w:ind w:left="36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Calavo</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2,553</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279</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1,539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BFE4FF"/>
          </w:tcPr>
          <w:p>
            <w:pPr>
              <w:spacing w:after="0"/>
              <w:rPr>
                <w:sz w:val="16"/>
                <w:szCs w:val="16"/>
                <w:color w:val="auto"/>
              </w:rPr>
            </w:pPr>
          </w:p>
        </w:tc>
        <w:tc>
          <w:tcPr>
            <w:tcW w:w="23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Cadiz / Fenner / WAM</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85</w:t>
            </w: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70</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BFE4FF"/>
          </w:tcPr>
          <w:p>
            <w:pPr>
              <w:ind w:left="36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Colorado River Growers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BFE4FF"/>
          </w:tcPr>
          <w:p>
            <w:pPr>
              <w:spacing w:after="0"/>
              <w:rPr>
                <w:sz w:val="16"/>
                <w:szCs w:val="16"/>
                <w:color w:val="auto"/>
              </w:rPr>
            </w:pPr>
          </w:p>
        </w:tc>
        <w:tc>
          <w:tcPr>
            <w:tcW w:w="23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YMIDD</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53</w:t>
            </w: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BFE4FF"/>
          </w:tcPr>
          <w:p>
            <w:pPr>
              <w:ind w:left="36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FGF</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884</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970</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2,280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2,270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BFE4FF"/>
          </w:tcPr>
          <w:p>
            <w:pPr>
              <w:spacing w:after="0"/>
              <w:rPr>
                <w:sz w:val="16"/>
                <w:szCs w:val="16"/>
                <w:color w:val="auto"/>
              </w:rPr>
            </w:pPr>
          </w:p>
        </w:tc>
        <w:tc>
          <w:tcPr>
            <w:tcW w:w="23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Freska</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96</w:t>
            </w:r>
          </w:p>
        </w:tc>
        <w:tc>
          <w:tcPr>
            <w:tcW w:w="12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BFE4FF"/>
          </w:tcPr>
          <w:p>
            <w:pPr>
              <w:ind w:left="36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Third party growers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 (UNAUDITED) (CONTINUED)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 (continued)</w:t>
      </w:r>
    </w:p>
    <w:p>
      <w:pPr>
        <w:sectPr>
          <w:pgSz w:w="11900" w:h="16838" w:orient="portrait"/>
          <w:cols w:equalWidth="0" w:num="1">
            <w:col w:w="11240"/>
          </w:cols>
          <w:pgMar w:left="320" w:top="369" w:right="339" w:bottom="1440" w:gutter="0" w:footer="0" w:header="0"/>
        </w:sectPr>
      </w:pPr>
    </w:p>
    <w:p>
      <w:pPr>
        <w:spacing w:after="0" w:line="158" w:lineRule="exact"/>
        <w:rPr>
          <w:sz w:val="20"/>
          <w:szCs w:val="20"/>
          <w:color w:val="auto"/>
        </w:rPr>
      </w:pPr>
    </w:p>
    <w:p>
      <w:pPr>
        <w:ind w:left="3780"/>
        <w:spacing w:after="0"/>
        <w:rPr>
          <w:sz w:val="20"/>
          <w:szCs w:val="20"/>
          <w:color w:val="auto"/>
        </w:rPr>
      </w:pPr>
      <w:r>
        <w:rPr>
          <w:rFonts w:ascii="Arial" w:cs="Arial" w:eastAsia="Arial" w:hAnsi="Arial"/>
          <w:sz w:val="10"/>
          <w:szCs w:val="10"/>
          <w:b w:val="1"/>
          <w:bCs w:val="1"/>
          <w:color w:val="auto"/>
        </w:rPr>
        <w:t>Six Months Ended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41275</wp:posOffset>
            </wp:positionV>
            <wp:extent cx="2417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4" w:lineRule="exact"/>
        <w:rPr>
          <w:sz w:val="20"/>
          <w:szCs w:val="20"/>
          <w:color w:val="auto"/>
        </w:rPr>
      </w:pPr>
    </w:p>
    <w:p>
      <w:pPr>
        <w:ind w:left="3260"/>
        <w:spacing w:after="0"/>
        <w:rPr>
          <w:sz w:val="20"/>
          <w:szCs w:val="20"/>
          <w:color w:val="auto"/>
        </w:rPr>
      </w:pPr>
      <w:r>
        <w:rPr>
          <w:rFonts w:ascii="Arial" w:cs="Arial" w:eastAsia="Arial" w:hAnsi="Arial"/>
          <w:sz w:val="12"/>
          <w:szCs w:val="12"/>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0"/>
          <w:szCs w:val="10"/>
          <w:b w:val="1"/>
          <w:bCs w:val="1"/>
          <w:color w:val="auto"/>
        </w:rPr>
        <w:t>Six Months Ended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41275</wp:posOffset>
            </wp:positionV>
            <wp:extent cx="28975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 of Operations</w:t>
      </w:r>
    </w:p>
    <w:p>
      <w:pPr>
        <w:spacing w:after="0" w:line="26" w:lineRule="exact"/>
        <w:rPr>
          <w:sz w:val="20"/>
          <w:szCs w:val="20"/>
          <w:color w:val="auto"/>
        </w:rPr>
      </w:pPr>
    </w:p>
    <w:p>
      <w:pPr>
        <w:sectPr>
          <w:pgSz w:w="11900" w:h="16838" w:orient="portrait"/>
          <w:cols w:equalWidth="0" w:num="2">
            <w:col w:w="6780" w:space="720"/>
            <w:col w:w="374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Net Revenue</w:t>
            </w:r>
          </w:p>
        </w:tc>
        <w:tc>
          <w:tcPr>
            <w:tcW w:w="940" w:type="dxa"/>
            <w:vAlign w:val="bottom"/>
            <w:tcBorders>
              <w:top w:val="single" w:sz="8" w:color="auto"/>
            </w:tcBorders>
            <w:gridSpan w:val="3"/>
          </w:tcPr>
          <w:p>
            <w:pPr>
              <w:jc w:val="center"/>
              <w:ind w:right="100"/>
              <w:spacing w:after="0" w:line="131" w:lineRule="exact"/>
              <w:rPr>
                <w:sz w:val="20"/>
                <w:szCs w:val="20"/>
                <w:color w:val="auto"/>
              </w:rPr>
            </w:pPr>
            <w:r>
              <w:rPr>
                <w:rFonts w:ascii="Arial" w:cs="Arial" w:eastAsia="Arial" w:hAnsi="Arial"/>
                <w:sz w:val="13"/>
                <w:szCs w:val="13"/>
                <w:b w:val="1"/>
                <w:bCs w:val="1"/>
                <w:color w:val="auto"/>
                <w:w w:val="86"/>
              </w:rPr>
              <w:t>Net Revenue</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4"/>
              </w:rPr>
              <w:t>Agribusiness</w:t>
            </w:r>
          </w:p>
        </w:tc>
        <w:tc>
          <w:tcPr>
            <w:tcW w:w="80" w:type="dxa"/>
            <w:vAlign w:val="bottom"/>
          </w:tcPr>
          <w:p>
            <w:pPr>
              <w:spacing w:after="0"/>
              <w:rPr>
                <w:sz w:val="11"/>
                <w:szCs w:val="11"/>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6"/>
              </w:rPr>
              <w:t>Dividends</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Net Revenue</w:t>
            </w:r>
          </w:p>
        </w:tc>
        <w:tc>
          <w:tcPr>
            <w:tcW w:w="960" w:type="dxa"/>
            <w:vAlign w:val="bottom"/>
            <w:tcBorders>
              <w:top w:val="single" w:sz="8" w:color="auto"/>
            </w:tcBorders>
            <w:gridSpan w:val="3"/>
          </w:tcPr>
          <w:p>
            <w:pPr>
              <w:jc w:val="center"/>
              <w:ind w:right="120"/>
              <w:spacing w:after="0" w:line="131" w:lineRule="exact"/>
              <w:rPr>
                <w:sz w:val="20"/>
                <w:szCs w:val="20"/>
                <w:color w:val="auto"/>
              </w:rPr>
            </w:pPr>
            <w:r>
              <w:rPr>
                <w:rFonts w:ascii="Arial" w:cs="Arial" w:eastAsia="Arial" w:hAnsi="Arial"/>
                <w:sz w:val="13"/>
                <w:szCs w:val="13"/>
                <w:b w:val="1"/>
                <w:bCs w:val="1"/>
                <w:color w:val="auto"/>
                <w:w w:val="86"/>
              </w:rPr>
              <w:t>Net Revenue</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4"/>
              </w:rPr>
              <w:t>Agribusiness</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37"/>
              <w:spacing w:after="0" w:line="131"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6"/>
              </w:rPr>
              <w:t>Dividends</w:t>
            </w:r>
          </w:p>
        </w:tc>
        <w:tc>
          <w:tcPr>
            <w:tcW w:w="0" w:type="dxa"/>
            <w:vAlign w:val="bottom"/>
          </w:tcPr>
          <w:p>
            <w:pPr>
              <w:spacing w:after="0"/>
              <w:rPr>
                <w:sz w:val="1"/>
                <w:szCs w:val="1"/>
                <w:color w:val="auto"/>
              </w:rPr>
            </w:pPr>
          </w:p>
        </w:tc>
      </w:tr>
      <w:tr>
        <w:trPr>
          <w:trHeight w:val="122"/>
        </w:trPr>
        <w:tc>
          <w:tcPr>
            <w:tcW w:w="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Ref</w:t>
            </w:r>
          </w:p>
        </w:tc>
        <w:tc>
          <w:tcPr>
            <w:tcW w:w="2300" w:type="dxa"/>
            <w:vAlign w:val="bottom"/>
            <w:gridSpan w:val="2"/>
            <w:vMerge w:val="restart"/>
          </w:tcPr>
          <w:p>
            <w:pPr>
              <w:ind w:left="720"/>
              <w:spacing w:after="0"/>
              <w:rPr>
                <w:sz w:val="20"/>
                <w:szCs w:val="20"/>
                <w:color w:val="auto"/>
              </w:rPr>
            </w:pPr>
            <w:r>
              <w:rPr>
                <w:rFonts w:ascii="Arial" w:cs="Arial" w:eastAsia="Arial" w:hAnsi="Arial"/>
                <w:sz w:val="13"/>
                <w:szCs w:val="13"/>
                <w:b w:val="1"/>
                <w:bCs w:val="1"/>
                <w:color w:val="auto"/>
              </w:rPr>
              <w:t>Related Party</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0"/>
              </w:rPr>
              <w:t>Rental</w:t>
            </w: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Expense and</w:t>
            </w: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Rental</w:t>
            </w:r>
          </w:p>
        </w:tc>
        <w:tc>
          <w:tcPr>
            <w:tcW w:w="10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Expense and</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Income,</w:t>
            </w: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Agribusiness</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4"/>
                <w:szCs w:val="14"/>
                <w:color w:val="auto"/>
              </w:rPr>
            </w:pPr>
          </w:p>
        </w:tc>
        <w:tc>
          <w:tcPr>
            <w:tcW w:w="660" w:type="dxa"/>
            <w:vAlign w:val="bottom"/>
          </w:tcPr>
          <w:p>
            <w:pPr>
              <w:jc w:val="right"/>
              <w:ind w:right="177"/>
              <w:spacing w:after="0"/>
              <w:rPr>
                <w:sz w:val="20"/>
                <w:szCs w:val="20"/>
                <w:color w:val="auto"/>
              </w:rPr>
            </w:pPr>
            <w:r>
              <w:rPr>
                <w:rFonts w:ascii="Arial" w:cs="Arial" w:eastAsia="Arial" w:hAnsi="Arial"/>
                <w:sz w:val="13"/>
                <w:szCs w:val="13"/>
                <w:b w:val="1"/>
                <w:bCs w:val="1"/>
                <w:color w:val="auto"/>
              </w:rPr>
              <w:t>Paid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Agribusiness</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Net</w:t>
            </w:r>
          </w:p>
        </w:tc>
        <w:tc>
          <w:tcPr>
            <w:tcW w:w="80" w:type="dxa"/>
            <w:vAlign w:val="bottom"/>
          </w:tcPr>
          <w:p>
            <w:pPr>
              <w:spacing w:after="0"/>
              <w:rPr>
                <w:sz w:val="14"/>
                <w:szCs w:val="14"/>
                <w:color w:val="auto"/>
              </w:rPr>
            </w:pPr>
          </w:p>
        </w:tc>
        <w:tc>
          <w:tcPr>
            <w:tcW w:w="680" w:type="dxa"/>
            <w:vAlign w:val="bottom"/>
          </w:tcPr>
          <w:p>
            <w:pPr>
              <w:jc w:val="right"/>
              <w:ind w:right="197"/>
              <w:spacing w:after="0"/>
              <w:rPr>
                <w:sz w:val="20"/>
                <w:szCs w:val="20"/>
                <w:color w:val="auto"/>
              </w:rPr>
            </w:pPr>
            <w:r>
              <w:rPr>
                <w:rFonts w:ascii="Arial" w:cs="Arial" w:eastAsia="Arial" w:hAnsi="Arial"/>
                <w:sz w:val="13"/>
                <w:szCs w:val="13"/>
                <w:b w:val="1"/>
                <w:bCs w:val="1"/>
                <w:color w:val="auto"/>
              </w:rPr>
              <w:t>Paid</w:t>
            </w:r>
          </w:p>
        </w:tc>
        <w:tc>
          <w:tcPr>
            <w:tcW w:w="0" w:type="dxa"/>
            <w:vAlign w:val="bottom"/>
          </w:tcPr>
          <w:p>
            <w:pPr>
              <w:spacing w:after="0"/>
              <w:rPr>
                <w:sz w:val="1"/>
                <w:szCs w:val="1"/>
                <w:color w:val="auto"/>
              </w:rPr>
            </w:pPr>
          </w:p>
        </w:tc>
      </w:tr>
      <w:tr>
        <w:trPr>
          <w:trHeight w:val="175"/>
        </w:trPr>
        <w:tc>
          <w:tcPr>
            <w:tcW w:w="3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BFE4FF"/>
            </w:tcBorders>
            <w:shd w:val="clear" w:color="auto" w:fill="BFE4FF"/>
          </w:tcPr>
          <w:p>
            <w:pPr>
              <w:spacing w:after="0"/>
              <w:rPr>
                <w:sz w:val="15"/>
                <w:szCs w:val="15"/>
                <w:color w:val="auto"/>
              </w:rPr>
            </w:pPr>
          </w:p>
        </w:tc>
        <w:tc>
          <w:tcPr>
            <w:tcW w:w="220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Employees</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BFE4FF"/>
            </w:tcBorders>
            <w:shd w:val="clear" w:color="auto" w:fill="BFE4FF"/>
          </w:tcPr>
          <w:p>
            <w:pPr>
              <w:spacing w:after="0"/>
              <w:rPr>
                <w:sz w:val="15"/>
                <w:szCs w:val="15"/>
                <w:color w:val="auto"/>
              </w:rPr>
            </w:pPr>
          </w:p>
        </w:tc>
        <w:tc>
          <w:tcPr>
            <w:tcW w:w="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390</w:t>
            </w:r>
          </w:p>
        </w:tc>
        <w:tc>
          <w:tcPr>
            <w:tcW w:w="12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BFE4FF"/>
            </w:tcBorders>
            <w:shd w:val="clear" w:color="auto" w:fill="BFE4FF"/>
          </w:tcPr>
          <w:p>
            <w:pPr>
              <w:spacing w:after="0"/>
              <w:rPr>
                <w:sz w:val="15"/>
                <w:szCs w:val="15"/>
                <w:color w:val="auto"/>
              </w:rPr>
            </w:pPr>
          </w:p>
        </w:tc>
        <w:tc>
          <w:tcPr>
            <w:tcW w:w="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Mutual water companies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605</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464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BFE4FF"/>
          </w:tcPr>
          <w:p>
            <w:pPr>
              <w:spacing w:after="0"/>
              <w:rPr>
                <w:sz w:val="16"/>
                <w:szCs w:val="16"/>
                <w:color w:val="auto"/>
              </w:rPr>
            </w:pPr>
          </w:p>
        </w:tc>
        <w:tc>
          <w:tcPr>
            <w:tcW w:w="23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Cooperative association</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526</w:t>
            </w: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893</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Calavo</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2,553</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280</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252</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1,572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165</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BFE4FF"/>
          </w:tcPr>
          <w:p>
            <w:pPr>
              <w:spacing w:after="0"/>
              <w:rPr>
                <w:sz w:val="16"/>
                <w:szCs w:val="16"/>
                <w:color w:val="auto"/>
              </w:rPr>
            </w:pPr>
          </w:p>
        </w:tc>
        <w:tc>
          <w:tcPr>
            <w:tcW w:w="23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Cadiz / Fenner / WAM</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235</w:t>
            </w: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Colorado River Growers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2,772</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5,337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BFE4FF"/>
          </w:tcPr>
          <w:p>
            <w:pPr>
              <w:spacing w:after="0"/>
              <w:rPr>
                <w:sz w:val="16"/>
                <w:szCs w:val="16"/>
                <w:color w:val="auto"/>
              </w:rPr>
            </w:pPr>
          </w:p>
        </w:tc>
        <w:tc>
          <w:tcPr>
            <w:tcW w:w="23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YMIDD</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62</w:t>
            </w: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FGF</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2,555</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1,228</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2,479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2,433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BFE4FF"/>
          </w:tcPr>
          <w:p>
            <w:pPr>
              <w:spacing w:after="0"/>
              <w:rPr>
                <w:sz w:val="16"/>
                <w:szCs w:val="16"/>
                <w:color w:val="auto"/>
              </w:rPr>
            </w:pPr>
          </w:p>
        </w:tc>
        <w:tc>
          <w:tcPr>
            <w:tcW w:w="23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Freska</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96</w:t>
            </w:r>
          </w:p>
        </w:tc>
        <w:tc>
          <w:tcPr>
            <w:tcW w:w="12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Third party growers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20" w:firstLine="8"/>
        <w:spacing w:after="0" w:line="227" w:lineRule="auto"/>
        <w:tabs>
          <w:tab w:leader="none" w:pos="203"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Employees - The Company rents certain of its residential housing assets to employees on a month-to-month basis and recorded rental income from employees. There were no rental payments due from employees at April 30, 2021 or October 31, 2020.</w:t>
      </w:r>
    </w:p>
    <w:p>
      <w:pPr>
        <w:spacing w:after="0" w:line="337" w:lineRule="exact"/>
        <w:rPr>
          <w:rFonts w:ascii="Arial" w:cs="Arial" w:eastAsia="Arial" w:hAnsi="Arial"/>
          <w:sz w:val="23"/>
          <w:szCs w:val="23"/>
          <w:color w:val="auto"/>
          <w:vertAlign w:val="superscript"/>
        </w:rPr>
      </w:pPr>
    </w:p>
    <w:p>
      <w:pPr>
        <w:jc w:val="both"/>
        <w:ind w:firstLine="8"/>
        <w:spacing w:after="0" w:line="234" w:lineRule="auto"/>
        <w:tabs>
          <w:tab w:leader="none" w:pos="209"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Mutual water companies - The Company has representation on the boards of directors of the mutual water companies in which the Company has investments, refer to Note 8 - Other Assets. The Company recorded capital contributions, purchased water and water delivery services and had water payments due to the mutual water companies.</w:t>
      </w:r>
    </w:p>
    <w:p>
      <w:pPr>
        <w:spacing w:after="0" w:line="229" w:lineRule="exact"/>
        <w:rPr>
          <w:rFonts w:ascii="Arial" w:cs="Arial" w:eastAsia="Arial" w:hAnsi="Arial"/>
          <w:sz w:val="23"/>
          <w:szCs w:val="23"/>
          <w:color w:val="auto"/>
          <w:vertAlign w:val="superscript"/>
        </w:rPr>
      </w:pPr>
    </w:p>
    <w:p>
      <w:pPr>
        <w:ind w:firstLine="8"/>
        <w:spacing w:after="0" w:line="267" w:lineRule="auto"/>
        <w:tabs>
          <w:tab w:leader="none" w:pos="195"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Cooperative association - The Company has representation on the board of directors of a non-profit cooperative association that provides pest control services for the agricultural industry. The Company purchased services and supplies from and had payments due to the cooperative association.</w:t>
      </w:r>
    </w:p>
    <w:p>
      <w:pPr>
        <w:spacing w:after="0" w:line="201" w:lineRule="exact"/>
        <w:rPr>
          <w:rFonts w:ascii="Arial" w:cs="Arial" w:eastAsia="Arial" w:hAnsi="Arial"/>
          <w:sz w:val="21"/>
          <w:szCs w:val="21"/>
          <w:color w:val="auto"/>
          <w:vertAlign w:val="superscript"/>
        </w:rPr>
      </w:pPr>
    </w:p>
    <w:p>
      <w:pPr>
        <w:jc w:val="both"/>
        <w:ind w:firstLine="8"/>
        <w:spacing w:after="0" w:line="267" w:lineRule="auto"/>
        <w:tabs>
          <w:tab w:leader="none" w:pos="184"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Calavo - The Company had an investment in Calavo through March 2020 and has representation on the board of directors and Calavo has an investment in the Company. The Company recorded dividend income on its investment in Calavo, paid dividends to Calavo and had avocado sales to Calavo. Additionally, the Company leases office space to Calavo, purchased storage services from Calavo and had immaterial amounts due to Calavo for those services.</w:t>
      </w:r>
    </w:p>
    <w:p>
      <w:pPr>
        <w:spacing w:after="0" w:line="200" w:lineRule="exact"/>
        <w:rPr>
          <w:rFonts w:ascii="Arial" w:cs="Arial" w:eastAsia="Arial" w:hAnsi="Arial"/>
          <w:sz w:val="21"/>
          <w:szCs w:val="21"/>
          <w:color w:val="auto"/>
          <w:vertAlign w:val="superscript"/>
        </w:rPr>
      </w:pPr>
    </w:p>
    <w:p>
      <w:pPr>
        <w:spacing w:after="0" w:line="228" w:lineRule="exact"/>
        <w:rPr>
          <w:rFonts w:ascii="Arial" w:cs="Arial" w:eastAsia="Arial" w:hAnsi="Arial"/>
          <w:sz w:val="21"/>
          <w:szCs w:val="21"/>
          <w:color w:val="auto"/>
          <w:vertAlign w:val="superscript"/>
        </w:rPr>
      </w:pPr>
    </w:p>
    <w:p>
      <w:pPr>
        <w:jc w:val="both"/>
        <w:ind w:firstLine="8"/>
        <w:spacing w:after="0" w:line="276" w:lineRule="auto"/>
        <w:tabs>
          <w:tab w:leader="none" w:pos="187"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currently leases 670 acres located in eastern San Bernardino County, California. The annual base rental is equal to the sum of $200 per planted acre and 20% of gross revenues from the sale of harvested lemons (less operating expenses), not to exceed $1,200 per acre per year. In 2016, Cadiz assigned this lease to Fenner Valley Farms, LLC (“Fenner”), a subsidiary of Water Asset Management, LLC (“WAM”). An entity affiliated with WAM is the holder of 9,300 shares of the Company's Series B-2 convertible preferred stock. Upon the adoption of ASC 842, the Company recorded a ROU asset and corresponding lease liability.</w:t>
      </w:r>
    </w:p>
    <w:p>
      <w:pPr>
        <w:spacing w:after="0" w:line="200" w:lineRule="exact"/>
        <w:rPr>
          <w:rFonts w:ascii="Arial" w:cs="Arial" w:eastAsia="Arial" w:hAnsi="Arial"/>
          <w:sz w:val="21"/>
          <w:szCs w:val="21"/>
          <w:color w:val="auto"/>
          <w:vertAlign w:val="superscript"/>
        </w:rPr>
      </w:pPr>
    </w:p>
    <w:p>
      <w:pPr>
        <w:spacing w:after="0" w:line="219" w:lineRule="exact"/>
        <w:rPr>
          <w:rFonts w:ascii="Arial" w:cs="Arial" w:eastAsia="Arial" w:hAnsi="Arial"/>
          <w:sz w:val="21"/>
          <w:szCs w:val="21"/>
          <w:color w:val="auto"/>
          <w:vertAlign w:val="superscript"/>
        </w:rPr>
      </w:pPr>
    </w:p>
    <w:p>
      <w:pPr>
        <w:jc w:val="both"/>
        <w:ind w:firstLine="8"/>
        <w:spacing w:after="0" w:line="269" w:lineRule="auto"/>
        <w:tabs>
          <w:tab w:leader="none" w:pos="18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Colorado River Growers, Inc. (“CRG”) - The Company has representation on the board of directors of CRG, a non-profit cooperative association of fruit growers engaged in the agricultural harvesting business in Yuma County, Arizona. The Company paid harvest expense to CRG, provided harvest management and administrative services to CRG and had a receivable due from CRG for such services.</w:t>
      </w:r>
    </w:p>
    <w:p>
      <w:pPr>
        <w:spacing w:after="0" w:line="207" w:lineRule="exact"/>
        <w:rPr>
          <w:rFonts w:ascii="Arial" w:cs="Arial" w:eastAsia="Arial" w:hAnsi="Arial"/>
          <w:sz w:val="21"/>
          <w:szCs w:val="21"/>
          <w:color w:val="auto"/>
          <w:vertAlign w:val="superscript"/>
        </w:rPr>
      </w:pPr>
    </w:p>
    <w:p>
      <w:pPr>
        <w:ind w:firstLine="8"/>
        <w:spacing w:after="0" w:line="227" w:lineRule="auto"/>
        <w:tabs>
          <w:tab w:leader="none" w:pos="211"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Yuma Mesa Irrigation and Drainage District (“YMIDD”) - The Company has representation on the board of directors of YMIDD. The Company purchased water from YMIDD and had amounts payable to them for such purchases.</w:t>
      </w:r>
    </w:p>
    <w:p>
      <w:pPr>
        <w:spacing w:after="0" w:line="229" w:lineRule="exact"/>
        <w:rPr>
          <w:rFonts w:ascii="Arial" w:cs="Arial" w:eastAsia="Arial" w:hAnsi="Arial"/>
          <w:sz w:val="23"/>
          <w:szCs w:val="23"/>
          <w:color w:val="auto"/>
          <w:vertAlign w:val="superscript"/>
        </w:rPr>
      </w:pPr>
    </w:p>
    <w:p>
      <w:pPr>
        <w:jc w:val="both"/>
        <w:ind w:firstLine="8"/>
        <w:spacing w:after="0" w:line="249" w:lineRule="auto"/>
        <w:tabs>
          <w:tab w:leader="none" w:pos="18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FGF Trapani ("FGF") - The Company advances funds to FGF for fruit purchases which are recorded as an asset until the sales occur and the remaining proceeds become due to FGF. Additionally, FGF provided farming, packing, by-product processing and administrative services to Trapani Fresh. The Company had a receivable from FGF for lemon sales and a payable due to FGF for fruit purchases and services.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 (continued)</w:t>
      </w:r>
    </w:p>
    <w:p>
      <w:pPr>
        <w:spacing w:after="0" w:line="27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LLCB - Refer to Note 5 - Real Estate Development.</w:t>
      </w:r>
    </w:p>
    <w:p>
      <w:pPr>
        <w:spacing w:after="0" w:line="228" w:lineRule="exact"/>
        <w:rPr>
          <w:rFonts w:ascii="Arial" w:cs="Arial" w:eastAsia="Arial" w:hAnsi="Arial"/>
          <w:sz w:val="21"/>
          <w:szCs w:val="21"/>
          <w:color w:val="auto"/>
          <w:vertAlign w:val="superscript"/>
        </w:rPr>
      </w:pPr>
    </w:p>
    <w:p>
      <w:pPr>
        <w:ind w:firstLine="8"/>
        <w:spacing w:after="0" w:line="282" w:lineRule="auto"/>
        <w:tabs>
          <w:tab w:leader="none" w:pos="247"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Freska - A member of the Company's board of directors is a majority shareholder of Freska Produce International, LLC ("Freska"). The Company had avocado sales to Freska and a corresponding receivable for such sales.</w:t>
      </w:r>
    </w:p>
    <w:p>
      <w:pPr>
        <w:spacing w:after="0" w:line="188" w:lineRule="exact"/>
        <w:rPr>
          <w:rFonts w:ascii="Arial" w:cs="Arial" w:eastAsia="Arial" w:hAnsi="Arial"/>
          <w:sz w:val="20"/>
          <w:szCs w:val="20"/>
          <w:color w:val="auto"/>
          <w:vertAlign w:val="superscript"/>
        </w:rPr>
      </w:pPr>
    </w:p>
    <w:p>
      <w:pPr>
        <w:ind w:firstLine="8"/>
        <w:spacing w:after="0" w:line="317" w:lineRule="auto"/>
        <w:tabs>
          <w:tab w:leader="none" w:pos="24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Third party growers - A member of the Company's board of directors markets lemons through the Company and the Company had payments due to the member for such lemon procurement.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effective tax rate for the six months ended April 30, 2021 was lower than the federal statutory tax rate of 21% mainly due to foreign jurisdictions which are taxed at different rates, state taxes, and nondeductible tax items. The Company has no material uncertain tax positions as of April 30, 2021. The Company recognizes interest expense and penalties related to income tax matters as a component of income tax expense. There was no accrued interest or penalties associated with uncertain tax positions as of April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Plans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Plan is funded consistent with the funding requirements of federal law and regulations. There were no funding contributions during the six months ended April 30, 2021 and 2020.</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pension cost for the Plan for the three and six months ended April 30, 2021 and 2020 were as follows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8"/>
                <w:szCs w:val="18"/>
                <w:color w:val="auto"/>
              </w:rPr>
            </w:pPr>
          </w:p>
        </w:tc>
        <w:tc>
          <w:tcPr>
            <w:tcW w:w="256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4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April 30,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900" w:type="dxa"/>
            <w:vAlign w:val="bottom"/>
            <w:tcBorders>
              <w:bottom w:val="single" w:sz="8" w:color="auto"/>
            </w:tcBorders>
          </w:tcPr>
          <w:p>
            <w:pPr>
              <w:spacing w:after="0"/>
              <w:rPr>
                <w:sz w:val="19"/>
                <w:szCs w:val="19"/>
                <w:color w:val="auto"/>
              </w:rPr>
            </w:pPr>
          </w:p>
        </w:tc>
      </w:tr>
      <w:tr>
        <w:trPr>
          <w:trHeight w:val="223"/>
        </w:trPr>
        <w:tc>
          <w:tcPr>
            <w:tcW w:w="54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0"/>
        </w:trPr>
        <w:tc>
          <w:tcPr>
            <w:tcW w:w="5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ind w:right="7320" w:firstLine="8"/>
        <w:spacing w:after="0" w:line="534" w:lineRule="auto"/>
        <w:tabs>
          <w:tab w:leader="none" w:pos="2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and Treasury Stock Stock-based Compensation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stock-based compensation plan (the “Stock Plan”) that allows for the grant of common stock of the Company to members of management, key executives and non-employee directors. The fair value of such awards is based on the fair value of the Company’s stock on the date of grant and all are classified as equity awards.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restricted stock grants are made to management each December under the Stock Plan based on the achievement of certain annual financial performance and other criteria achieved during the previous fiscal year (“Performance Awards”). The performance grants are based on a percentage of the employee’s base salary divided by the stock price on the grant date once the performance criteria has been met, and generally vest over a two-year period as service is provided. There were no shares of common stock granted to management under the Stock Plan for fiscal year 2020 performance because the financial performance and other criteria were not met.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Awards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restricted stock grants are made to key executives under the Stock Plan (“Executive Awards”). These grants generally vest over a three to five-year period as service is provided. During December 2020, the Company granted 95,000 shares of common stock with a per share price of $15.26 to key executives under the Stock Plan. The related compensation expense of approximately $1,450,000 will be recognized equally over the next three years as the shares vest.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Awards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issues shares of common stock to non-employee directors under the Stock Plan on an annual basis that vest upon grant (“Director Awards”). During January 2021 and 2020, 27,815 and 17,841 shares, respectively, of common stock were granted as Director Awards. The Company recognized $469,000 and $358,000 of stock-based compensation to non-employee directors during the six months ended April 30, 2021 and 2020, respectively.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January 31, 2021 and 2020, members of management exchanged 46,993 and 11,314 shares, respectively, of common stock with fair values of $701,000 and $213,000, respectively, at the date of the exchanges, for the payment of payroll taxes associated with the vesting of shares under the Company’s stock-based compensation programs.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12, 2020, the Board of Directors of the Company approved a share repurchase program authorizing the Company to repurchase up to $10,000,000 of its outstanding shares of common stock through March 2021. During fiscal year 2020, the Company repurchased 250,977 shares under the share repurchase program for approximately $3,493,000. This program expired in March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harvesting expenses and third-party grower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 costs of oranges, specialty citrus and other crops.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related to rental operations are included in “Corporate and Other.” Other agribusiness revenues consisted of oranges of $1,404,000 and $2,495,000 and specialty citrus and other crops of $1,175,000 and $3,024,000 for the three and six months ended April 30, 2021, respectively. Other agribusiness revenues consisted of oranges of $2,667,000 and $4,939,000 and specialty citrus and other crops of $1,152,000 and $3,044,000 for the three and six months ended April 30, 2020, respectively.</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total other income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April 30,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29"/>
              <w:spacing w:after="0"/>
              <w:rPr>
                <w:sz w:val="20"/>
                <w:szCs w:val="20"/>
                <w:color w:val="auto"/>
              </w:rPr>
            </w:pPr>
            <w:r>
              <w:rPr>
                <w:rFonts w:ascii="Arial" w:cs="Arial" w:eastAsia="Arial" w:hAnsi="Arial"/>
                <w:sz w:val="13"/>
                <w:szCs w:val="13"/>
                <w:b w:val="1"/>
                <w:bCs w:val="1"/>
                <w:color w:val="auto"/>
              </w:rPr>
              <w:t>Fresh</w:t>
            </w:r>
          </w:p>
        </w:tc>
        <w:tc>
          <w:tcPr>
            <w:tcW w:w="180" w:type="dxa"/>
            <w:vAlign w:val="bottom"/>
          </w:tcPr>
          <w:p>
            <w:pPr>
              <w:spacing w:after="0"/>
              <w:rPr>
                <w:sz w:val="13"/>
                <w:szCs w:val="13"/>
                <w:color w:val="auto"/>
              </w:rPr>
            </w:pP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Lemon</w:t>
            </w:r>
          </w:p>
        </w:tc>
        <w:tc>
          <w:tcPr>
            <w:tcW w:w="120" w:type="dxa"/>
            <w:vAlign w:val="bottom"/>
          </w:tcPr>
          <w:p>
            <w:pPr>
              <w:spacing w:after="0"/>
              <w:rPr>
                <w:sz w:val="13"/>
                <w:szCs w:val="13"/>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Pr>
          <w:p>
            <w:pPr>
              <w:spacing w:after="0"/>
              <w:rPr>
                <w:sz w:val="13"/>
                <w:szCs w:val="13"/>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3"/>
                <w:szCs w:val="13"/>
                <w:color w:val="auto"/>
              </w:rPr>
            </w:pPr>
          </w:p>
        </w:tc>
        <w:tc>
          <w:tcPr>
            <w:tcW w:w="900" w:type="dxa"/>
            <w:vAlign w:val="bottom"/>
          </w:tcPr>
          <w:p>
            <w:pPr>
              <w:jc w:val="right"/>
              <w:ind w:right="24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3"/>
                <w:szCs w:val="13"/>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820" w:type="dxa"/>
            <w:vAlign w:val="bottom"/>
          </w:tcPr>
          <w:p>
            <w:pPr>
              <w:jc w:val="right"/>
              <w:ind w:right="109"/>
              <w:spacing w:after="0"/>
              <w:rPr>
                <w:sz w:val="20"/>
                <w:szCs w:val="20"/>
                <w:color w:val="auto"/>
              </w:rPr>
            </w:pPr>
            <w:r>
              <w:rPr>
                <w:rFonts w:ascii="Arial" w:cs="Arial" w:eastAsia="Arial" w:hAnsi="Arial"/>
                <w:sz w:val="13"/>
                <w:szCs w:val="13"/>
                <w:b w:val="1"/>
                <w:bCs w:val="1"/>
                <w:color w:val="auto"/>
                <w:w w:val="99"/>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2"/>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32,600</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43,989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45,132</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9,282</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(9,282)</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32,600</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15,385</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43,989</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45,132</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28,629</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10,874</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(9,282)</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1,433</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2,503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34,157</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6,039</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40,196</w:t>
            </w: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2,285</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2,552</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3,971</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(5,163)</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2,384</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April 30, 2020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Arial" w:cs="Arial" w:eastAsia="Arial" w:hAnsi="Arial"/>
                <w:sz w:val="13"/>
                <w:szCs w:val="13"/>
                <w:b w:val="1"/>
                <w:bCs w:val="1"/>
                <w:color w:val="auto"/>
              </w:rPr>
              <w:t>Fresh</w:t>
            </w:r>
          </w:p>
        </w:tc>
        <w:tc>
          <w:tcPr>
            <w:tcW w:w="180" w:type="dxa"/>
            <w:vAlign w:val="bottom"/>
          </w:tcPr>
          <w:p>
            <w:pPr>
              <w:spacing w:after="0"/>
              <w:rPr>
                <w:sz w:val="12"/>
                <w:szCs w:val="12"/>
                <w:color w:val="auto"/>
              </w:rPr>
            </w:pP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Lemon</w:t>
            </w:r>
          </w:p>
        </w:tc>
        <w:tc>
          <w:tcPr>
            <w:tcW w:w="1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2"/>
                <w:szCs w:val="12"/>
                <w:color w:val="auto"/>
              </w:rPr>
            </w:pPr>
          </w:p>
        </w:tc>
        <w:tc>
          <w:tcPr>
            <w:tcW w:w="900" w:type="dxa"/>
            <w:vAlign w:val="bottom"/>
          </w:tcPr>
          <w:p>
            <w:pPr>
              <w:jc w:val="right"/>
              <w:ind w:right="24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Arial" w:cs="Arial" w:eastAsia="Arial" w:hAnsi="Arial"/>
                <w:sz w:val="13"/>
                <w:szCs w:val="13"/>
                <w:b w:val="1"/>
                <w:bCs w:val="1"/>
                <w:color w:val="auto"/>
                <w:w w:val="99"/>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2"/>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38,439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39,571</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8,454</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(8,454)</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28,715</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12,337</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(8,454)</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38,439</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39,571</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26,961</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10,328</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(8,454)</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1,561</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3,393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33,789</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6,182</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39,971</w:t>
            </w: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2,160</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2,433</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1,754</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(5,323)</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six months ended April 30, 2021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Arial" w:cs="Arial" w:eastAsia="Arial" w:hAnsi="Arial"/>
                <w:sz w:val="13"/>
                <w:szCs w:val="13"/>
                <w:b w:val="1"/>
                <w:bCs w:val="1"/>
                <w:color w:val="auto"/>
              </w:rPr>
              <w:t>Fresh</w:t>
            </w:r>
          </w:p>
        </w:tc>
        <w:tc>
          <w:tcPr>
            <w:tcW w:w="180" w:type="dxa"/>
            <w:vAlign w:val="bottom"/>
          </w:tcPr>
          <w:p>
            <w:pPr>
              <w:spacing w:after="0"/>
              <w:rPr>
                <w:sz w:val="12"/>
                <w:szCs w:val="12"/>
                <w:color w:val="auto"/>
              </w:rPr>
            </w:pP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Lemon</w:t>
            </w:r>
          </w:p>
        </w:tc>
        <w:tc>
          <w:tcPr>
            <w:tcW w:w="1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2"/>
                <w:szCs w:val="12"/>
                <w:color w:val="auto"/>
              </w:rPr>
            </w:pPr>
          </w:p>
        </w:tc>
        <w:tc>
          <w:tcPr>
            <w:tcW w:w="900" w:type="dxa"/>
            <w:vAlign w:val="bottom"/>
          </w:tcPr>
          <w:p>
            <w:pPr>
              <w:jc w:val="right"/>
              <w:ind w:right="24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Arial" w:cs="Arial" w:eastAsia="Arial" w:hAnsi="Arial"/>
                <w:sz w:val="13"/>
                <w:szCs w:val="13"/>
                <w:b w:val="1"/>
                <w:bCs w:val="1"/>
                <w:color w:val="auto"/>
                <w:w w:val="99"/>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2"/>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61,900</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2,281</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83,407</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15,967</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(15,967)</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61,900</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26,967</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81,126</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2,281</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83,407</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58,136</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20,405</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(15,967)</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1,433</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4,876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68,883</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12,727</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81,610</w:t>
            </w: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4,497</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5,053</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3,764</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(11,002)</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six months ended April 30, 2020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249"/>
              <w:spacing w:after="0"/>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3"/>
                <w:szCs w:val="13"/>
                <w:color w:val="auto"/>
              </w:rPr>
            </w:pP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Lemon</w:t>
            </w:r>
          </w:p>
        </w:tc>
        <w:tc>
          <w:tcPr>
            <w:tcW w:w="120" w:type="dxa"/>
            <w:vAlign w:val="bottom"/>
          </w:tcPr>
          <w:p>
            <w:pPr>
              <w:spacing w:after="0"/>
              <w:rPr>
                <w:sz w:val="13"/>
                <w:szCs w:val="13"/>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Pr>
          <w:p>
            <w:pPr>
              <w:spacing w:after="0"/>
              <w:rPr>
                <w:sz w:val="13"/>
                <w:szCs w:val="13"/>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3"/>
                <w:szCs w:val="13"/>
                <w:color w:val="auto"/>
              </w:rPr>
            </w:pPr>
          </w:p>
        </w:tc>
        <w:tc>
          <w:tcPr>
            <w:tcW w:w="900" w:type="dxa"/>
            <w:vAlign w:val="bottom"/>
          </w:tcPr>
          <w:p>
            <w:pPr>
              <w:jc w:val="right"/>
              <w:ind w:right="24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3"/>
                <w:szCs w:val="13"/>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820" w:type="dxa"/>
            <w:vAlign w:val="bottom"/>
          </w:tcPr>
          <w:p>
            <w:pPr>
              <w:jc w:val="right"/>
              <w:ind w:right="109"/>
              <w:spacing w:after="0"/>
              <w:rPr>
                <w:sz w:val="20"/>
                <w:szCs w:val="20"/>
                <w:color w:val="auto"/>
              </w:rPr>
            </w:pPr>
            <w:r>
              <w:rPr>
                <w:rFonts w:ascii="Arial" w:cs="Arial" w:eastAsia="Arial" w:hAnsi="Arial"/>
                <w:sz w:val="13"/>
                <w:szCs w:val="13"/>
                <w:b w:val="1"/>
                <w:bCs w:val="1"/>
                <w:color w:val="auto"/>
                <w:w w:val="99"/>
              </w:rPr>
              <w:t>Corporate</w:t>
            </w:r>
          </w:p>
        </w:tc>
        <w:tc>
          <w:tcPr>
            <w:tcW w:w="220" w:type="dxa"/>
            <w:vAlign w:val="bottom"/>
          </w:tcPr>
          <w:p>
            <w:pPr>
              <w:spacing w:after="0"/>
              <w:rPr>
                <w:sz w:val="13"/>
                <w:szCs w:val="13"/>
                <w:color w:val="auto"/>
              </w:rPr>
            </w:pPr>
          </w:p>
        </w:tc>
        <w:tc>
          <w:tcPr>
            <w:tcW w:w="74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Lemons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2"/>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60,772</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81,227</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15,559</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(15,559)</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60,772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23,536</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(15,559)</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78,922</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81,227</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61,312</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18,937</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(15,559)</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2,034</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7,324</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74,048</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13,480</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87,528</w:t>
            </w: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4,444</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4,998</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(11,729)</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(11,299)</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4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June 2021, the Company entered into an agreement, effective March 1, 2021, to sell and license certain assets of Trapani Fresh to its 49% partner in the joint venture, FGF. These assets consist of packing supplies and certain intangible assets related to the packing, marketing, and selling business of Trapani Fresh. The total consideration to be received is approximately $3,800,000 over an 8-year term in 16 equal installments. There was no material gain or loss recognized on the transaction. Trapani Fresh continues to own and operate the 1,200-acre Santa Clara ranch and now sells the lemons it grows to FGF, who packs, markets, and sells the fruit to its export customers.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Except as described in the notes to the interim consolidated financial statements, no other subsequent events occurred that require recognition or disclosure in the unaudited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15,400 acres of land, water resources and other assets to maximize long-term stockholder value. Our current operations consist of fruit production, sales and marketing, rental operations, real estate and capital investment activities.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Luis Obispo and San Bernardino Counties in California, Yuma County in Arizona, La Serena, Chile and Jujuy, Argentina, which collectively consist of approximately 6,000 acres of lemons, 900 acres of avocados, 1,400 acres of oranges and 900 acres of specialty citrus and other crops. We also operate our own packinghouses in Santa Paula and Oxnard,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100% interest in Agricola San Pablo, SpA ("San Pablo"), a lemon and orange orchard, all of which are located near La Serena, Chile. We have a 51% interest in a joint venture, Trapani Fresh Consorcio de Cooperacion ("Trapani Fresh"), a lemon orchard in Argentina.</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and single-family homes comprising 256 completed rental units and another approximately 1,000 units in various stages of planning and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three business divisions: agribusiness, rental operations and real estate development. The agribusiness division is comprised of four reportable operating segments: fresh lemons, lemon packing, avocados and other agribusiness, which includes oranges, specialty citrus and other crops.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Summary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market and sell lemons directly to our food service, wholesale and retail customers throughout the United States, Canada, Asia, Australia and certain other international markets. We are one of the largest growers of lemons and avocados in the United States. We sell a majority of our avocados to Calavo. Additionally, we sell our oranges and specialty citrus to Sunkist-licensed and other third-party packinghouses, our pistachios to a roaster, packager and marketer of nuts, and our wine grapes to various wine producers.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agribusiness division has been seasonal in nature with quarterly revenue fluctuating depending on the timing and variety of crops being harvested. Cultural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5" w:name="page26"/>
    <w:bookmarkEnd w:id="25"/>
    <w:p>
      <w:pPr>
        <w:jc w:val="both"/>
        <w:spacing w:after="0" w:line="291" w:lineRule="auto"/>
        <w:rPr>
          <w:sz w:val="20"/>
          <w:szCs w:val="20"/>
          <w:color w:val="auto"/>
        </w:rPr>
      </w:pPr>
      <w:r>
        <w:rPr>
          <w:rFonts w:ascii="Arial" w:cs="Arial" w:eastAsia="Arial" w:hAnsi="Arial"/>
          <w:sz w:val="16"/>
          <w:szCs w:val="16"/>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avocado producing business is important to us, yet it faces constraints on growth as there is little additional land with sufficient water that can be cost-effectively acquired to support new avocado orchards in Southern California. Also, avocado production is cyclical as avocados typically bear fruit on a bi-annual basis with large crops in one year followed by smaller crops the next year. While our avocado production can be volatile, the profitability and cash flow realized from our avocados helps to diversify our fruit production base.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growing lemons and avocados, we grow oranges, specialty citrus and other crops, typically utilizing land not suitable for growing high quality lemons. We regularly monitor the demand for the fruit we grow in the ever-changing marketplace to identify trends. For instance, while per capita consumption of oranges in the United States has been decreasing since 2000 primarily as a result of consumers increasing their consumption of mandarin oranges and other specialty citrus, the international market demand for U.S. oranges has increased. As a result, we have focused our orange production on high quality late season Navel oranges primarily for export to Japan, China and Korea, which are typically highly profitable niche markets. We produce our specialty citrus and other crops in response to identified consumer trends and believe that we are a leader in the niche production and sale of certain of these high margin fruits. We carefully monitor the respective markets of specialty citrus and other crops and we believe that demand for the types and varieties of specialty citrus and other crops that we grow will continue to increase throughout the world.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Summary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rental operations division includes our residential and commercial rentals, leased land operations and organic recycling. Our residential rental units generate reliable cash flows that we use to partially fund the operating costs of our business and provide affordable housing to many of our employees, including our agribusiness employees. This unique employment benefit helps us maintain a dependable, long-term employee base. In addition, our leased land business provides us with a typically profitable diversification. Revenue from rental operations is generally level throughout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Summary</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invest in real estate investment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and water from local water districts in Tulare County and ground water in San Bernardino County. Following our acquisition of Associated Citrus Packers, Inc. ("Associated"), we began using federal project water in Arizona from the Colorado River through the YMIDD. We also have acquired water rights in Chile related to our acquisitions of PDA and San Pablo and in Argentina related to our acquisition of Trapani Fresh.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6" w:name="page27"/>
    <w:bookmarkEnd w:id="26"/>
    <w:p>
      <w:pPr>
        <w:jc w:val="both"/>
        <w:spacing w:after="0" w:line="254" w:lineRule="auto"/>
        <w:rPr>
          <w:sz w:val="20"/>
          <w:szCs w:val="20"/>
          <w:color w:val="auto"/>
        </w:rPr>
      </w:pPr>
      <w:r>
        <w:rPr>
          <w:rFonts w:ascii="Arial" w:cs="Arial" w:eastAsia="Arial" w:hAnsi="Arial"/>
          <w:sz w:val="18"/>
          <w:szCs w:val="18"/>
          <w:color w:val="auto"/>
        </w:rPr>
        <w:t>We use a combination of ground water provided by wells that derive water from the San Joaquin Valley Basin and water from various water districts and irrigation districts in Tulare County, California, which is in the agriculturally productive San Joaquin Valley. We use ground water provided by wells which derive water from the Cadiz Valley Basin at the Cadiz Ranch in San Bernardino County, California. Our Windfall Farms property located in San Luis Obispo County, California obtains water from wells that derive water from the Paso Robles Basin. Our Associated farming operations in Yuma, Arizona source water from the Colorado River through the YMIDD, where we have access to approximately 11,700-acre feet of Class 3 Colorado River water rights. We use ground water provided by wells and surface water for our PDA and San Pablo farming operations in La Serena, Chile and our Trapani Fresh farming operations in Argentina.</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California has experienced below average precipitation since 2018 and according to the U.S. Drought Monitor, California is experiencing severe drought conditions as of April 30, 2021. In May 2021, the California Governor declared a drought state of emergency for 41 of the 58 counties. Federal officials who oversee the Central Valley Project, California’s largest water delivery system, allocated 5% of the contracted amount of water to San Joaquin Valley farmers in 2021 compared to 100% in 2017 through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equal partners in a joint venture with The Lewis Group of Companies (“Lewis”) for the residential development of our East Area I real estate development project. To consummate the transaction, we formed Limoneira Lewis Community Builders, LLC (the "LLCB" or "Joint Venture") as the development entity. The first phase of the project broke ground to commence mass grading in November 2017. The Joint Venture has closed on lot sales representing 464 units from inception through April 30, 2021, including 110 units in fiscal year 2021. For further information see Note 5 – Real Estate Development of the notes to consolidated financial statements included in this Quarterly Report on Form 10-Q.</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December 2020, we received $5.0 million of federal income tax refunds related to the Coronavirus Aid Relief and Economic Security Act and we expect to receive an additional $0.9 million of California state refunds in fiscal year 2021.</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12, 2020, the Board of Directors of our Company approved a share repurchase program authorizing us to repurchase up to $10.0 million of our outstanding shares of common stock through March 2021. During fiscal year 2020, we purchased 250,977 shares under the share repurchase program for approximately $3.5 million. This program expired in March 2021.</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23, 2021, we declared a cash dividend of $0.075 per common share paid on April 16, 2021, in the aggregate amount of $1.3 million to stockholders of record as of April 5,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global spread of the novel coronavirus (COVID-19) in the past year has negatively impacted the global economy, disrupted global supply chains and created significant volatility and disruption of financial markets. The impact of this pandemic has created significant uncertainty in the global economy and has affected our business, employees, suppliers and customers.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COVID-19 pandemic has had an adverse impact on the industries and markets in which we conduct business. In particular, the United States lemon market has seen a significant decline in volume, with lemon demand falling since wide spread shelter in place orders were issued in mid-March 2020, resulting in a significant market oversupply. The export market for fresh product has also significantly declined due to COVID-19 impacts.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decline in demand for our products beginning the second quarter of fiscal year 2020, which we believe was a result of the COVID-19 pandemic, negatively impacted our sales and profitability for the second, third and fourth quarters of fiscal year 2020 and in the first half of fiscal year 2021. We also expect an adverse impact on our sales and profitability in future periods. These impacts are expected to be material. However, the duration of these trends and the magnitude of such impacts cannot be precisely estimated at this time, as they are affected by a number of factors, many of which are outside management’s control, including, but not limited, to those presented in Item 1A. Risk Factors of our Annual Report on Form 10-K for the year ended October 31, 2020. Although subject to unforeseen changes that may arise as the COVID-19 pandemic continues to unfold, we currently expect improvement in the second half of fiscal year 2021.</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took proactive actions early on to protect the health of our employees and their families, including curtailing business travel and encouraging video conferencing whenever possible. In addition, as the COVID-19 pandemic worsened throughout the spring of 2020, we allowed personnel to work remotely to the extent possible. While we believe we have responded appropriately to mitigate the impacts of the COVID-19 pandemic, as the situation evolves, we will continue to analyze additional mitigation measures that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7" w:name="page28"/>
    <w:bookmarkEnd w:id="27"/>
    <w:p>
      <w:pPr>
        <w:jc w:val="both"/>
        <w:spacing w:after="0" w:line="279" w:lineRule="auto"/>
        <w:rPr>
          <w:sz w:val="20"/>
          <w:szCs w:val="20"/>
          <w:color w:val="auto"/>
        </w:rPr>
      </w:pPr>
      <w:r>
        <w:rPr>
          <w:rFonts w:ascii="Arial" w:cs="Arial" w:eastAsia="Arial" w:hAnsi="Arial"/>
          <w:sz w:val="17"/>
          <w:szCs w:val="17"/>
          <w:color w:val="auto"/>
        </w:rPr>
        <w:t>may be needed to preserve the health and safety of our workforce and our customers and the ongoing continuity of our business operations. Those measures might include modifying workspaces, continuing social distancing policies, implementing new personal protective equipment or health screening policies at our facilities, or such other industry best practices needed to continue to maintain a healthy and safe environment for our employees amidst the COVID-19 pandemic. In addition, in February 2021 the COVID-19 vaccine was offered to our employees.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economic uncertainty as a result of the COVID-19 pandemic over the past year, we have taken actions to improve our current liquidity position, including temporarily postponing capital expenditures, selling equity securities to increase cash, reducing operating costs, and substantially reducing discretionary spending.</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one of the largest growers of lemons and avocados in the United States and maintain our country's food chain infrastructure and thus are considered an essential business and permitted to remain open during the ongoing pandemic, be it at reduced volumes, in order to fulfill our customers' needs. However, there is significant uncertainty around the breadth and duration of our business disruptions related to the COVID-19 pandemic, as well as its impact on the U.S. economy, the ongoing business operations of our clients and our results of operations and financial condition. While our management team is actively monitoring the impacts of the COVID-19 pandemic and may take further actions altering our business operations that we determine are in the best interests of our employees and clients or as required by federal, state, or local authorities, the full impact of the COVID-19 pandemic on our results of operations, financial condition, or liquidity for the second half of fiscal year 2021 and beyond cannot be fully estimated at this point. The following discussions are subject to the future effects of the COVID-19 pandemic on our ongoing business operations.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5680" w:type="dxa"/>
            <w:vAlign w:val="bottom"/>
            <w:gridSpan w:val="2"/>
          </w:tcPr>
          <w:p>
            <w:pPr>
              <w:spacing w:after="0"/>
              <w:rPr>
                <w:sz w:val="20"/>
                <w:szCs w:val="20"/>
                <w:color w:val="auto"/>
              </w:rPr>
            </w:pPr>
            <w:r>
              <w:rPr>
                <w:rFonts w:ascii="Arial" w:cs="Arial" w:eastAsia="Arial" w:hAnsi="Arial"/>
                <w:sz w:val="18"/>
                <w:szCs w:val="18"/>
                <w:color w:val="auto"/>
              </w:rPr>
              <w:t>The following table shows the results of operations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4700" w:type="dxa"/>
            <w:vAlign w:val="bottom"/>
          </w:tcPr>
          <w:p>
            <w:pPr>
              <w:spacing w:after="0"/>
              <w:rPr>
                <w:sz w:val="22"/>
                <w:szCs w:val="22"/>
                <w:color w:val="auto"/>
              </w:rPr>
            </w:pPr>
          </w:p>
        </w:tc>
        <w:tc>
          <w:tcPr>
            <w:tcW w:w="332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 April 30,</w:t>
            </w:r>
          </w:p>
        </w:tc>
        <w:tc>
          <w:tcPr>
            <w:tcW w:w="320" w:type="dxa"/>
            <w:vAlign w:val="bottom"/>
          </w:tcPr>
          <w:p>
            <w:pPr>
              <w:spacing w:after="0"/>
              <w:rPr>
                <w:sz w:val="22"/>
                <w:szCs w:val="22"/>
                <w:color w:val="auto"/>
              </w:rPr>
            </w:pPr>
          </w:p>
        </w:tc>
        <w:tc>
          <w:tcPr>
            <w:tcW w:w="29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 April 30,</w:t>
            </w:r>
          </w:p>
        </w:tc>
      </w:tr>
      <w:tr>
        <w:trPr>
          <w:trHeight w:val="223"/>
        </w:trPr>
        <w:tc>
          <w:tcPr>
            <w:tcW w:w="47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Agribusiness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43,989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38,439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81,126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78,922</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45,132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81,227</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Agribusiness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36,442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78,492</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11,648</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92,526</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Agribusiness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Other operations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(11,648)</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(11,299)</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patronage dividends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Equity in earnings (losses) of investments, net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stock in Calavo Growers, Inc.</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Income (loss) before income tax (provision) benefit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(18,851)</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(12,210)</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income (loss) attributable to Limoneira Company</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(11,310)</w:t>
            </w:r>
          </w:p>
        </w:tc>
      </w:tr>
      <w:tr>
        <w:trPr>
          <w:trHeight w:val="21"/>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gain or loss on stock in Calavo and sale and disposal of property assets when applicable, is an important measure to evaluate our results of operations between periods on a more comparable basis. Adjusted EBITDA in previous periods also excluded LLCB earnings in equity investment which is no longer excluded due to management’s anticipation of future cash distributions related to the investment in LLCB. Adjusted EBITDA for prior periods has been restated to conform to the current presentation.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EBITDA and adjusted EBITDA are summarized and reconciled to net income (loss) attributable to Limoneira Company which management considers to be the most directly comparable financial measure calculated and presented in accordance with GAAP as follows (in thousands):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02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 April 30,</w:t>
            </w:r>
          </w:p>
        </w:tc>
        <w:tc>
          <w:tcPr>
            <w:tcW w:w="340" w:type="dxa"/>
            <w:vAlign w:val="bottom"/>
          </w:tcPr>
          <w:p>
            <w:pPr>
              <w:spacing w:after="0"/>
              <w:rPr>
                <w:sz w:val="20"/>
                <w:szCs w:val="20"/>
                <w:color w:val="auto"/>
              </w:rPr>
            </w:pPr>
          </w:p>
        </w:tc>
        <w:tc>
          <w:tcPr>
            <w:tcW w:w="29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Six Months Ended April 30,</w:t>
            </w:r>
          </w:p>
        </w:tc>
      </w:tr>
      <w:tr>
        <w:trPr>
          <w:trHeight w:val="223"/>
        </w:trPr>
        <w:tc>
          <w:tcPr>
            <w:tcW w:w="496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Limoneira Company</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(11,310)</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patronage dividends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(6,641)</w:t>
            </w: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EBITDA</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6,056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(11,956)</w:t>
            </w: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stock in Calavo Growers, Inc.</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loss on sale and disposal of property assets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April 30, 2021 Compared to the Three Months Ended April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Total net revenues for the second quarter of fiscal year 2021 were $45.1 million compared to $39.6 million for the same period of fiscal year 2020. The 14% increase of $5.5 million was primarily the result of increased agribusiness revenues, as detailed below ($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6540" w:type="dxa"/>
            <w:vAlign w:val="bottom"/>
            <w:tcBorders>
              <w:bottom w:val="single" w:sz="8" w:color="auto"/>
            </w:tcBorders>
            <w:gridSpan w:val="9"/>
          </w:tcPr>
          <w:p>
            <w:pPr>
              <w:ind w:left="900"/>
              <w:spacing w:after="0"/>
              <w:rPr>
                <w:sz w:val="20"/>
                <w:szCs w:val="20"/>
                <w:color w:val="auto"/>
              </w:rPr>
            </w:pPr>
            <w:r>
              <w:rPr>
                <w:rFonts w:ascii="Arial" w:cs="Arial" w:eastAsia="Arial" w:hAnsi="Arial"/>
                <w:sz w:val="18"/>
                <w:szCs w:val="18"/>
                <w:b w:val="1"/>
                <w:bCs w:val="1"/>
                <w:color w:val="auto"/>
              </w:rPr>
              <w:t>Agribusiness Revenues for the Three Months Ended April 30,</w:t>
            </w:r>
          </w:p>
        </w:tc>
      </w:tr>
      <w:tr>
        <w:trPr>
          <w:trHeight w:val="223"/>
        </w:trPr>
        <w:tc>
          <w:tcPr>
            <w:tcW w:w="46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160" w:type="dxa"/>
            <w:vAlign w:val="bottom"/>
            <w:tcBorders>
              <w:bottom w:val="single" w:sz="8" w:color="auto"/>
            </w:tcBorders>
          </w:tcPr>
          <w:p>
            <w:pPr>
              <w:spacing w:after="0"/>
              <w:rPr>
                <w:sz w:val="19"/>
                <w:szCs w:val="19"/>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38,703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6,105</w:t>
            </w:r>
          </w:p>
        </w:tc>
        <w:tc>
          <w:tcPr>
            <w:tcW w:w="11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88"/>
              </w:rPr>
              <w:t>19%</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Avocados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685</w:t>
            </w:r>
          </w:p>
        </w:tc>
        <w:tc>
          <w:tcPr>
            <w:tcW w:w="1160" w:type="dxa"/>
            <w:vAlign w:val="bottom"/>
          </w:tcPr>
          <w:p>
            <w:pPr>
              <w:jc w:val="center"/>
              <w:ind w:right="350"/>
              <w:spacing w:after="0"/>
              <w:rPr>
                <w:sz w:val="20"/>
                <w:szCs w:val="20"/>
                <w:color w:val="auto"/>
              </w:rPr>
            </w:pPr>
            <w:r>
              <w:rPr>
                <w:rFonts w:ascii="Arial" w:cs="Arial" w:eastAsia="Arial" w:hAnsi="Arial"/>
                <w:sz w:val="18"/>
                <w:szCs w:val="18"/>
                <w:color w:val="auto"/>
                <w:w w:val="88"/>
              </w:rPr>
              <w:t>34%</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Oranges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(1,263)</w:t>
            </w:r>
          </w:p>
        </w:tc>
        <w:tc>
          <w:tcPr>
            <w:tcW w:w="11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1"/>
              </w:rPr>
              <w:t>(47)%</w:t>
            </w: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Specialty citrus and other crops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23</w:t>
            </w:r>
          </w:p>
        </w:tc>
        <w:tc>
          <w:tcPr>
            <w:tcW w:w="11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2"/>
              </w:rPr>
              <w:t>2%</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Agribusiness revenues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5,550</w:t>
            </w:r>
          </w:p>
        </w:tc>
        <w:tc>
          <w:tcPr>
            <w:tcW w:w="1160" w:type="dxa"/>
            <w:vAlign w:val="bottom"/>
            <w:tcBorders>
              <w:bottom w:val="single" w:sz="8" w:color="auto"/>
            </w:tcBorders>
            <w:shd w:val="clear" w:color="auto" w:fill="CCEEFF"/>
          </w:tcPr>
          <w:p>
            <w:pPr>
              <w:jc w:val="center"/>
              <w:ind w:right="350"/>
              <w:spacing w:after="0"/>
              <w:rPr>
                <w:sz w:val="20"/>
                <w:szCs w:val="20"/>
                <w:color w:val="auto"/>
              </w:rPr>
            </w:pPr>
            <w:r>
              <w:rPr>
                <w:rFonts w:ascii="Arial" w:cs="Arial" w:eastAsia="Arial" w:hAnsi="Arial"/>
                <w:sz w:val="18"/>
                <w:szCs w:val="18"/>
                <w:color w:val="auto"/>
                <w:w w:val="88"/>
              </w:rPr>
              <w:t>14%</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left="340" w:hanging="332"/>
        <w:spacing w:after="0" w:line="275" w:lineRule="auto"/>
        <w:tabs>
          <w:tab w:leader="none" w:pos="335" w:val="left"/>
        </w:tabs>
        <w:numPr>
          <w:ilvl w:val="0"/>
          <w:numId w:val="9"/>
        </w:numPr>
        <w:rPr>
          <w:rFonts w:ascii="Arial" w:cs="Arial" w:eastAsia="Arial" w:hAnsi="Arial"/>
          <w:sz w:val="17"/>
          <w:szCs w:val="17"/>
          <w:color w:val="auto"/>
        </w:rPr>
      </w:pPr>
      <w:r>
        <w:rPr>
          <w:rFonts w:ascii="Arial" w:cs="Arial" w:eastAsia="Arial" w:hAnsi="Arial"/>
          <w:sz w:val="17"/>
          <w:szCs w:val="17"/>
          <w:color w:val="auto"/>
        </w:rPr>
        <w:t>Lemons: The increase in the second quarter of fiscal year 2021 was primarily the result of increased volume and higher prices of fresh lemons sold compared to the same period in fiscal year 2020. During the second quarter of fiscal years 2021 and 2020, fresh lemon sales were $28.7 million and $25.3 million on, in aggregate, 1,528,000 and 1,475,000 cartons of lemons sold at average per carton prices of $18.79 and $17.14, respectively. Lemon revenues in the second quarter of fiscal years 2021 and 2020 included $6.1 million and $3.9 million shipping and handling, $1.6 million and $1.6 million lemon by-products and $2.3 million and $1.9 million other lemon sales, respectively.</w:t>
      </w:r>
    </w:p>
    <w:p>
      <w:pPr>
        <w:spacing w:after="0" w:line="14"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Avocados: The increase in the second quarter of fiscal year 2021 was primarily the result of increased volume of avocados sold partially offset by lower prices compared to the same period of fiscal year 2020. During the second quarter of fiscal years 2021 and 2020, 2,142,000 and 1,233,000 pounds of avocados were sold at an average per pound price of $1.26 and $1.64, respectively.</w:t>
      </w:r>
    </w:p>
    <w:p>
      <w:pPr>
        <w:spacing w:after="0" w:line="21" w:lineRule="exact"/>
        <w:rPr>
          <w:rFonts w:ascii="Arial" w:cs="Arial" w:eastAsia="Arial" w:hAnsi="Arial"/>
          <w:sz w:val="18"/>
          <w:szCs w:val="18"/>
          <w:color w:val="auto"/>
        </w:rPr>
      </w:pPr>
    </w:p>
    <w:p>
      <w:pPr>
        <w:jc w:val="both"/>
        <w:ind w:left="340" w:hanging="332"/>
        <w:spacing w:after="0" w:line="299" w:lineRule="auto"/>
        <w:tabs>
          <w:tab w:leader="none" w:pos="335" w:val="left"/>
        </w:tabs>
        <w:numPr>
          <w:ilvl w:val="0"/>
          <w:numId w:val="9"/>
        </w:numPr>
        <w:rPr>
          <w:rFonts w:ascii="Arial" w:cs="Arial" w:eastAsia="Arial" w:hAnsi="Arial"/>
          <w:sz w:val="16"/>
          <w:szCs w:val="16"/>
          <w:color w:val="auto"/>
        </w:rPr>
      </w:pPr>
      <w:r>
        <w:rPr>
          <w:rFonts w:ascii="Arial" w:cs="Arial" w:eastAsia="Arial" w:hAnsi="Arial"/>
          <w:sz w:val="16"/>
          <w:szCs w:val="16"/>
          <w:color w:val="auto"/>
        </w:rPr>
        <w:t>Oranges: The decrease in the second quarter of fiscal year 2021 was primarily the result of decreased volume of oranges sold partially offset by higher prices compared to the same period in fiscal year 2020. In the second quarter of fiscal years 2021 and 2020, we sold 154,000 and 356,000 40-pound carton equivalents of oranges at an average per carton price of $9.12 and $7.49, respectively. Additionally, in the second quarter of fiscal year 2021, revenues included $0.1 million in Chile and in the second quarter of fiscal year 2020, revenues included $0.6 million of oranges purchased for resale.</w:t>
      </w:r>
    </w:p>
    <w:p>
      <w:pPr>
        <w:spacing w:after="0" w:line="1"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Specialty citrus and other crops: Specialty citrus and other crops revenues in the second quarter of fiscal year 2021 were similar to the same period in fiscal year 2020. During the second quarter of fiscal years 2021 and 2020, we sold 129,000 and 125,000 40-pound carton equivalents of specialty citrus at an average per carton price of $9.11 and $9.22,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revenue in the second quarter of fiscal year 2021 was similar to the same period of fiscal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total costs and expenses in the second quarter of fiscal year 2021 were $42.7 million compared to $42.4 million in the same period of fiscal year 2020. The 1% increase of $0.3 million was primarily attributable to increases in our harvest costs and packing costs, partially offset by decreases in growing costs and third-party grower costs. Costs and expenses associated with our agribusiness division include packing costs, harvest costs, growing costs, costs related to the fruit we procure and sell for third-party growers and depreciation and amortization expense, as detailed below ($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6820" w:type="dxa"/>
            <w:vAlign w:val="bottom"/>
            <w:tcBorders>
              <w:bottom w:val="single" w:sz="8" w:color="auto"/>
            </w:tcBorders>
            <w:gridSpan w:val="9"/>
          </w:tcPr>
          <w:p>
            <w:pPr>
              <w:ind w:left="660"/>
              <w:spacing w:after="0"/>
              <w:rPr>
                <w:sz w:val="20"/>
                <w:szCs w:val="20"/>
                <w:color w:val="auto"/>
              </w:rPr>
            </w:pPr>
            <w:r>
              <w:rPr>
                <w:rFonts w:ascii="Arial" w:cs="Arial" w:eastAsia="Arial" w:hAnsi="Arial"/>
                <w:sz w:val="18"/>
                <w:szCs w:val="18"/>
                <w:b w:val="1"/>
                <w:bCs w:val="1"/>
                <w:color w:val="auto"/>
                <w:w w:val="99"/>
              </w:rPr>
              <w:t>Agribusiness Costs and Expenses for the Three Months Ended April 30,</w:t>
            </w:r>
          </w:p>
        </w:tc>
      </w:tr>
      <w:tr>
        <w:trPr>
          <w:trHeight w:val="223"/>
        </w:trPr>
        <w:tc>
          <w:tcPr>
            <w:tcW w:w="44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w w:val="94"/>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180" w:type="dxa"/>
            <w:vAlign w:val="bottom"/>
            <w:tcBorders>
              <w:bottom w:val="single" w:sz="8" w:color="auto"/>
            </w:tcBorders>
          </w:tcPr>
          <w:p>
            <w:pPr>
              <w:spacing w:after="0"/>
              <w:rPr>
                <w:sz w:val="19"/>
                <w:szCs w:val="19"/>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Packing costs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522</w:t>
            </w:r>
          </w:p>
        </w:tc>
        <w:tc>
          <w:tcPr>
            <w:tcW w:w="1180" w:type="dxa"/>
            <w:vAlign w:val="bottom"/>
            <w:shd w:val="clear" w:color="auto" w:fill="CCEEFF"/>
          </w:tcPr>
          <w:p>
            <w:pPr>
              <w:jc w:val="center"/>
              <w:ind w:right="370"/>
              <w:spacing w:after="0"/>
              <w:rPr>
                <w:sz w:val="20"/>
                <w:szCs w:val="20"/>
                <w:color w:val="auto"/>
              </w:rPr>
            </w:pPr>
            <w:r>
              <w:rPr>
                <w:rFonts w:ascii="Arial" w:cs="Arial" w:eastAsia="Arial" w:hAnsi="Arial"/>
                <w:sz w:val="18"/>
                <w:szCs w:val="18"/>
                <w:color w:val="auto"/>
                <w:w w:val="92"/>
              </w:rPr>
              <w:t>5%</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Harvest costs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916</w:t>
            </w:r>
          </w:p>
        </w:tc>
        <w:tc>
          <w:tcPr>
            <w:tcW w:w="1180" w:type="dxa"/>
            <w:vAlign w:val="bottom"/>
          </w:tcPr>
          <w:p>
            <w:pPr>
              <w:jc w:val="center"/>
              <w:ind w:right="370"/>
              <w:spacing w:after="0"/>
              <w:rPr>
                <w:sz w:val="20"/>
                <w:szCs w:val="20"/>
                <w:color w:val="auto"/>
              </w:rPr>
            </w:pPr>
            <w:r>
              <w:rPr>
                <w:rFonts w:ascii="Arial" w:cs="Arial" w:eastAsia="Arial" w:hAnsi="Arial"/>
                <w:sz w:val="18"/>
                <w:szCs w:val="18"/>
                <w:color w:val="auto"/>
                <w:w w:val="88"/>
              </w:rPr>
              <w:t>20%</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Growing costs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(99)</w:t>
            </w:r>
          </w:p>
        </w:tc>
        <w:tc>
          <w:tcPr>
            <w:tcW w:w="1180" w:type="dxa"/>
            <w:vAlign w:val="bottom"/>
            <w:shd w:val="clear" w:color="auto" w:fill="CCEEFF"/>
          </w:tcPr>
          <w:p>
            <w:pPr>
              <w:jc w:val="center"/>
              <w:ind w:right="370"/>
              <w:spacing w:after="0"/>
              <w:rPr>
                <w:sz w:val="20"/>
                <w:szCs w:val="20"/>
                <w:color w:val="auto"/>
              </w:rPr>
            </w:pPr>
            <w:r>
              <w:rPr>
                <w:rFonts w:ascii="Arial" w:cs="Arial" w:eastAsia="Arial" w:hAnsi="Arial"/>
                <w:sz w:val="18"/>
                <w:szCs w:val="18"/>
                <w:color w:val="auto"/>
                <w:w w:val="94"/>
              </w:rPr>
              <w:t>(1)%</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Third-party grower costs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10,271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11,242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(971)</w:t>
            </w:r>
          </w:p>
        </w:tc>
        <w:tc>
          <w:tcPr>
            <w:tcW w:w="1180" w:type="dxa"/>
            <w:vAlign w:val="bottom"/>
          </w:tcPr>
          <w:p>
            <w:pPr>
              <w:jc w:val="center"/>
              <w:ind w:right="370"/>
              <w:spacing w:after="0"/>
              <w:rPr>
                <w:sz w:val="20"/>
                <w:szCs w:val="20"/>
                <w:color w:val="auto"/>
              </w:rPr>
            </w:pPr>
            <w:r>
              <w:rPr>
                <w:rFonts w:ascii="Arial" w:cs="Arial" w:eastAsia="Arial" w:hAnsi="Arial"/>
                <w:sz w:val="18"/>
                <w:szCs w:val="18"/>
                <w:color w:val="auto"/>
                <w:w w:val="94"/>
              </w:rPr>
              <w:t>(9)%</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125</w:t>
            </w:r>
          </w:p>
        </w:tc>
        <w:tc>
          <w:tcPr>
            <w:tcW w:w="1180" w:type="dxa"/>
            <w:vAlign w:val="bottom"/>
            <w:tcBorders>
              <w:bottom w:val="single" w:sz="8" w:color="auto"/>
            </w:tcBorders>
            <w:shd w:val="clear" w:color="auto" w:fill="CCEEFF"/>
          </w:tcPr>
          <w:p>
            <w:pPr>
              <w:jc w:val="center"/>
              <w:ind w:right="370"/>
              <w:spacing w:after="0"/>
              <w:rPr>
                <w:sz w:val="20"/>
                <w:szCs w:val="20"/>
                <w:color w:val="auto"/>
              </w:rPr>
            </w:pPr>
            <w:r>
              <w:rPr>
                <w:rFonts w:ascii="Arial" w:cs="Arial" w:eastAsia="Arial" w:hAnsi="Arial"/>
                <w:sz w:val="18"/>
                <w:szCs w:val="18"/>
                <w:color w:val="auto"/>
                <w:w w:val="92"/>
              </w:rPr>
              <w:t>6%</w:t>
            </w: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Agribusiness costs and expenses</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36,442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35,949</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493</w:t>
            </w:r>
          </w:p>
        </w:tc>
        <w:tc>
          <w:tcPr>
            <w:tcW w:w="118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2"/>
              </w:rPr>
              <w:t>1%</w:t>
            </w:r>
          </w:p>
        </w:tc>
      </w:tr>
      <w:tr>
        <w:trPr>
          <w:trHeight w:val="21"/>
        </w:trPr>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340" w:hanging="332"/>
        <w:spacing w:after="0" w:line="25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Packing costs: Packing costs primarily consist of the costs to pack lemons for sale such as labor and benefits, cardboard cartons, fruit treatments, packing and shipping supplies and facility operating costs. In the second quarter of fiscal years 2021 and 2020, lemon packing costs were $10.9 million and $10.4 million, respectively. During the second quarter of fiscal years 2021 and 2020, we packed and sold 1,528,000 and 1,475,000 cartons of lemons at average per carton costs of $7.12 and $7.06, respectively. Additionally, in the second quarter of fiscal years 2021 and 2020, packing costs included $0.8 million and $0.7 million of shipping costs, respectively.</w:t>
      </w:r>
    </w:p>
    <w:p>
      <w:pPr>
        <w:spacing w:after="0" w:line="25" w:lineRule="exact"/>
        <w:rPr>
          <w:rFonts w:ascii="Arial" w:cs="Arial" w:eastAsia="Arial" w:hAnsi="Arial"/>
          <w:sz w:val="18"/>
          <w:szCs w:val="18"/>
          <w:color w:val="auto"/>
        </w:rPr>
      </w:pPr>
    </w:p>
    <w:p>
      <w:pPr>
        <w:ind w:left="340" w:hanging="332"/>
        <w:spacing w:after="0" w:line="298"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Harvest costs: The increase in the second quarter of fiscal year 2021 was primarily the result of increased volume of lemons and avocados harvested partially offset by decreased volume of oranges and specialty citrus harvested compared to the same period in fiscal year 2020.</w:t>
      </w:r>
    </w:p>
    <w:p>
      <w:pPr>
        <w:jc w:val="both"/>
        <w:ind w:left="340" w:hanging="332"/>
        <w:spacing w:after="0" w:line="263"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Growing costs: Growing costs, also referred to as cultural costs, consist of orchard maintenance costs such as cultivation, fertilization and soil amendments, pest control, pruning and irrigation. The decrease in the second quarter of fiscal year 2021 was primarily due to farm management decisions based on weather, harvest timing and crop conditions.</w:t>
      </w:r>
    </w:p>
    <w:p>
      <w:pPr>
        <w:spacing w:after="0" w:line="21" w:lineRule="exact"/>
        <w:rPr>
          <w:rFonts w:ascii="Arial" w:cs="Arial" w:eastAsia="Arial" w:hAnsi="Arial"/>
          <w:sz w:val="18"/>
          <w:szCs w:val="18"/>
          <w:color w:val="auto"/>
        </w:rPr>
      </w:pPr>
    </w:p>
    <w:p>
      <w:pPr>
        <w:jc w:val="both"/>
        <w:ind w:left="340" w:hanging="332"/>
        <w:spacing w:after="0" w:line="273"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Third-party grower costs: We sell lemons that we grow and lemons that we procure from other growers. The cost of procuring lemons from other growers is referred to as third-party grower costs. The decrease in the second quarter of fiscal year 2021 was primarily due to decreased volume of third-party grower lemons sold partially offset by higher prices compared to the same period of fiscal year 2020. Of the 1,528,000 and 1,475,000 cartons of lemons packed and sold during the second quarter of fiscal years 2021 and 2020, 758,000 (50%) and 882,000 (60%) were procured from third-party growers at average per carton prices of $12.92 and $11.70, respectively. Additionally, in the second quarter of fiscal year 2021 and 2020 we incurred $0.5 million and $0.9 million, respectively, of costs for purchased, packed fruit for resale.</w:t>
      </w:r>
    </w:p>
    <w:p>
      <w:pPr>
        <w:spacing w:after="0" w:line="15"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and amortization: Depreciation and amortization expense for the second quarter of fiscal year 2021 was approximately $0.1 million higher than the same period of fiscal year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expenses were $1.1 million in the second quarter of fiscal years 2021 and 2020.</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general and administrative costs and expenses were $5.2 million in the second quarter of fiscal year 2021 compared to $5.3 million in the second quarter of fiscal year 2020. The 2% decrease of $0.1 million primarily consisted of the following:</w:t>
      </w:r>
    </w:p>
    <w:p>
      <w:pPr>
        <w:spacing w:after="0" w:line="25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Audit, audit-related and income tax fees for the second quarter of fiscal year 2021 were $0.4 million lower than the same period of fiscal year 2020.</w:t>
      </w:r>
    </w:p>
    <w:p>
      <w:pPr>
        <w:spacing w:after="0" w:line="86" w:lineRule="exact"/>
        <w:rPr>
          <w:rFonts w:ascii="Arial" w:cs="Arial" w:eastAsia="Arial" w:hAnsi="Arial"/>
          <w:sz w:val="16"/>
          <w:szCs w:val="16"/>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Lemon selling expenses for the second quarter of fiscal year 2021 were $0.3 million lower than the same period of fiscal year 2020.</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Training, depreciation and other costs associated with an ERP software implementation for the second quarter of fiscal year 2021 were $0.1 million lower than the same period of fiscal year 2020.</w:t>
      </w:r>
    </w:p>
    <w:p>
      <w:pPr>
        <w:spacing w:after="0" w:line="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 benefits and incentive compensation for the second quarter of fiscal year 2021 were $0.7 million higher than the same period of fiscal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in the second quarter of fiscal year 2021 was comprised primarily of $0.6 million of equity in earnings of investments and $0.6 million of net interest expense. Other expense in the second quarter of fiscal year 2020 was comprised primarily of $4.3 million loss on stock in Calavo Growers, Inc., $0.4 million of equity in losses of investments and $1.1 million of net interest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recorded an estimated income tax (provision) benefit of $(1.0) million and $3.5 million in the second quarter of fiscal years 2021 and 2020 on pre-tax income (loss) of $2.5 million and $(8.8) million, respectively. The tax provision recorded for the second quarter of fiscal year 2021 differs from the U.S. federal statutory tax rate of 21.0% due primarily to foreign jurisdictions which are taxed at different rates, state taxes, and nondeductible tax items. Our projected annual effective blended tax rate for fiscal year 2021, excluding discrete items, is approximately 36.7%.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noncontrolling interest represents 10% and 49% of the net loss of PDA and Trapani Fresh,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April 30, 2021 Compared to the Six Months Ended April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Total net revenues for the six months ended April 30, 2021 were $83.4 million compared to $81.2 million for the six months ended April 30, 2020. The 3% increase of $2.2 million was primarily the result of increased agribusiness revenues, as detailed below ($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Agribusiness Revenues for the Six Months Ended April 30,</w:t>
            </w:r>
          </w:p>
        </w:tc>
      </w:tr>
      <w:tr>
        <w:trPr>
          <w:trHeight w:val="223"/>
        </w:trPr>
        <w:tc>
          <w:tcPr>
            <w:tcW w:w="46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160" w:type="dxa"/>
            <w:vAlign w:val="bottom"/>
            <w:tcBorders>
              <w:bottom w:val="single" w:sz="8" w:color="auto"/>
            </w:tcBorders>
          </w:tcPr>
          <w:p>
            <w:pPr>
              <w:spacing w:after="0"/>
              <w:rPr>
                <w:sz w:val="19"/>
                <w:szCs w:val="19"/>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72,900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4,151</w:t>
            </w:r>
          </w:p>
        </w:tc>
        <w:tc>
          <w:tcPr>
            <w:tcW w:w="11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2"/>
              </w:rPr>
              <w:t>6%</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Avocados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517</w:t>
            </w:r>
          </w:p>
        </w:tc>
        <w:tc>
          <w:tcPr>
            <w:tcW w:w="1160" w:type="dxa"/>
            <w:vAlign w:val="bottom"/>
          </w:tcPr>
          <w:p>
            <w:pPr>
              <w:jc w:val="center"/>
              <w:ind w:right="350"/>
              <w:spacing w:after="0"/>
              <w:rPr>
                <w:sz w:val="20"/>
                <w:szCs w:val="20"/>
                <w:color w:val="auto"/>
              </w:rPr>
            </w:pPr>
            <w:r>
              <w:rPr>
                <w:rFonts w:ascii="Arial" w:cs="Arial" w:eastAsia="Arial" w:hAnsi="Arial"/>
                <w:sz w:val="18"/>
                <w:szCs w:val="18"/>
                <w:color w:val="auto"/>
                <w:w w:val="88"/>
              </w:rPr>
              <w:t>24%</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Oranges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(2,444)</w:t>
            </w:r>
          </w:p>
        </w:tc>
        <w:tc>
          <w:tcPr>
            <w:tcW w:w="11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1"/>
              </w:rPr>
              <w:t>(49)%</w:t>
            </w: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Specialty citrus and other crops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w:t>
            </w:r>
          </w:p>
        </w:tc>
        <w:tc>
          <w:tcPr>
            <w:tcW w:w="11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4"/>
              </w:rPr>
              <w:t>(1)%</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Agribusiness revenues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81,126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2,204</w:t>
            </w:r>
          </w:p>
        </w:tc>
        <w:tc>
          <w:tcPr>
            <w:tcW w:w="1160" w:type="dxa"/>
            <w:vAlign w:val="bottom"/>
            <w:tcBorders>
              <w:bottom w:val="single" w:sz="8" w:color="auto"/>
            </w:tcBorders>
            <w:shd w:val="clear" w:color="auto" w:fill="CCEEFF"/>
          </w:tcPr>
          <w:p>
            <w:pPr>
              <w:jc w:val="center"/>
              <w:ind w:right="350"/>
              <w:spacing w:after="0"/>
              <w:rPr>
                <w:sz w:val="20"/>
                <w:szCs w:val="20"/>
                <w:color w:val="auto"/>
              </w:rPr>
            </w:pPr>
            <w:r>
              <w:rPr>
                <w:rFonts w:ascii="Arial" w:cs="Arial" w:eastAsia="Arial" w:hAnsi="Arial"/>
                <w:sz w:val="18"/>
                <w:szCs w:val="18"/>
                <w:color w:val="auto"/>
                <w:w w:val="92"/>
              </w:rPr>
              <w:t>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left="340" w:hanging="332"/>
        <w:spacing w:after="0" w:line="275" w:lineRule="auto"/>
        <w:tabs>
          <w:tab w:leader="none" w:pos="3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Lemons: The increase in the first six months of fiscal year 2021 was primarily the result of increased volume of fresh lemons sold partially offset by lower prices compared to the same period in fiscal year 2020. During the first six months of fiscal years 2021 and 2020, fresh lemon sales were $53.7 million and $52.3 million on, in aggregate, 2,847,000 and 2,755,000 cartons of lemons sold at average per carton prices of $18.85 and $18.99, respectively. Lemon revenues in the first six months of fiscal years 2021 and 2020 included $11.0 million and $8.0 million shipping and handling, $2.5 million and $2.6 million lemon by-products and $5.8 million and $5.9 million other lemon sales, respectively.</w:t>
      </w:r>
    </w:p>
    <w:p>
      <w:pPr>
        <w:spacing w:after="0" w:line="14"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Avocados: The increase in the first six months of fiscal year 2021 was primarily the result of increased volume of avocados sold partially offset by lower prices compared to the same period of fiscal year 2020. During the first six months of fiscal years 2021 and 2020, 2,142,000 and 1,359,000 pounds of avocados were sold at an average per pound price of $1.26 and $1.61, respectively.</w:t>
      </w:r>
    </w:p>
    <w:p>
      <w:pPr>
        <w:spacing w:after="0" w:line="21"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Oranges: The decrease in the first six months of fiscal year 2021 was primarily the result of decreased volume of oranges sold partially offset by higher prices compared to the same period in fiscal year 2020. In the first six months of fiscal years 2021 and 2020, we sold 273,000 and 551,000 40-pound carton equivalents of oranges at an average per carton price of $9.14 and $8.75, respectively. Additionally, in the first six months of both fiscal years 2021 and 2020, revenues included $0.1 million in Chile and in the first six months of fiscal year 2020, revenues included $1.4 million of oranges purchased for resale.</w:t>
      </w:r>
    </w:p>
    <w:p>
      <w:pPr>
        <w:spacing w:after="0" w:line="2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Specialty citrus and other crops: Specialty citrus and other crops revenues in the first six months of fiscal year 2021 were similar to the same period in fiscal year 2020. During the first six months of fiscal years 2021 and 2020, we sold 243,000 and 256,000 40-pound carton equivalents of specialty citrus at an average per carton price of $12.44 and $11.89,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revenue in the first six months of fiscal year 2021 was similar to the same period of fiscal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costs and expenses in the first six months of fiscal year 2021 were $86.7 million compared to $92.5 million in the same period of fiscal year 2020. The 6% decrease of $5.9 million was primarily attributable to decreases in our growing and third-party grower costs partially offset by increased packing costs. Costs and expenses associated with our agribusiness division include packing costs, harvest costs, growing costs, costs related to the fruit we procure and sell for third-party growers and depreciation and amortization expense, as detailed below ($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6820" w:type="dxa"/>
            <w:vAlign w:val="bottom"/>
            <w:tcBorders>
              <w:bottom w:val="single" w:sz="8" w:color="auto"/>
            </w:tcBorders>
            <w:gridSpan w:val="9"/>
          </w:tcPr>
          <w:p>
            <w:pPr>
              <w:ind w:left="760"/>
              <w:spacing w:after="0"/>
              <w:rPr>
                <w:sz w:val="20"/>
                <w:szCs w:val="20"/>
                <w:color w:val="auto"/>
              </w:rPr>
            </w:pPr>
            <w:r>
              <w:rPr>
                <w:rFonts w:ascii="Arial" w:cs="Arial" w:eastAsia="Arial" w:hAnsi="Arial"/>
                <w:sz w:val="18"/>
                <w:szCs w:val="18"/>
                <w:b w:val="1"/>
                <w:bCs w:val="1"/>
                <w:color w:val="auto"/>
              </w:rPr>
              <w:t>Agribusiness Costs and Expenses for the Six Months Ended April 30,</w:t>
            </w:r>
          </w:p>
        </w:tc>
      </w:tr>
      <w:tr>
        <w:trPr>
          <w:trHeight w:val="223"/>
        </w:trPr>
        <w:tc>
          <w:tcPr>
            <w:tcW w:w="44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200" w:type="dxa"/>
            <w:vAlign w:val="bottom"/>
            <w:tcBorders>
              <w:bottom w:val="single" w:sz="8" w:color="auto"/>
            </w:tcBorders>
          </w:tcPr>
          <w:p>
            <w:pPr>
              <w:spacing w:after="0"/>
              <w:rPr>
                <w:sz w:val="19"/>
                <w:szCs w:val="19"/>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Packing costs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1,744</w:t>
            </w:r>
          </w:p>
        </w:tc>
        <w:tc>
          <w:tcPr>
            <w:tcW w:w="120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2"/>
              </w:rPr>
              <w:t>9%</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Harvest costs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10,443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10,852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(409)</w:t>
            </w:r>
          </w:p>
        </w:tc>
        <w:tc>
          <w:tcPr>
            <w:tcW w:w="1200" w:type="dxa"/>
            <w:vAlign w:val="bottom"/>
          </w:tcPr>
          <w:p>
            <w:pPr>
              <w:jc w:val="center"/>
              <w:ind w:right="350"/>
              <w:spacing w:after="0"/>
              <w:rPr>
                <w:sz w:val="20"/>
                <w:szCs w:val="20"/>
                <w:color w:val="auto"/>
              </w:rPr>
            </w:pPr>
            <w:r>
              <w:rPr>
                <w:rFonts w:ascii="Arial" w:cs="Arial" w:eastAsia="Arial" w:hAnsi="Arial"/>
                <w:sz w:val="18"/>
                <w:szCs w:val="18"/>
                <w:color w:val="auto"/>
                <w:w w:val="94"/>
              </w:rPr>
              <w:t>(4)%</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Growing costs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(1,766)</w:t>
            </w:r>
          </w:p>
        </w:tc>
        <w:tc>
          <w:tcPr>
            <w:tcW w:w="120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1"/>
              </w:rPr>
              <w:t>(11)%</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Third-party grower costs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21,585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26,319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(4,734)</w:t>
            </w:r>
          </w:p>
        </w:tc>
        <w:tc>
          <w:tcPr>
            <w:tcW w:w="1200" w:type="dxa"/>
            <w:vAlign w:val="bottom"/>
          </w:tcPr>
          <w:p>
            <w:pPr>
              <w:jc w:val="center"/>
              <w:ind w:right="350"/>
              <w:spacing w:after="0"/>
              <w:rPr>
                <w:sz w:val="20"/>
                <w:szCs w:val="20"/>
                <w:color w:val="auto"/>
              </w:rPr>
            </w:pPr>
            <w:r>
              <w:rPr>
                <w:rFonts w:ascii="Arial" w:cs="Arial" w:eastAsia="Arial" w:hAnsi="Arial"/>
                <w:sz w:val="18"/>
                <w:szCs w:val="18"/>
                <w:color w:val="auto"/>
                <w:w w:val="91"/>
              </w:rPr>
              <w:t>(18)%</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53</w:t>
            </w:r>
          </w:p>
        </w:tc>
        <w:tc>
          <w:tcPr>
            <w:tcW w:w="1200" w:type="dxa"/>
            <w:vAlign w:val="bottom"/>
            <w:tcBorders>
              <w:bottom w:val="single" w:sz="8" w:color="auto"/>
            </w:tcBorders>
            <w:shd w:val="clear" w:color="auto" w:fill="CCEEFF"/>
          </w:tcPr>
          <w:p>
            <w:pPr>
              <w:jc w:val="center"/>
              <w:ind w:right="350"/>
              <w:spacing w:after="0"/>
              <w:rPr>
                <w:sz w:val="20"/>
                <w:szCs w:val="20"/>
                <w:color w:val="auto"/>
              </w:rPr>
            </w:pPr>
            <w:r>
              <w:rPr>
                <w:rFonts w:ascii="Arial" w:cs="Arial" w:eastAsia="Arial" w:hAnsi="Arial"/>
                <w:sz w:val="18"/>
                <w:szCs w:val="18"/>
                <w:color w:val="auto"/>
                <w:w w:val="92"/>
              </w:rPr>
              <w:t>1%</w:t>
            </w: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Agribusiness costs and expenses</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73,380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78,492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(5,112)</w:t>
            </w:r>
          </w:p>
        </w:tc>
        <w:tc>
          <w:tcPr>
            <w:tcW w:w="120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4"/>
              </w:rPr>
              <w:t>(7)%</w:t>
            </w:r>
          </w:p>
        </w:tc>
      </w:tr>
      <w:tr>
        <w:trPr>
          <w:trHeight w:val="20"/>
        </w:trPr>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340" w:hanging="332"/>
        <w:spacing w:after="0" w:line="25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Packing costs: Packing costs primarily consist of the costs to pack lemons for sale such as labor and benefits, cardboard cartons, fruit treatments, packing and shipping supplies and facility operating costs. In the first six months of fiscal years 2021 and 2020, lemon packing costs were $20.4 million and $19.0 million, respectively. During the first six months of fiscal years 2021 and 2020, we packed and sold 2,847,000 and 2,755,000 cartons of lemons at average per carton costs of $7.17 and $6.89, respectively. Additionally, in the first six months of fiscal years 2021 and 2020, packing costs included $1.6 million and $1.3 million of shipping costs, respectively.</w:t>
      </w:r>
    </w:p>
    <w:p>
      <w:pPr>
        <w:spacing w:after="0" w:line="25" w:lineRule="exact"/>
        <w:rPr>
          <w:rFonts w:ascii="Arial" w:cs="Arial" w:eastAsia="Arial" w:hAnsi="Arial"/>
          <w:sz w:val="18"/>
          <w:szCs w:val="18"/>
          <w:color w:val="auto"/>
        </w:rPr>
      </w:pPr>
    </w:p>
    <w:p>
      <w:pPr>
        <w:ind w:left="340" w:right="20" w:hanging="332"/>
        <w:spacing w:after="0" w:line="298" w:lineRule="auto"/>
        <w:tabs>
          <w:tab w:leader="none" w:pos="3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Harvest costs: The decrease in the first six months of fiscal year 2021 was primarily the result of decreased volume of oranges and specialty citrus harvested partially offset by increased volume of lemons and avocados harvested compared to the same period in fiscal year 2020.</w:t>
      </w:r>
    </w:p>
    <w:p>
      <w:pPr>
        <w:jc w:val="both"/>
        <w:ind w:left="340" w:hanging="332"/>
        <w:spacing w:after="0" w:line="263"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Growing costs: Growing costs, also referred to as cultural costs, consist of orchard maintenance costs such as cultivation, fertilization and soil amendments, pest control, pruning and irrigation. The decrease in the first six months of fiscal year 2021 was primarily due to farm management decisions based on weather, harvest timing and crop conditions.</w:t>
      </w:r>
    </w:p>
    <w:p>
      <w:pPr>
        <w:spacing w:after="0" w:line="21" w:lineRule="exact"/>
        <w:rPr>
          <w:rFonts w:ascii="Arial" w:cs="Arial" w:eastAsia="Arial" w:hAnsi="Arial"/>
          <w:sz w:val="18"/>
          <w:szCs w:val="18"/>
          <w:color w:val="auto"/>
        </w:rPr>
      </w:pPr>
    </w:p>
    <w:p>
      <w:pPr>
        <w:jc w:val="both"/>
        <w:ind w:left="340" w:hanging="332"/>
        <w:spacing w:after="0" w:line="273" w:lineRule="auto"/>
        <w:tabs>
          <w:tab w:leader="none" w:pos="3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Third-party grower costs: We sell lemons that we grow and lemons that we procure from other growers. The cost of procuring lemons from other growers is referred to as third-party grower costs. The decrease in the first six months of fiscal year 2021 was primarily due to decreased volume and lower prices of third-party grower lemons sold compared to the same period of fiscal year 2020. Of the 2,847,000 and 2,755,000 cartons of lemons packed and sold during the first six months of fiscal years 2021 and 2020, 1,394,000 (49%) and 1,587,000 (58%) were procured from third-party growers at average per carton prices of $13.70 and $13.87, respectively. Additionally, in the first six months of fiscal year 2021 and 2020 we incurred $2.5 million and $4.3 million, respectively, of costs for purchased, packed fruit for resale.</w:t>
      </w:r>
    </w:p>
    <w:p>
      <w:pPr>
        <w:spacing w:after="0" w:line="15"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Depreciation and amortization: Depreciation and amortization expense for the first six months of fiscal year 2021 was approximately $0.1 million higher than the same period of fiscal year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expenses were $2.2 million and $2.4 million in the first six months of fiscal years 2021 and 2020, respectively.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general and administrative costs and expenses were $11.1 million in the first six months of fiscal year 2021 compared to $11.6 million in the first six months of fiscal year 2020. The 5% decrease of $0.5 million primarily consisted of the following:</w:t>
      </w:r>
    </w:p>
    <w:p>
      <w:pPr>
        <w:spacing w:after="0" w:line="25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Lemon selling expenses for the first six months of fiscal year 2021 were $0.6 million lower than the same period of fiscal year 2020.</w:t>
      </w:r>
    </w:p>
    <w:p>
      <w:pPr>
        <w:spacing w:after="0" w:line="63"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Training, depreciation and other costs associated with an ERP software implementation for the first six months of fiscal year 2021 were $0.4 million lower than the same period of fiscal year 2020.</w:t>
      </w:r>
    </w:p>
    <w:p>
      <w:pPr>
        <w:spacing w:after="0" w:line="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benefits and incentive compensation for the first six months of fiscal year 2021 were $0.6 million higher than the same period of fiscal year 2020.</w:t>
      </w:r>
    </w:p>
    <w:p>
      <w:pPr>
        <w:spacing w:after="0" w:line="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and administrative expenses, including certain corporate overhead expenses, for the first six months of fiscal year 2021 were $0.2 million lower than the same period of fiscal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in the first six months of fiscal year 2021 was comprised primarily of $1.0 million of equity in earnings of investments and $0.4 million of net interest expense. Other expense in the first six months of fiscal year 2020 was comprised primarily of $6.3 million loss on stock in Calavo Growers, Inc., $0.5 million of equity in losses of investments and $1.0 million of net interest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an estimated income tax benefit of $0.2 million and $6.6 million in the first six months of fiscal years 2021 and 2020 on pre-tax loss of $2.6 million and $18.9 million, respectively. The tax benefit recorded for the first six months of fiscal year 2021 differs from the U.S. federal statutory tax rate of 21.0% due primarily to foreign jurisdictions which are taxed at different rates, state taxes, and nondeductible tax items. Our projected annual effective blended tax rate for fiscal year 2021, excluding discrete items, is approximately 36.7%.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noncontrolling interest represents 10% and 49% of the net loss of PDA and Trapani Fresh,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18 - Segment Information of the notes to consolidated financial statements included in this Quarterly Report on Form 10-Q for additional information regarding our operating segments.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April 30, 2021 Compared to the Three Months Ended April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April 30,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Arial" w:cs="Arial" w:eastAsia="Arial" w:hAnsi="Arial"/>
                <w:sz w:val="13"/>
                <w:szCs w:val="13"/>
                <w:b w:val="1"/>
                <w:bCs w:val="1"/>
                <w:color w:val="auto"/>
              </w:rPr>
              <w:t>Fresh</w:t>
            </w:r>
          </w:p>
        </w:tc>
        <w:tc>
          <w:tcPr>
            <w:tcW w:w="18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Arial" w:cs="Arial" w:eastAsia="Arial" w:hAnsi="Arial"/>
                <w:sz w:val="13"/>
                <w:szCs w:val="13"/>
                <w:b w:val="1"/>
                <w:bCs w:val="1"/>
                <w:color w:val="auto"/>
                <w:w w:val="96"/>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32,600</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43,989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45,132</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9,282</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(9,282)</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32,600</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15,385</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(9,282)</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43,989</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45,132</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28,629</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10,874</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(9,282)</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1,433</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34,157</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6,039</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40,196</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2,285</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2,552</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3,971</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(5,163)</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April 30, 2020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Arial" w:cs="Arial" w:eastAsia="Arial" w:hAnsi="Arial"/>
                <w:sz w:val="13"/>
                <w:szCs w:val="13"/>
                <w:b w:val="1"/>
                <w:bCs w:val="1"/>
                <w:color w:val="auto"/>
              </w:rPr>
              <w:t>Fresh</w:t>
            </w:r>
          </w:p>
        </w:tc>
        <w:tc>
          <w:tcPr>
            <w:tcW w:w="18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Arial" w:cs="Arial" w:eastAsia="Arial" w:hAnsi="Arial"/>
                <w:sz w:val="13"/>
                <w:szCs w:val="13"/>
                <w:b w:val="1"/>
                <w:bCs w:val="1"/>
                <w:color w:val="auto"/>
                <w:w w:val="96"/>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28,715</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38,439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39,571</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(8,454)</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28,715</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12,337</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(8,454)</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38,439</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39,571</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26,961</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10,328</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(8,454)</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1,561</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3,393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33,789</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6,182</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39,971</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2,160</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2,433</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1,754</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(5,323)</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Fresh lemons segment revenue is comprised of sales of fresh lemons, lemon by-products and other lemon revenue such as purchased, packed fruit for resale. For the second quarter of fiscal years 2021 and 2020, our fresh lemons segment total net revenues were $32.6 million and $28.7 million, respectively. The 14% increase of $3.9 million was primarily due to increases in fresh lemon carton sales of $3.4 million, lemon by-products of $0.1 million and brokerage and other sales of $0.4 million.</w:t>
      </w:r>
    </w:p>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Costs and expenses associated with our fresh lemons segment include harvest costs, growing costs and costs of lemons we procure from third-party growers. For the second quarter of fiscal years 2021 and 2020, our fresh lemons segment costs and expenses were $28.6 million and $27.0 million, respectively. The 6% increase of $1.7 million primarily consisted of the following:</w:t>
      </w:r>
    </w:p>
    <w:p>
      <w:pPr>
        <w:spacing w:after="0" w:line="238"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Harvest costs for the second quarter of fiscal year 2021 were $1.2 million higher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Growing costs for the second quarter of fiscal year 2021 were $0.1 million higher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grower costs for the second quarter of fiscal year 2021 were $0.4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Transportation costs for the second quarter of fiscal year 2021 were $0.1 million higher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Intersegment costs and expenses for the second quarter of fiscal year 2021 were $0.8 million higher than the same period of fiscal year 2020.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second quarter of fiscal years 2021 and 2020, our lemon packing segment total net revenues were $15.4 million and $12.3 million, respectively. The 25% increase of $3.0 million was primarily due to higher average per carton pack revenue.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second quarter of fiscal years 2021 and 2020, our lemon packing costs and expenses were $10.9 million and $10.3 million, respectively. The 5% increase of $0.5 million was primarily due to increased volume of lemons packed at higher average per carton costs.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 the second quarter of fiscal years 2021 and 2020, lemon packing segment operating income per carton sold was $2.95 and $1.41, respectively.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second quarter of fiscal years 2021 and 2020, the lemon packing segment included $9.3 million and $8.5 million, respectively, of intersegment revenues that were charged to the fresh lemons segment to pack lemons for sale. Such intersegment revenues and expenses are eliminated in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second quarter of fiscal years 2021 and 2020, our avocados segment had total revenues of $2.7 million and $2.0 million, respectively.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avocados segment include harvest and growing costs. For the second quarter of fiscal years 2021 and 2020, our avocados segment costs and expenses were $1.4 million and $1.6 million, respectively. The 8% decrease of $0.1 million primarily consisted of growing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second quarter of fiscal years 2021 and 2020, our other agribusiness segment total net revenues were $2.6 million and $3.8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32% decrease of $1.2 million primarily consisted of the following:</w:t>
      </w:r>
    </w:p>
    <w:p>
      <w:pPr>
        <w:spacing w:after="0" w:line="265"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Orange revenues for the second quarter of fiscal year 2021 were $1.3 million lower than the same period of fiscal year 2020.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5" w:name="page36"/>
    <w:bookmarkEnd w:id="35"/>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Specialty citrus and other crops revenues for the second quarter of fiscal year 2021 were similar to the same period of fiscal year 2020.</w:t>
      </w:r>
    </w:p>
    <w:p>
      <w:pPr>
        <w:spacing w:after="0" w:line="3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other agribusiness segment include harvest costs, growing costs and purchased fruit costs. For the second quarter of fiscal years 2021 and 2020, our other agribusiness costs and expenses were $2.5 million and $3.4 million, respectively. The 26% decrease of $0.9 million primarily consisted of the following:</w:t>
      </w:r>
    </w:p>
    <w:p>
      <w:pPr>
        <w:spacing w:after="0" w:line="265"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Harvest costs for the second quarter of fiscal year 2021 were $0.4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Growing costs for the second quarter of fiscal year 2021 were $0.1 million higher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Purchased fruit costs for the second quarter of fiscal year 2021 were $0.6 million lower than the same period of fiscal year 2020.</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agribusiness depreciation and amortization expenses for the second quarter of fiscal year 2021 were $0.1 million higher than the same period of fiscal year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corporate and other operations had revenues of $1.1 million for the second quarter of both fiscal years 2021 and 2020.</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and expenses in our corporate and other operations for the second quarter of fiscal years 2021 and 2020 were approximately $6.0 million and $6.2 million, respectively, and include selling, general and administrative costs and expenses not allocated to the operating segments. Depreciation and amortization expenses for the second quarter of fiscal years 2021 and 2020 were similar at approximately $0.3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April 30, 2021 Compared to the Six Months Ended April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six months ended April 30,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Arial" w:cs="Arial" w:eastAsia="Arial" w:hAnsi="Arial"/>
                <w:sz w:val="13"/>
                <w:szCs w:val="13"/>
                <w:b w:val="1"/>
                <w:bCs w:val="1"/>
                <w:color w:val="auto"/>
              </w:rPr>
              <w:t>Fresh</w:t>
            </w:r>
          </w:p>
        </w:tc>
        <w:tc>
          <w:tcPr>
            <w:tcW w:w="18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Arial" w:cs="Arial" w:eastAsia="Arial" w:hAnsi="Arial"/>
                <w:sz w:val="13"/>
                <w:szCs w:val="13"/>
                <w:b w:val="1"/>
                <w:bCs w:val="1"/>
                <w:color w:val="auto"/>
                <w:w w:val="96"/>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61,900</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2,281</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83,407</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(15,967)</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61,900</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26,967</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(15,967)</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81,126</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2,281</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83,407</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58,136</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20,405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(15,967)</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1,433</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4,876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68,883</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12,727</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81,610</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4,497</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5,053</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3,764</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(11,002)</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six months ended April 30, 2020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40" w:type="dxa"/>
            <w:vAlign w:val="bottom"/>
          </w:tcPr>
          <w:p>
            <w:pPr>
              <w:spacing w:after="0"/>
              <w:rPr>
                <w:sz w:val="12"/>
                <w:szCs w:val="12"/>
                <w:color w:val="auto"/>
              </w:rPr>
            </w:pPr>
          </w:p>
        </w:tc>
        <w:tc>
          <w:tcPr>
            <w:tcW w:w="7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w w:val="93"/>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Arial" w:cs="Arial" w:eastAsia="Arial" w:hAnsi="Arial"/>
                <w:sz w:val="13"/>
                <w:szCs w:val="13"/>
                <w:b w:val="1"/>
                <w:bCs w:val="1"/>
                <w:color w:val="auto"/>
                <w:w w:val="96"/>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Lemons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60,772</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81,227</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(15,559)</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60,772</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23,536</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(15,559)</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78,922</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81,227</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61,312</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18,937</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(15,559)</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2,034</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7,324</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74,048</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13,480</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87,528</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4,444</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4,998</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(11,729)</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Fresh lemons segment revenue is comprised of sales of fresh lemons, lemon by-products and other lemon revenue such as purchased, packed fruit for resale. For the first six months of fiscal years 2021 and 2020, our fresh lemons segment total net revenues were $61.9 million and $60.8 million, respectively. The 2% increase of $1.1 million was primarily due to increases in fresh</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lemon carton sales of $1.4 million partially offset by decreases in lemon by-products of $0.1 million and decreases in brokerage and other sales of $0.1 million.</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Costs and expenses associated with our fresh lemons segment include harvest costs, growing costs and costs of lemons we procure from third-party growers. For the first six months of fiscal years 2021 and 2020, our fresh lemons segment costs and expenses were $58.1 million and $61.3 million, respectively. The 5% decrease of $3.2 million primarily consisted of the following:</w:t>
      </w:r>
    </w:p>
    <w:p>
      <w:pPr>
        <w:spacing w:after="0" w:line="238"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Harvest costs for the first six months of fiscal year 2021 were $0.1 million higher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Growing costs for the first six months of fiscal year 2021 were $0.7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grower costs for the first six months of fiscal year 2021 were $3.3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Transportation costs for the first six months of fiscal year 2021 were $0.3 million higher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Intersegment costs and expenses for the first six months of fiscal year 2021 were $0.4 million higher than the same period of fiscal year 2020.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first six months of fiscal years 2021 and 2020, our lemon packing segment total net revenues were $27.0 million and $23.5 million, respectively. The 15% increase of $3.4 million was primarily due to higher average per carton pack revenue.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first six months of fiscal years 2021 and 2020, our lemon packing costs and expenses were $20.4 million and $18.9 million, respectively. The 8% increase of $1.5 million was primarily due to increased volume of lemons packed at higher average per carton costs.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 the first six months of fiscal years 2021 and 2020, lemon packing segment operating income per carton sold was $2.30 and $1.67, respectively.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six months of fiscal years 2021 and 2020, the lemon packing segment included $16.0 million and $15.6 million, respectively, of intersegment revenues that were charged to the fresh lemons segment to pack lemons for sale. Such intersegment revenues and expenses are eliminated in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first six months of fiscal years 2021 and 2020, our avocados segment had total revenues of $2.7 million and $2.2 million, respectively.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avocados segment include harvest and growing costs. For the first six months of fiscal years 2021 and 2020, our avocados segment costs and expenses were $1.4 million and $2.0 million, respectively. The 30% decrease of $0.6 million primarily consisted of growing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first six months of fiscal years 2021 and 2020, our other agribusiness segment total net revenues were $5.5 million and $8.0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31% decrease of $2.5 million primarily consisted of the following:</w:t>
      </w:r>
    </w:p>
    <w:p>
      <w:pPr>
        <w:spacing w:after="0" w:line="265"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Orange revenues for the first six months of fiscal year 2021 were $2.4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Specialty citrus and other crops revenues for the first six months of fiscal year 2021 were similar to the same period of fiscal year 2020.</w:t>
      </w:r>
    </w:p>
    <w:p>
      <w:pPr>
        <w:spacing w:after="0" w:line="3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other agribusiness segment include harvest costs, growing costs and purchased fruit costs. For the first six months of fiscal years 2021 and 2020, our other agribusiness costs and expenses were $4.9 million and $7.3 million, respectively. The 33% decrease of $2.4 million primarily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7" w:name="page38"/>
    <w:bookmarkEnd w:id="37"/>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Harvest costs for the first six months of fiscal year 2021 were $0.6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Growing costs for the first six months of fiscal year 2021 were $0.5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Purchased fruit costs for the first six months of fiscal year 2021 were $1.4 million lower than the same period of fiscal year 2020.</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agribusiness depreciation and amortization expenses for the first six months of fiscal year 2021 were $0.1 million higher than the same period of fiscal year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corporate and other operations had revenues of $2.3 million for the first six months of both fiscal years 2021 and 2020.</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Costs and expenses in our corporate and other operations for the first six months of fiscal years 2021 and 2020 were approximately $12.7 million and $13.5 million, respectively, and include selling, general and administrative costs and expenses not allocated to the operating segments. Depreciation and amortization expenses for the first six months of fiscal years 2021 and 2020 were similar at approximately $0.6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Results of Operations for the Trailing Twelve Months Ended April 30, 2021 and 2020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The following table shows the unaudited results of operations (in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8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4"/>
          </w:tcPr>
          <w:p>
            <w:pPr>
              <w:jc w:val="right"/>
              <w:ind w:right="50"/>
              <w:spacing w:after="0" w:line="202" w:lineRule="exact"/>
              <w:rPr>
                <w:sz w:val="20"/>
                <w:szCs w:val="20"/>
                <w:color w:val="auto"/>
              </w:rPr>
            </w:pPr>
            <w:r>
              <w:rPr>
                <w:rFonts w:ascii="Arial" w:cs="Arial" w:eastAsia="Arial" w:hAnsi="Arial"/>
                <w:sz w:val="18"/>
                <w:szCs w:val="18"/>
                <w:b w:val="1"/>
                <w:bCs w:val="1"/>
                <w:color w:val="auto"/>
                <w:w w:val="91"/>
              </w:rPr>
              <w:t>Trailing Twelve Months Ended</w:t>
            </w:r>
          </w:p>
        </w:tc>
      </w:tr>
      <w:tr>
        <w:trPr>
          <w:trHeight w:val="230"/>
        </w:trPr>
        <w:tc>
          <w:tcPr>
            <w:tcW w:w="8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900" w:type="dxa"/>
            <w:vAlign w:val="bottom"/>
            <w:tcBorders>
              <w:bottom w:val="single" w:sz="8" w:color="auto"/>
            </w:tcBorders>
          </w:tcPr>
          <w:p>
            <w:pPr>
              <w:spacing w:after="0"/>
              <w:rPr>
                <w:sz w:val="19"/>
                <w:szCs w:val="19"/>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Agribusiness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162,141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163,848</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166,739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168,572</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Agribusiness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152,169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154,870</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Loss (gain) on sale and disposal of property assets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22,960</w:t>
            </w:r>
          </w:p>
        </w:tc>
      </w:tr>
      <w:tr>
        <w:trPr>
          <w:trHeight w:val="22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177,704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181,360</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Interest expense, net of patronage dividends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(2,592)</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investments, net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Loss on stock in Calavo Growers, Inc.</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(8,118)</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(10,093)</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benefit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(22,881)</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(15,820)</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attributable to noncontrolling interest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Limoneira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79" w:lineRule="exact"/>
        <w:rPr>
          <w:sz w:val="20"/>
          <w:szCs w:val="20"/>
          <w:color w:val="auto"/>
        </w:rPr>
      </w:pPr>
    </w:p>
    <w:p>
      <w:pPr>
        <w:ind w:left="340" w:hanging="332"/>
        <w:spacing w:after="0" w:line="316" w:lineRule="auto"/>
        <w:tabs>
          <w:tab w:leader="none" w:pos="3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Total revenues decreased $1.8 million in the twelve months ended April 30, 2021 compared to the twelve months ended April 30, 2020 primarily due to decreased agribusiness revenues, which primarily consisted of decreased lemon and orange sales, partially offset by increased avocados sales.</w:t>
      </w:r>
    </w:p>
    <w:p>
      <w:pPr>
        <w:spacing w:after="0" w:line="1" w:lineRule="exact"/>
        <w:rPr>
          <w:rFonts w:ascii="Arial" w:cs="Arial" w:eastAsia="Arial" w:hAnsi="Arial"/>
          <w:sz w:val="16"/>
          <w:szCs w:val="16"/>
          <w:color w:val="auto"/>
        </w:rPr>
      </w:pPr>
    </w:p>
    <w:p>
      <w:pPr>
        <w:jc w:val="both"/>
        <w:ind w:left="340" w:hanging="332"/>
        <w:spacing w:after="0" w:line="299" w:lineRule="auto"/>
        <w:tabs>
          <w:tab w:leader="none" w:pos="3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Total costs and expenses decreased $3.7 million in the twelve months ended April 30, 2021 compared to the twelve months ended April 30, 2020 primarily due to decreases in our agribusiness costs and selling, general and administrative expenses partially offset by increase in the loss on sale and disposal of property assets. The decrease in agribusiness costs is primarily attributable to decreased cost of third-party grower fruit and the decrease in selling, general and administrative expenses is primarily attributable to decreased corporate expenses associated with our strategic initiatives.</w:t>
      </w:r>
    </w:p>
    <w:p>
      <w:pPr>
        <w:spacing w:after="0" w:line="1" w:lineRule="exact"/>
        <w:rPr>
          <w:rFonts w:ascii="Arial" w:cs="Arial" w:eastAsia="Arial" w:hAnsi="Arial"/>
          <w:sz w:val="16"/>
          <w:szCs w:val="16"/>
          <w:color w:val="auto"/>
        </w:rPr>
      </w:pPr>
    </w:p>
    <w:p>
      <w:pPr>
        <w:ind w:left="340" w:hanging="332"/>
        <w:spacing w:after="0" w:line="298" w:lineRule="auto"/>
        <w:tabs>
          <w:tab w:leader="none" w:pos="3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Total other income (expense) increased $10.9 million in the twelve months ended April 30, 2021 compared to the twelve months ended April 30, 2020 primarily due to decreased interest expense, increased equity in earnings of investments and decreased loss on stock in Calavo.</w:t>
      </w:r>
    </w:p>
    <w:p>
      <w:pPr>
        <w:ind w:left="34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Income tax benefit decreased $5.0 million in the twelve months ended April 30, 2021 compared to the twelve months ended April 30, 2020 primarily due to the decrease in pre-tax loss of $12.7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six months ended April 30, 2021, net cash provided by operating activities was $4.6 million compared to net cash used in operating activities of $15.8 million for the six months ended April 30, 2020. The significant components of our cash flows used in operating activities were as follows:</w:t>
      </w:r>
    </w:p>
    <w:p>
      <w:pPr>
        <w:spacing w:after="0" w:line="200" w:lineRule="exact"/>
        <w:rPr>
          <w:sz w:val="20"/>
          <w:szCs w:val="20"/>
          <w:color w:val="auto"/>
        </w:rPr>
      </w:pPr>
    </w:p>
    <w:p>
      <w:pPr>
        <w:jc w:val="both"/>
        <w:ind w:left="340" w:hanging="332"/>
        <w:spacing w:after="0" w:line="286" w:lineRule="auto"/>
        <w:tabs>
          <w:tab w:leader="none" w:pos="3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Net loss for the six months ended April 30, 2021 was $2.4 million compared to net loss of $12.2 million for the six months ended April 30, 2020. The components of net loss in the six months ended April 30, 2021 compared to the same period in fiscal year 2020 consist of a decrease in operating loss of $8.0 million, an increase in total other income of $8.2 million and a decrease in income tax benefit of $6.4 million.</w:t>
      </w:r>
    </w:p>
    <w:p>
      <w:pPr>
        <w:spacing w:after="0" w:line="3"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adjustments to reconcile net loss to net cash provided by (used in) operating activities provided $6.0 million of cash in the six months ended April 30, 2021 compared to providing $6.8 million of cash in the same period in fiscal year 2020, primarily due to significant changes in deferred income taxes, loss on stock in Calavo and equity in earnings of investments.</w:t>
      </w:r>
    </w:p>
    <w:p>
      <w:pPr>
        <w:spacing w:after="0" w:line="21"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changes in operating assets and liabilities provided $1.1 million of operating cash in the six months ended April 30, 2021 compared to using $10.4 million of operating cash in the same period in fiscal year 2020, primarily due to significant changes in accounts receivable and receivables/other from related parties, income taxes receivable and accounts payable and growers payable.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April 30, 2021 and 2020, net cash used in investing activities was $5.5 million compared to net cash provided by investing activities of $1.2 million, respectively. Net cash used in investing activities for the six months ended April 30, 2021 was primarily comprised of capital expenditures.</w:t>
      </w:r>
    </w:p>
    <w:p>
      <w:pPr>
        <w:spacing w:after="0" w:line="238" w:lineRule="exact"/>
        <w:rPr>
          <w:sz w:val="20"/>
          <w:szCs w:val="20"/>
          <w:color w:val="auto"/>
        </w:rPr>
      </w:pPr>
    </w:p>
    <w:p>
      <w:pPr>
        <w:ind w:left="34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expenditures were $5.4 million in the six months ended April 30, 2021, comprised of $5.2 million for property, plant and equipment primarily related to orchard and vineyard development and $0.2 million for real estate development projects.</w:t>
      </w:r>
    </w:p>
    <w:p>
      <w:pPr>
        <w:spacing w:after="0" w:line="8"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expenditures were $5.4 million in the six months ended April 30, 2020, comprised of $5.3 million for property, plant and equipment primarily related to orchard and vineyard development and $0.1 million for real estate development projects. Additionally, in the six months ended April 30, 2020, we received proceeds from sale of stock in Calavo of $11.0 million, contributed $2.8 million to the Joint Venture for the development of our East Area I real estate development project and loaned $1.8 million to the Joint Venture.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April 30, 2021 and 2020, net cash provided by financing activities was $1.9 million and $15.4 million, respectively.</w:t>
      </w:r>
    </w:p>
    <w:p>
      <w:pPr>
        <w:spacing w:after="0" w:line="279" w:lineRule="exact"/>
        <w:rPr>
          <w:sz w:val="20"/>
          <w:szCs w:val="20"/>
          <w:color w:val="auto"/>
        </w:rPr>
      </w:pPr>
    </w:p>
    <w:p>
      <w:pPr>
        <w:ind w:left="340" w:hanging="332"/>
        <w:spacing w:after="0" w:line="277"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$1.9 million of cash provided by financing activities during the six months ended April 30, 2021 was primarily comprised of net borrowings of long-term debt in the amount $5.5 million partially offset by common and preferred dividends, in aggregate, of $2.9 million.</w:t>
      </w:r>
    </w:p>
    <w:p>
      <w:pPr>
        <w:spacing w:after="0" w:line="8"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$15.4 million of cash provided by financing activities during the six months ended April 30, 2020 was primarily comprised of net borrowings of long-term debt in the amount $18.5 million partially offset by common and preferred dividends, in aggregate, of $2.9 million.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Transactions Affecting Liquidity and Capital Resources</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Company and Farm Credit West, FLCA (“Farm Credit West”) are parties to that certain Master Loan Agreement (the “Loan Agreement”), dated June 20, 2017, which includes a Revolving Credit Supplement and a Non-Revolving Credit Supplement (together, the “Supplements”).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2020, we entered into a Conversion Agreement with Farm Credit West to convert term loans to fixed interest rates effective July 1, 2020. No changes were made to the outstanding principal balances on the term loans and no cash repayments of principal were made by us. The rates were subject to a prepayment restriction period for a portion of the fixed rate term that expired on January 1, 2021, after which we may prepay any amounts without penalty.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we entered into a revolving equity line of credit promissory note and loan agreement with Farm Credit West for a $15.0 million Revolving Equity Line of Credit (the "RELOC") secured by a first lien on the Windfall Investors, LLC property. The RELOC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Supplements and RELOC provide aggregate borrowing capacity of $130.0 million comprised of $75.0 million under the Revolving Credit Supplement, $40.0 million under the Non-Revolving Credit Supplement and $15.0 million under the RELOC. The borrowing capacity based on collateral value was $130.0 million at April 30, 2021.</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for any amount outstanding under the Supplements is based on the one-month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1st of each year we have the option to convert the interest rate in use under each Supplement from the preceding LIBOR-based calculation to a variable interest rate, or the reverse, as applicable. Any amounts outstanding under the Supplements are due and payable in full on July 1, 2022.</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 and RELOC with Farm Credit West,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that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Loan Agreement, we are required to comply with a minimum debt service coverage ratio (as calculated in accordance with the Loan Agreement) of 1.25:1.0 measured as of October 31 each year. In August 2020, Farm Credit West modified the covenant to defer measurement at October 31, 2020 and revert to a debt service coverage ratio of 1.25:1.0 measured as of October 31, 2021. We expect to be in compliance with these covenants in fiscal year 2021.</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2021, we received an annual patronage dividend of $1.2 million from Farm Credit West, of which $0.8 million was recorded as a reduction in interest expense and $0.4 million reduced our real estate development assets.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finance our working capital and other liquidity requirements primarily through cash from operations and our Farm Credit West Credit Facility, which includes the Loan Agreement, Supplements and RELOC. In addition, we have the Farm Credit West term loans, Wells Fargo term loan, Banco de Chile term loan and COVID-19 loans, and a note payable to the sellers of a land parcel. Additional information regarding the Farm Credit West Credit Facility, Farm Credit West term loans, Wells Fargo term loan, Banco de Chile term loan and COVID-19 loans and the note payable can be found in the notes to consolidated financial statements included in this Quarterly Report on Form 10-Q.</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next twelve months. In addition, we have the ability to control a portion of our investing cash flows to the extent necessary based on our liquidity demands.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contractual obligations as disclosed in our fiscal year 2020 Annual Report on Form 10-K, except as follows:</w:t>
      </w:r>
    </w:p>
    <w:p>
      <w:pPr>
        <w:spacing w:after="0" w:line="2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2018, the Joint Venture entered into a $45.0 million unsecured Line of Credit Loan Agreement and Promissory Note (the “Loan”) with Bank of America, N.A. to fund early development activities. The Loan originally matured in January 2020 and was extended to February 22, 2021. In February 2021, this loan was extended to February 22, 2023 with an option to extend to February 22, 2024, subject to certain conditions. The interest rate on the Loan is LIBOR plus 2.85% and is payable monthly. The Loan contains certain customary default provisions and the Joint Venture may prepay any amounts outstanding under the Loan without penalty. The Joint Venture had an outstanding balance of $11.4 million as of April 30, 2021 related to this Loan. The obligations under the Loan are guaranteed by certain principals from Lewis and by 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and Variable Rate Debt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Details of amounts included in long-term debt can be found in the notes to consolidated financial statements included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7 – Real Estate Development and Note 8 – Equity in Investments of the notes to consolidated financial statements included in our fiscal year 2020 Annual Report on Form 10-K, we have investments in joint ventures and partnerships that are accounted for using the equity method of accounting.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inflation has not had a material effect on our results of operations. However, significant increases in inflation, including in Argentina, could have an adverse impact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core principle of the guidance is that an entity should recognize revenue to depict the transfer of promised goods or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an amount that reflects the consideration to which the entity expects to be entitled in exchange for those goods or services. To achieve that core principle, an entity should apply the following steps:</w:t>
      </w:r>
    </w:p>
    <w:p>
      <w:pPr>
        <w:spacing w:after="0" w:line="21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determined the appropriate method by which we recognize revenue by analyzing the nature of the products or services being provided as well as the terms and conditions of contracts or arrangements entered into with our customers. We account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the majority of our revenue at a point in time when we satisfy a performance obligation and transfer control of the product to the respective customer. The amount of revenue that is recognized is based on the transaction price, which represents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2" w:name="page43"/>
    <w:bookmarkEnd w:id="42"/>
    <w:p>
      <w:pPr>
        <w:jc w:val="both"/>
        <w:ind w:right="20"/>
        <w:spacing w:after="0" w:line="286" w:lineRule="auto"/>
        <w:rPr>
          <w:sz w:val="20"/>
          <w:szCs w:val="20"/>
          <w:color w:val="auto"/>
        </w:rPr>
      </w:pPr>
      <w:r>
        <w:rPr>
          <w:rFonts w:ascii="Arial" w:cs="Arial" w:eastAsia="Arial" w:hAnsi="Arial"/>
          <w:sz w:val="17"/>
          <w:szCs w:val="17"/>
          <w:color w:val="auto"/>
        </w:rPr>
        <w:t>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Agribusiness revenue </w:t>
      </w:r>
      <w:r>
        <w:rPr>
          <w:rFonts w:ascii="Arial" w:cs="Arial" w:eastAsia="Arial" w:hAnsi="Arial"/>
          <w:sz w:val="18"/>
          <w:szCs w:val="18"/>
          <w:color w:val="auto"/>
        </w:rPr>
        <w:t>- Revenue from lemon sales is generally recognized at a point in time when the customer takes control of the fruit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packinghouse which aligns with the transfer of title to the customer. We have elected to treat any shipping and handling costs incurred after control of the goods has been transferred to the customer as agribusiness costs.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avocados, oranges, specialty citrus and other specialty crops are packed and sold by Calavo and other third-party packinghouses. Our arrangements with our third-party packinghouses are such that we are the producer and supplier of the product and the third-party packinghouses are our customers. We control the product until it is delivered to the third-party packinghouses at which time control of the product is transferred to the third-party packinghouses and revenue is recognized.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Revenue from crop insurance proceeds is recorded when the amount can be reasonably determined and upon establishment of the present right to payment.</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Rental Operations Revenue </w:t>
      </w:r>
      <w:r>
        <w:rPr>
          <w:rFonts w:ascii="Arial" w:cs="Arial" w:eastAsia="Arial" w:hAnsi="Arial"/>
          <w:sz w:val="18"/>
          <w:szCs w:val="18"/>
          <w:color w:val="auto"/>
        </w:rPr>
        <w:t>- Minimum rental revenues are generally recognized on a straight-line basis over the respective initial lease term.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rental revenues are contractually defined as to the percentage of rent received by us and are based on fees collected by the lessee. Such revenues are recognized when actual results, based on collected fees reported by the tenant, are received. Our rental arrangements generally require payment on a monthly or quarterly basis.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Real Estate Development Costs </w:t>
      </w:r>
      <w:r>
        <w:rPr>
          <w:rFonts w:ascii="Arial" w:cs="Arial" w:eastAsia="Arial" w:hAnsi="Arial"/>
          <w:sz w:val="16"/>
          <w:szCs w:val="16"/>
          <w:color w:val="auto"/>
        </w:rPr>
        <w:t>- We capitalize the planning, entitlement, construction and development costs associated with our various real estate</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Costs incurred to sell the real estate are evaluated for capitalization in accordance with ASC 340-40, and incremental costs of obtaining a contract and costs to fulfill a contract are capitalized only if the costs relate directly to a specifically identified contract, enhance resources to satisfy performance obligations in the future and are expected to be recovered.</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Financing and payment </w:t>
      </w:r>
      <w:r>
        <w:rPr>
          <w:rFonts w:ascii="Arial" w:cs="Arial" w:eastAsia="Arial" w:hAnsi="Arial"/>
          <w:sz w:val="16"/>
          <w:szCs w:val="16"/>
          <w:color w:val="auto"/>
        </w:rPr>
        <w:t>- Our payment terms vary by the type and location of our customer and the products or services offered. Payment terms differ by</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and customer but payment is generally required in a term ranging from 30 to 60 days from date of shipment or satisfaction of the performance obligation. We do not provide financing with extended payment terms beyond generally standard commercial payment terms for the applicable industry.</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 Taxes collected from customers and remitted to government authorities and that are related to the sales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are excluded from revenues.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 PDA and San Pablo’s functional currency is the Chilean Peso. Their balance sheets are translated to U.S. dollars at</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rates in effect at the balance sheet dates and their income statements are translated at average exchange rates during the reporting period. The resulting foreign currency translation adjustments are recorded as a separate component of accumulated other comprehensive income.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income tax assets and liabilities are computed annually for differences between the financial statement and income tax bases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Business Combinations and Asset Acquisitions </w:t>
      </w:r>
      <w:r>
        <w:rPr>
          <w:rFonts w:ascii="Arial" w:cs="Arial" w:eastAsia="Arial" w:hAnsi="Arial"/>
          <w:sz w:val="18"/>
          <w:szCs w:val="18"/>
          <w:color w:val="auto"/>
        </w:rPr>
        <w:t>- Business combinations are accounted for under the acquisition method in accordance with ASC 805,</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Combinations. The acquisition method requires identifiable assets acquired and liabilities assumed and any noncontrolling interest in the business acquired be recognized and measured at fair value on the acquisition date, which is the date that the acquirer obtains control of the acquired business. The amount by which the fair value of consideration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3" w:name="page44"/>
    <w:bookmarkEnd w:id="43"/>
    <w:p>
      <w:pPr>
        <w:jc w:val="both"/>
        <w:spacing w:after="0" w:line="275" w:lineRule="auto"/>
        <w:rPr>
          <w:sz w:val="20"/>
          <w:szCs w:val="20"/>
          <w:color w:val="auto"/>
        </w:rPr>
      </w:pPr>
      <w:r>
        <w:rPr>
          <w:rFonts w:ascii="Arial" w:cs="Arial" w:eastAsia="Arial" w:hAnsi="Arial"/>
          <w:sz w:val="17"/>
          <w:szCs w:val="17"/>
          <w:color w:val="auto"/>
        </w:rPr>
        <w:t>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 We evaluate our long-lived assets including our real estate development projects for impairment when events or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circumstances indicate the carrying value of these assets may not be recoverable.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Defined Benefit Retirement Plan </w:t>
      </w:r>
      <w:r>
        <w:rPr>
          <w:rFonts w:ascii="Arial" w:cs="Arial" w:eastAsia="Arial" w:hAnsi="Arial"/>
          <w:sz w:val="16"/>
          <w:szCs w:val="16"/>
          <w:color w:val="auto"/>
        </w:rPr>
        <w:t>- As discussed in the notes to our consolidated financial statements, we sponsor a defined benefit retirement plan that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frozen in June 2004, and no future benefits have accrued subsequent to that time. Ongoing accounting for this plan under FASB ASC 715, </w:t>
      </w:r>
      <w:r>
        <w:rPr>
          <w:rFonts w:ascii="Arial" w:cs="Arial" w:eastAsia="Arial" w:hAnsi="Arial"/>
          <w:sz w:val="16"/>
          <w:szCs w:val="16"/>
          <w:i w:val="1"/>
          <w:iCs w:val="1"/>
          <w:color w:val="auto"/>
        </w:rPr>
        <w:t>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Retirement Benefits</w:t>
      </w:r>
      <w:r>
        <w:rPr>
          <w:rFonts w:ascii="Arial" w:cs="Arial" w:eastAsia="Arial" w:hAnsi="Arial"/>
          <w:sz w:val="16"/>
          <w:szCs w:val="16"/>
          <w:color w:val="auto"/>
        </w:rPr>
        <w:t>, provides guidance as to, among other things, future estimated pension expense, pension liability and minimum funding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This information is provided to us by third-party actuarial consultants. In developing this data, certain estimates and assumptions are used, including among other things, discount rate, long-term rate of return on assets and mortality tables. During 2020, the Society of Actuaries (SOA) released a new mortality improvement scale table, referred to as MP-2020, which is believed to better reflect mortality improvements and is to be used in calculating defined benefit pension obligations. In addition, during fiscal year 2020, the assumed discount rate to measure the pension obligation decreased to 2.5%. We used the latest mortality tables released by the SOA through October 2020 to measure our pension obligation as of October 31, 2020 and combined with the assumed discount rate and other demographic assumptions, our pension liability increased by approximately $0.5 million as of October 31, 2020. Further changes in any of these estimates could materially affect the amounts recorded that are related to our defined benefit retirement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 "Summary of Significant Accounting Policies" of the notes to consolidated financial statements included in this Quarterly Report on Form 10-Q for information concerning recent accounting pronouncements.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material changes in the disclosures discussed in the section entitled “Quantitative and Qualitative Disclosures about Market Risk” in Part II, Item 7A of our Annual Report on Form 10-K for the fiscal year ended October 31, 2020 as filed with the SEC on January 14,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1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i w:val="1"/>
          <w:iCs w:val="1"/>
          <w:color w:val="auto"/>
        </w:rPr>
        <w:t xml:space="preserve">Disclosure Controls and Procedures. </w:t>
      </w:r>
      <w:r>
        <w:rPr>
          <w:rFonts w:ascii="Arial" w:cs="Arial" w:eastAsia="Arial" w:hAnsi="Arial"/>
          <w:sz w:val="18"/>
          <w:szCs w:val="18"/>
          <w:color w:val="auto"/>
        </w:rPr>
        <w:t>As of April 30, 2021, we conducted an evaluation, under the supervision and with the participation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as such term is defined in Rule 13a-15(e) promulgated under the Securities Exchange Act of 1934, as amended (the "Exchange Act"). Based upon that evaluation, our Chief Executive Officer and Chief Financial Officer concluded that our disclosure controls and procedures were not effective as of the end of the period covered by this Quarterly Report on Form 10-Q due to the material weakness identified in our internal control over financial reporting described below.</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previously disclosed in our Annual Report on Form 10-K for the fiscal year ended October 31, 2020, although there were no material errors that resulted from control deficiencies, we identified a material weakness in our internal control over financial reporting related to the inadequate design and operating effectiveness of certain controls in the areas of journal entries and agribusiness revenues and expenses related to an acquired foreign subsidiary in the first year the subsidiary was included in management’s evaluation of the effectiveness of the Company’s internal control over financial reporting.</w:t>
      </w:r>
    </w:p>
    <w:p>
      <w:pPr>
        <w:spacing w:after="0" w:line="18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are taking steps to remediate this material weakness, including implementing new policies and procedures to enhance (a) the design of our process level controls over the recording of journal entries and controls over revenues and expenses at the foreign subsidiary where we identified the control deficiencies and (b) management’s review controls over financial information of the foreign subsidiary.</w:t>
      </w:r>
    </w:p>
    <w:p>
      <w:pPr>
        <w:spacing w:after="0" w:line="19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believe the remediation measures will strengthen our internal control over financial reporting and remediate the material weakness identified. However, as we are still assessing the design and operating effectiveness of these measures, the identified material weakness has not been fully remediated as of April 30, 2021. We will continue to monitor the effectiveness of these remediation measures and will make any changes and take such other actions that we deem appropriate.</w:t>
      </w:r>
    </w:p>
    <w:p>
      <w:pPr>
        <w:spacing w:after="0" w:line="190"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We assessed the impact of the material weakness to the consolidated financial statements to ensure that the Company’s consolidated financial statements were prepared in accordance with generally accepted accounting principles and accurately reflect its financial position and results of operation for the quarter ended April 30, 2021. As a result, notwithstanding the material weakness as described above, management concluded that the consolidated financial statements included in this Form 10-Q present fairly, in all material respects, the Company’s financial position, results of operations and cash flows for the periods presented in conformity with accounting principles generally accepted in the United States of America.</w:t>
      </w:r>
    </w:p>
    <w:p>
      <w:pPr>
        <w:spacing w:after="0" w:line="16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material changes in our internal control over financial reporting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this Quarterly Report on Form 10-Q or, to our knowledge, in other factors that have materially affected, or are reasonably likely to materially affect, our internal control over financial reporting, except for the remediation steps taken to address the material weakness in internal control over financial reporting described above.</w:t>
      </w:r>
    </w:p>
    <w:p>
      <w:pPr>
        <w:spacing w:after="0" w:line="2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Limitations on the Effectiveness of Controls. </w:t>
      </w:r>
      <w:r>
        <w:rPr>
          <w:rFonts w:ascii="Arial" w:cs="Arial" w:eastAsia="Arial" w:hAnsi="Arial"/>
          <w:sz w:val="16"/>
          <w:szCs w:val="16"/>
          <w:color w:val="auto"/>
        </w:rPr>
        <w:t>Control systems, no matter how well conceived and operated, are designed to provide a reasonable, but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contemplated by governmental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material changes in the disclosures discussed in the section entitled “Risk Factors” in Part I, Item 1A of our Annual Report on Form 10-K for the fiscal year ended October 31, 2020, as filed with the SEC on January 14,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23, 2021, the Company held its 2021 Annual Meeting of Stockholders (the “Annual Meeting”) via live webcast communication. A total of 17,699,717 shares of the Company’s Common Stock, par value $0.01 per share, each of which is entitled to one vote (“Common Stock”); 14,790 shares of its Series B 8.75% Convertible Preferred Stock, par value $100.00 per share, each of which is entitled to ten votes for a total of 147,900 (“Series B Preferred Stock”); and 9,300 shares of its Series B-2 4% Convertible Preferred Stock, par value $100.00 per share, each of which is entitled to one vote (“Series B-2 Preferred Stock”), were issued, outstanding, and entitled to vote as of February 1, 2021, the record date for the Annual Meeting. There were 15,034,506 shares of Common Stock; 14,790 shares (or 147,900 votes) of Series B Preferred Stock; and 9,300 shares of Series B-2 Preferred Stock present, in person or by proxy, at the Annual Meeting, representing approximately 84.26% of the total shares of capital stock outstanding, which constituted a quorum.</w:t>
      </w:r>
    </w:p>
    <w:p>
      <w:pPr>
        <w:spacing w:after="0" w:line="21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stockholders were asked to vote on three proposals, with Common Stock, Series B Preferred Stock, and Series B-2 Preferred Stock voting together as a single class for all of the proposals. Set forth below are the matters acted upon by the stockholders and the final voting results of each such proposal.</w:t>
      </w:r>
    </w:p>
    <w:p>
      <w:pPr>
        <w:spacing w:after="0"/>
        <w:rPr>
          <w:sz w:val="20"/>
          <w:szCs w:val="20"/>
          <w:color w:val="auto"/>
        </w:rPr>
      </w:pPr>
      <w:r>
        <w:rPr>
          <w:rFonts w:ascii="Arial" w:cs="Arial" w:eastAsia="Arial" w:hAnsi="Arial"/>
          <w:sz w:val="18"/>
          <w:szCs w:val="18"/>
          <w:b w:val="1"/>
          <w:bCs w:val="1"/>
          <w:u w:val="single" w:color="auto"/>
          <w:color w:val="auto"/>
        </w:rPr>
        <w:t>Proposal 1: Election of Directors</w:t>
      </w:r>
    </w:p>
    <w:p>
      <w:pPr>
        <w:spacing w:after="0" w:line="9"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The following votes were cast with respect to the election of the following nominees as directors of the Company to hold office for a three-year term, ending at the 2024 Annual Meeting of Stockholders: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Voted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20" w:type="dxa"/>
            <w:vAlign w:val="bottom"/>
            <w:tcBorders>
              <w:top w:val="single" w:sz="8" w:color="auto"/>
            </w:tcBorders>
            <w:shd w:val="clear" w:color="auto" w:fill="CCEEFF"/>
          </w:tcPr>
          <w:p>
            <w:pPr>
              <w:spacing w:after="0"/>
              <w:rPr>
                <w:sz w:val="19"/>
                <w:szCs w:val="19"/>
                <w:color w:val="auto"/>
              </w:rPr>
            </w:pPr>
          </w:p>
        </w:tc>
        <w:tc>
          <w:tcPr>
            <w:tcW w:w="2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For</w:t>
            </w:r>
          </w:p>
        </w:tc>
        <w:tc>
          <w:tcPr>
            <w:tcW w:w="26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Withheld</w:t>
            </w:r>
          </w:p>
        </w:tc>
        <w:tc>
          <w:tcPr>
            <w:tcW w:w="2980" w:type="dxa"/>
            <w:vAlign w:val="bottom"/>
            <w:tcBorders>
              <w:top w:val="single" w:sz="8" w:color="auto"/>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Harold S. Edwards</w:t>
            </w:r>
          </w:p>
        </w:tc>
        <w:tc>
          <w:tcPr>
            <w:tcW w:w="2820" w:type="dxa"/>
            <w:vAlign w:val="bottom"/>
          </w:tcPr>
          <w:p>
            <w:pPr>
              <w:jc w:val="center"/>
              <w:spacing w:after="0"/>
              <w:rPr>
                <w:sz w:val="20"/>
                <w:szCs w:val="20"/>
                <w:color w:val="auto"/>
              </w:rPr>
            </w:pPr>
            <w:r>
              <w:rPr>
                <w:rFonts w:ascii="Arial" w:cs="Arial" w:eastAsia="Arial" w:hAnsi="Arial"/>
                <w:sz w:val="18"/>
                <w:szCs w:val="18"/>
                <w:color w:val="auto"/>
                <w:w w:val="88"/>
              </w:rPr>
              <w:t>12,668,386</w:t>
            </w:r>
          </w:p>
        </w:tc>
        <w:tc>
          <w:tcPr>
            <w:tcW w:w="2620" w:type="dxa"/>
            <w:vAlign w:val="bottom"/>
          </w:tcPr>
          <w:p>
            <w:pPr>
              <w:jc w:val="center"/>
              <w:ind w:left="70"/>
              <w:spacing w:after="0"/>
              <w:rPr>
                <w:sz w:val="20"/>
                <w:szCs w:val="20"/>
                <w:color w:val="auto"/>
              </w:rPr>
            </w:pPr>
            <w:r>
              <w:rPr>
                <w:rFonts w:ascii="Arial" w:cs="Arial" w:eastAsia="Arial" w:hAnsi="Arial"/>
                <w:sz w:val="18"/>
                <w:szCs w:val="18"/>
                <w:color w:val="auto"/>
                <w:w w:val="89"/>
              </w:rPr>
              <w:t>654,400</w:t>
            </w:r>
          </w:p>
        </w:tc>
        <w:tc>
          <w:tcPr>
            <w:tcW w:w="2980" w:type="dxa"/>
            <w:vAlign w:val="bottom"/>
          </w:tcPr>
          <w:p>
            <w:pPr>
              <w:jc w:val="center"/>
              <w:ind w:left="90"/>
              <w:spacing w:after="0"/>
              <w:rPr>
                <w:sz w:val="20"/>
                <w:szCs w:val="20"/>
                <w:color w:val="auto"/>
              </w:rPr>
            </w:pPr>
            <w:r>
              <w:rPr>
                <w:rFonts w:ascii="Arial" w:cs="Arial" w:eastAsia="Arial" w:hAnsi="Arial"/>
                <w:sz w:val="18"/>
                <w:szCs w:val="18"/>
                <w:color w:val="auto"/>
                <w:w w:val="89"/>
              </w:rPr>
              <w:t>1,993,345</w:t>
            </w: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 W. H. Merriman</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10,356,854</w:t>
            </w:r>
          </w:p>
        </w:tc>
        <w:tc>
          <w:tcPr>
            <w:tcW w:w="26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2,533,493</w:t>
            </w:r>
          </w:p>
        </w:tc>
        <w:tc>
          <w:tcPr>
            <w:tcW w:w="29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1,993,345</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Edgar A. Terry</w:t>
            </w:r>
          </w:p>
        </w:tc>
        <w:tc>
          <w:tcPr>
            <w:tcW w:w="2820" w:type="dxa"/>
            <w:vAlign w:val="bottom"/>
          </w:tcPr>
          <w:p>
            <w:pPr>
              <w:jc w:val="center"/>
              <w:spacing w:after="0"/>
              <w:rPr>
                <w:sz w:val="20"/>
                <w:szCs w:val="20"/>
                <w:color w:val="auto"/>
              </w:rPr>
            </w:pPr>
            <w:r>
              <w:rPr>
                <w:rFonts w:ascii="Arial" w:cs="Arial" w:eastAsia="Arial" w:hAnsi="Arial"/>
                <w:sz w:val="18"/>
                <w:szCs w:val="18"/>
                <w:color w:val="auto"/>
                <w:w w:val="88"/>
              </w:rPr>
              <w:t>12,677,672</w:t>
            </w:r>
          </w:p>
        </w:tc>
        <w:tc>
          <w:tcPr>
            <w:tcW w:w="2620" w:type="dxa"/>
            <w:vAlign w:val="bottom"/>
          </w:tcPr>
          <w:p>
            <w:pPr>
              <w:jc w:val="center"/>
              <w:ind w:left="70"/>
              <w:spacing w:after="0"/>
              <w:rPr>
                <w:sz w:val="20"/>
                <w:szCs w:val="20"/>
                <w:color w:val="auto"/>
              </w:rPr>
            </w:pPr>
            <w:r>
              <w:rPr>
                <w:rFonts w:ascii="Arial" w:cs="Arial" w:eastAsia="Arial" w:hAnsi="Arial"/>
                <w:sz w:val="18"/>
                <w:szCs w:val="18"/>
                <w:color w:val="auto"/>
                <w:w w:val="89"/>
              </w:rPr>
              <w:t>212,675</w:t>
            </w:r>
          </w:p>
        </w:tc>
        <w:tc>
          <w:tcPr>
            <w:tcW w:w="2980" w:type="dxa"/>
            <w:vAlign w:val="bottom"/>
          </w:tcPr>
          <w:p>
            <w:pPr>
              <w:jc w:val="center"/>
              <w:ind w:left="90"/>
              <w:spacing w:after="0"/>
              <w:rPr>
                <w:sz w:val="20"/>
                <w:szCs w:val="20"/>
                <w:color w:val="auto"/>
              </w:rPr>
            </w:pPr>
            <w:r>
              <w:rPr>
                <w:rFonts w:ascii="Arial" w:cs="Arial" w:eastAsia="Arial" w:hAnsi="Arial"/>
                <w:sz w:val="18"/>
                <w:szCs w:val="18"/>
                <w:color w:val="auto"/>
                <w:w w:val="89"/>
              </w:rPr>
              <w:t>1,993,345</w:t>
            </w:r>
          </w:p>
        </w:tc>
      </w:tr>
    </w:tbl>
    <w:p>
      <w:pPr>
        <w:spacing w:after="0" w:line="32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the votes set forth above, each of the nominees listed above was duly elected to serve as a director of the Company for a three-year term, ending at the 2024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Proposal 2: Ratification of Selection of Independent Registered Public Accounting Firm</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votes were cast with respect to the ratification of the selection of Deloitte &amp; Touche LLP as the independent registered public accounting firm for the Company to serve for the fiscal year ending October 31, 2021: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Voted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For</w:t>
            </w:r>
          </w:p>
        </w:tc>
        <w:tc>
          <w:tcPr>
            <w:tcW w:w="3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3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Abstain</w:t>
            </w:r>
          </w:p>
        </w:tc>
      </w:tr>
      <w:tr>
        <w:trPr>
          <w:trHeight w:val="224"/>
        </w:trPr>
        <w:tc>
          <w:tcPr>
            <w:tcW w:w="3800" w:type="dxa"/>
            <w:vAlign w:val="bottom"/>
          </w:tcPr>
          <w:p>
            <w:pPr>
              <w:jc w:val="right"/>
              <w:ind w:right="1430"/>
              <w:spacing w:after="0"/>
              <w:rPr>
                <w:sz w:val="20"/>
                <w:szCs w:val="20"/>
                <w:color w:val="auto"/>
              </w:rPr>
            </w:pPr>
            <w:r>
              <w:rPr>
                <w:rFonts w:ascii="Arial" w:cs="Arial" w:eastAsia="Arial" w:hAnsi="Arial"/>
                <w:sz w:val="18"/>
                <w:szCs w:val="18"/>
                <w:color w:val="auto"/>
              </w:rPr>
              <w:t>15,000,809</w:t>
            </w:r>
          </w:p>
        </w:tc>
        <w:tc>
          <w:tcPr>
            <w:tcW w:w="3680" w:type="dxa"/>
            <w:vAlign w:val="bottom"/>
          </w:tcPr>
          <w:p>
            <w:pPr>
              <w:jc w:val="right"/>
              <w:ind w:right="1530"/>
              <w:spacing w:after="0"/>
              <w:rPr>
                <w:sz w:val="20"/>
                <w:szCs w:val="20"/>
                <w:color w:val="auto"/>
              </w:rPr>
            </w:pPr>
            <w:r>
              <w:rPr>
                <w:rFonts w:ascii="Arial" w:cs="Arial" w:eastAsia="Arial" w:hAnsi="Arial"/>
                <w:sz w:val="18"/>
                <w:szCs w:val="18"/>
                <w:color w:val="auto"/>
              </w:rPr>
              <w:t>31,336</w:t>
            </w:r>
          </w:p>
        </w:tc>
        <w:tc>
          <w:tcPr>
            <w:tcW w:w="3760" w:type="dxa"/>
            <w:vAlign w:val="bottom"/>
          </w:tcPr>
          <w:p>
            <w:pPr>
              <w:jc w:val="right"/>
              <w:ind w:right="1590"/>
              <w:spacing w:after="0"/>
              <w:rPr>
                <w:sz w:val="20"/>
                <w:szCs w:val="20"/>
                <w:color w:val="auto"/>
              </w:rPr>
            </w:pPr>
            <w:r>
              <w:rPr>
                <w:rFonts w:ascii="Arial" w:cs="Arial" w:eastAsia="Arial" w:hAnsi="Arial"/>
                <w:sz w:val="18"/>
                <w:szCs w:val="18"/>
                <w:color w:val="auto"/>
              </w:rPr>
              <w:t>2,360</w:t>
            </w:r>
          </w:p>
        </w:tc>
      </w:tr>
    </w:tbl>
    <w:p>
      <w:pPr>
        <w:spacing w:after="0" w:line="32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the votes set forth above, the selection of Deloitte &amp; Touche LLP as the independent registered public accounting firm for the Company to serve for the fiscal year ending October 31, 2021 was duly ratified by the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3: Advisory Vote on Executive Compensation</w:t>
      </w:r>
    </w:p>
    <w:p>
      <w:pPr>
        <w:spacing w:after="0" w:line="256"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compensation of the named executive officers, as disclosed in the Company’s proxy statement pursuant to Item 402 of Regulation S-K under the Securities Act of 1933, as amended, and the Securities Exchange Act of 1934, as amended, was approved on a non-binding, advisory basis by the stockholders by the votes set forth in the table below:</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Voted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For</w:t>
            </w:r>
          </w:p>
        </w:tc>
        <w:tc>
          <w:tcPr>
            <w:tcW w:w="2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2580" w:type="dxa"/>
            <w:vAlign w:val="bottom"/>
            <w:tcBorders>
              <w:top w:val="single" w:sz="8" w:color="auto"/>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b w:val="1"/>
                <w:bCs w:val="1"/>
                <w:color w:val="auto"/>
                <w:w w:val="90"/>
              </w:rPr>
              <w:t>Abstain</w:t>
            </w:r>
          </w:p>
        </w:tc>
        <w:tc>
          <w:tcPr>
            <w:tcW w:w="3000" w:type="dxa"/>
            <w:vAlign w:val="bottom"/>
            <w:tcBorders>
              <w:top w:val="single" w:sz="8" w:color="auto"/>
              <w:bottom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840" w:type="dxa"/>
            <w:vAlign w:val="bottom"/>
          </w:tcPr>
          <w:p>
            <w:pPr>
              <w:jc w:val="right"/>
              <w:ind w:right="930"/>
              <w:spacing w:after="0"/>
              <w:rPr>
                <w:sz w:val="20"/>
                <w:szCs w:val="20"/>
                <w:color w:val="auto"/>
              </w:rPr>
            </w:pPr>
            <w:r>
              <w:rPr>
                <w:rFonts w:ascii="Arial" w:cs="Arial" w:eastAsia="Arial" w:hAnsi="Arial"/>
                <w:sz w:val="18"/>
                <w:szCs w:val="18"/>
                <w:color w:val="auto"/>
              </w:rPr>
              <w:t>11,543,170</w:t>
            </w:r>
          </w:p>
        </w:tc>
        <w:tc>
          <w:tcPr>
            <w:tcW w:w="2820" w:type="dxa"/>
            <w:vAlign w:val="bottom"/>
          </w:tcPr>
          <w:p>
            <w:pPr>
              <w:jc w:val="right"/>
              <w:ind w:right="990"/>
              <w:spacing w:after="0"/>
              <w:rPr>
                <w:sz w:val="20"/>
                <w:szCs w:val="20"/>
                <w:color w:val="auto"/>
              </w:rPr>
            </w:pPr>
            <w:r>
              <w:rPr>
                <w:rFonts w:ascii="Arial" w:cs="Arial" w:eastAsia="Arial" w:hAnsi="Arial"/>
                <w:sz w:val="18"/>
                <w:szCs w:val="18"/>
                <w:color w:val="auto"/>
              </w:rPr>
              <w:t>1,454,627</w:t>
            </w:r>
          </w:p>
        </w:tc>
        <w:tc>
          <w:tcPr>
            <w:tcW w:w="2580" w:type="dxa"/>
            <w:vAlign w:val="bottom"/>
          </w:tcPr>
          <w:p>
            <w:pPr>
              <w:jc w:val="right"/>
              <w:ind w:right="870"/>
              <w:spacing w:after="0"/>
              <w:rPr>
                <w:sz w:val="20"/>
                <w:szCs w:val="20"/>
                <w:color w:val="auto"/>
              </w:rPr>
            </w:pPr>
            <w:r>
              <w:rPr>
                <w:rFonts w:ascii="Arial" w:cs="Arial" w:eastAsia="Arial" w:hAnsi="Arial"/>
                <w:sz w:val="18"/>
                <w:szCs w:val="18"/>
                <w:color w:val="auto"/>
              </w:rPr>
              <w:t>43,363</w:t>
            </w:r>
          </w:p>
        </w:tc>
        <w:tc>
          <w:tcPr>
            <w:tcW w:w="3000" w:type="dxa"/>
            <w:vAlign w:val="bottom"/>
          </w:tcPr>
          <w:p>
            <w:pPr>
              <w:jc w:val="right"/>
              <w:ind w:right="950"/>
              <w:spacing w:after="0"/>
              <w:rPr>
                <w:sz w:val="20"/>
                <w:szCs w:val="20"/>
                <w:color w:val="auto"/>
              </w:rPr>
            </w:pPr>
            <w:r>
              <w:rPr>
                <w:rFonts w:ascii="Arial" w:cs="Arial" w:eastAsia="Arial" w:hAnsi="Arial"/>
                <w:sz w:val="18"/>
                <w:szCs w:val="18"/>
                <w:color w:val="auto"/>
              </w:rPr>
              <w:t>1,993,345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9960" w:type="dxa"/>
            <w:vAlign w:val="bottom"/>
            <w:gridSpan w:val="26"/>
            <w:vMerge w:val="restart"/>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29"/>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9960" w:type="dxa"/>
            <w:vAlign w:val="bottom"/>
            <w:tcBorders>
              <w:bottom w:val="single" w:sz="8" w:color="auto"/>
            </w:tcBorders>
            <w:gridSpan w:val="2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3.1</w:t>
            </w:r>
          </w:p>
        </w:tc>
        <w:tc>
          <w:tcPr>
            <w:tcW w:w="9960" w:type="dxa"/>
            <w:vAlign w:val="bottom"/>
            <w:gridSpan w:val="26"/>
          </w:tcPr>
          <w:p>
            <w:pPr>
              <w:spacing w:after="0" w:line="182" w:lineRule="exact"/>
              <w:rPr>
                <w:rFonts w:ascii="Arial" w:cs="Arial" w:eastAsia="Arial" w:hAnsi="Arial"/>
                <w:sz w:val="18"/>
                <w:szCs w:val="18"/>
                <w:color w:val="0000FF"/>
                <w:w w:val="98"/>
              </w:rPr>
            </w:pPr>
            <w:hyperlink r:id="rId67">
              <w:r>
                <w:rPr>
                  <w:rFonts w:ascii="Arial" w:cs="Arial" w:eastAsia="Arial" w:hAnsi="Arial"/>
                  <w:sz w:val="18"/>
                  <w:szCs w:val="18"/>
                  <w:color w:val="0000FF"/>
                  <w:w w:val="98"/>
                </w:rPr>
                <w:t>Restated Certificate of Incorporation of Limoneira Company, dated July 5, 1990 (Incorporated by reference to exhibit 3.1 to the</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3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3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FF"/>
                <w:w w:val="98"/>
              </w:rPr>
            </w:pPr>
            <w:hyperlink r:id="rId68">
              <w:r>
                <w:rPr>
                  <w:rFonts w:ascii="Arial" w:cs="Arial" w:eastAsia="Arial" w:hAnsi="Arial"/>
                  <w:sz w:val="18"/>
                  <w:szCs w:val="18"/>
                  <w:color w:val="0000FF"/>
                  <w:w w:val="98"/>
                </w:rPr>
                <w:t>Certificate of Merger of Limoneira Company and The Samuel Edwards Associates into Limoneira Company, dated October 31,</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9800" w:type="dxa"/>
            <w:vAlign w:val="bottom"/>
            <w:tcBorders>
              <w:top w:val="single" w:sz="8" w:color="0000FF"/>
            </w:tcBorders>
            <w:gridSpan w:val="18"/>
          </w:tcPr>
          <w:p>
            <w:pPr>
              <w:spacing w:after="0" w:line="156" w:lineRule="exact"/>
              <w:rPr>
                <w:rFonts w:ascii="Arial" w:cs="Arial" w:eastAsia="Arial" w:hAnsi="Arial"/>
                <w:sz w:val="18"/>
                <w:szCs w:val="18"/>
                <w:color w:val="0000FF"/>
                <w:w w:val="96"/>
              </w:rPr>
            </w:pPr>
            <w:hyperlink r:id="rId68">
              <w:r>
                <w:rPr>
                  <w:rFonts w:ascii="Arial" w:cs="Arial" w:eastAsia="Arial" w:hAnsi="Arial"/>
                  <w:sz w:val="18"/>
                  <w:szCs w:val="18"/>
                  <w:color w:val="0000FF"/>
                  <w:w w:val="96"/>
                </w:rPr>
                <w:t>1990 (Incorporated by reference to exhibit 3.2 to the Company’s Registration Statement on Form 10, and amendments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6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declared effective April 13, 2010 (File No. 000-53885))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FF"/>
                <w:w w:val="98"/>
              </w:rPr>
            </w:pPr>
            <w:hyperlink r:id="rId69">
              <w:r>
                <w:rPr>
                  <w:rFonts w:ascii="Arial" w:cs="Arial" w:eastAsia="Arial" w:hAnsi="Arial"/>
                  <w:sz w:val="18"/>
                  <w:szCs w:val="18"/>
                  <w:color w:val="0000FF"/>
                  <w:w w:val="98"/>
                </w:rPr>
                <w:t>Certificate of Merger of McKevett Corporation into Limoneira Company dated December 31, 1994 (Incorporated by reference to</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3.3</w:t>
            </w:r>
          </w:p>
        </w:tc>
        <w:tc>
          <w:tcPr>
            <w:tcW w:w="992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3"/>
              </w:rPr>
            </w:pPr>
            <w:hyperlink r:id="rId69">
              <w:r>
                <w:rPr>
                  <w:rFonts w:ascii="Arial" w:cs="Arial" w:eastAsia="Arial" w:hAnsi="Arial"/>
                  <w:sz w:val="18"/>
                  <w:szCs w:val="18"/>
                  <w:color w:val="0000FF"/>
                  <w:w w:val="93"/>
                </w:rPr>
                <w:t>exhibit 3.3 to the Company’s Registration Statement on Form 10, and amendments thereto, declared effective April 13, 2010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0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69">
              <w:r>
                <w:rPr>
                  <w:rFonts w:ascii="Arial" w:cs="Arial" w:eastAsia="Arial" w:hAnsi="Arial"/>
                  <w:sz w:val="18"/>
                  <w:szCs w:val="18"/>
                  <w:color w:val="0000FF"/>
                  <w:w w:val="89"/>
                </w:rPr>
                <w:t>000-53885))</w:t>
              </w:r>
            </w:hyperlink>
          </w:p>
        </w:tc>
        <w:tc>
          <w:tcPr>
            <w:tcW w:w="1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FF"/>
                <w:w w:val="98"/>
              </w:rPr>
            </w:pPr>
            <w:hyperlink r:id="rId70">
              <w:r>
                <w:rPr>
                  <w:rFonts w:ascii="Arial" w:cs="Arial" w:eastAsia="Arial" w:hAnsi="Arial"/>
                  <w:sz w:val="18"/>
                  <w:szCs w:val="18"/>
                  <w:color w:val="0000FF"/>
                  <w:w w:val="98"/>
                </w:rPr>
                <w:t>Agreement of Merger Between Ronald Michaelis Ranches, Inc. and Limoneira Company, dated June 24, 1997 (Incorporated by</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3.4</w:t>
            </w:r>
          </w:p>
        </w:tc>
        <w:tc>
          <w:tcPr>
            <w:tcW w:w="9780" w:type="dxa"/>
            <w:vAlign w:val="bottom"/>
            <w:tcBorders>
              <w:top w:val="single" w:sz="8" w:color="0000FF"/>
            </w:tcBorders>
            <w:gridSpan w:val="17"/>
          </w:tcPr>
          <w:p>
            <w:pPr>
              <w:spacing w:after="0" w:line="156"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reference to exhibit 3.6 to the Company’s Registration Statement on Form 10, and amendments thereto, declared effective April 13,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2010 (File No. 000-53885))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FF"/>
                <w:w w:val="96"/>
              </w:rPr>
            </w:pPr>
            <w:hyperlink r:id="rId71">
              <w:r>
                <w:rPr>
                  <w:rFonts w:ascii="Arial" w:cs="Arial" w:eastAsia="Arial" w:hAnsi="Arial"/>
                  <w:sz w:val="18"/>
                  <w:szCs w:val="18"/>
                  <w:color w:val="0000FF"/>
                  <w:w w:val="96"/>
                </w:rPr>
                <w:t>Certificate of Amendment of Certificate of Incorporation of Limoneira Company, dated April 22, 2003 (Incorporated by reference to</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3.5</w:t>
            </w:r>
          </w:p>
        </w:tc>
        <w:tc>
          <w:tcPr>
            <w:tcW w:w="98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exhibit 3.7 to the Company’s Registration Statement on Form 10, and amendments thereto, declared effective April 13, 2010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0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71">
              <w:r>
                <w:rPr>
                  <w:rFonts w:ascii="Arial" w:cs="Arial" w:eastAsia="Arial" w:hAnsi="Arial"/>
                  <w:sz w:val="18"/>
                  <w:szCs w:val="18"/>
                  <w:color w:val="0000FF"/>
                  <w:w w:val="89"/>
                </w:rPr>
                <w:t>000-53885))</w:t>
              </w:r>
            </w:hyperlink>
          </w:p>
        </w:tc>
        <w:tc>
          <w:tcPr>
            <w:tcW w:w="1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FF"/>
                <w:w w:val="94"/>
              </w:rPr>
            </w:pPr>
            <w:hyperlink r:id="rId72">
              <w:r>
                <w:rPr>
                  <w:rFonts w:ascii="Arial" w:cs="Arial" w:eastAsia="Arial" w:hAnsi="Arial"/>
                  <w:sz w:val="18"/>
                  <w:szCs w:val="18"/>
                  <w:color w:val="0000FF"/>
                  <w:w w:val="94"/>
                </w:rPr>
                <w:t>Certificate of Amendment of Certificate of Incorporation of Limoneira Company, dated March 24, 2010 (Incorporated by reference to</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3.6</w:t>
            </w:r>
          </w:p>
        </w:tc>
        <w:tc>
          <w:tcPr>
            <w:tcW w:w="97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exhibit 3.9 to the Company’s Registration Statement on Form 10, and amendments thereto, declared effective April 13, 2010 (File No.</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0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000-53885))</w:t>
              </w:r>
            </w:hyperlink>
          </w:p>
        </w:tc>
        <w:tc>
          <w:tcPr>
            <w:tcW w:w="1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3.7</w:t>
            </w:r>
          </w:p>
        </w:tc>
        <w:tc>
          <w:tcPr>
            <w:tcW w:w="9960" w:type="dxa"/>
            <w:vAlign w:val="bottom"/>
            <w:gridSpan w:val="26"/>
          </w:tcPr>
          <w:p>
            <w:pPr>
              <w:spacing w:after="0"/>
              <w:rPr>
                <w:rFonts w:ascii="Arial" w:cs="Arial" w:eastAsia="Arial" w:hAnsi="Arial"/>
                <w:sz w:val="18"/>
                <w:szCs w:val="18"/>
                <w:color w:val="0000FF"/>
                <w:w w:val="94"/>
              </w:rPr>
            </w:pPr>
            <w:hyperlink r:id="rId73">
              <w:r>
                <w:rPr>
                  <w:rFonts w:ascii="Arial" w:cs="Arial" w:eastAsia="Arial" w:hAnsi="Arial"/>
                  <w:sz w:val="18"/>
                  <w:szCs w:val="18"/>
                  <w:color w:val="0000FF"/>
                  <w:w w:val="94"/>
                </w:rPr>
                <w:t>Certificate of Amendment of Certificate of Incorporation of Limoneira Company, dated March 29, 2017 (Incorporated by reference to</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74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exhibit 3.1 to the Company’s Current Report on Form 8-K, filed March 31, 2017 (File No. 001-34755))</w:t>
              </w:r>
            </w:hyperlink>
          </w:p>
        </w:tc>
        <w:tc>
          <w:tcPr>
            <w:tcW w:w="226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3.8</w:t>
            </w:r>
          </w:p>
        </w:tc>
        <w:tc>
          <w:tcPr>
            <w:tcW w:w="9960" w:type="dxa"/>
            <w:vAlign w:val="bottom"/>
            <w:gridSpan w:val="26"/>
          </w:tcPr>
          <w:p>
            <w:pPr>
              <w:spacing w:after="0"/>
              <w:rPr>
                <w:rFonts w:ascii="Arial" w:cs="Arial" w:eastAsia="Arial" w:hAnsi="Arial"/>
                <w:sz w:val="18"/>
                <w:szCs w:val="18"/>
                <w:color w:val="0000FF"/>
                <w:w w:val="95"/>
              </w:rPr>
            </w:pPr>
            <w:hyperlink r:id="rId74">
              <w:r>
                <w:rPr>
                  <w:rFonts w:ascii="Arial" w:cs="Arial" w:eastAsia="Arial" w:hAnsi="Arial"/>
                  <w:sz w:val="18"/>
                  <w:szCs w:val="18"/>
                  <w:color w:val="0000FF"/>
                  <w:w w:val="95"/>
                </w:rPr>
                <w:t>Amended and Restated Bylaws of Limoneira Company (Incorporated by reference to exhibit 3.10 to the Company’s Annual Report</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4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on Form 10-K, filed January 14, 2013 (File No. 001-34755))</w:t>
              </w:r>
            </w:hyperlink>
          </w:p>
        </w:tc>
        <w:tc>
          <w:tcPr>
            <w:tcW w:w="55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3.8.1</w:t>
            </w:r>
          </w:p>
        </w:tc>
        <w:tc>
          <w:tcPr>
            <w:tcW w:w="9960" w:type="dxa"/>
            <w:vAlign w:val="bottom"/>
            <w:gridSpan w:val="26"/>
          </w:tcPr>
          <w:p>
            <w:pPr>
              <w:spacing w:after="0"/>
              <w:rPr>
                <w:rFonts w:ascii="Arial" w:cs="Arial" w:eastAsia="Arial" w:hAnsi="Arial"/>
                <w:sz w:val="18"/>
                <w:szCs w:val="18"/>
                <w:color w:val="0000FF"/>
                <w:w w:val="96"/>
              </w:rPr>
            </w:pPr>
            <w:hyperlink r:id="rId75">
              <w:r>
                <w:rPr>
                  <w:rFonts w:ascii="Arial" w:cs="Arial" w:eastAsia="Arial" w:hAnsi="Arial"/>
                  <w:sz w:val="18"/>
                  <w:szCs w:val="18"/>
                  <w:color w:val="0000FF"/>
                  <w:w w:val="96"/>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9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Current Report on Form 8-K, filed September 25, 2013 (File No. 001-34755))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6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3.8.2</w:t>
            </w:r>
          </w:p>
        </w:tc>
        <w:tc>
          <w:tcPr>
            <w:tcW w:w="9960" w:type="dxa"/>
            <w:vAlign w:val="bottom"/>
            <w:gridSpan w:val="26"/>
          </w:tcPr>
          <w:p>
            <w:pPr>
              <w:spacing w:after="0"/>
              <w:rPr>
                <w:rFonts w:ascii="Arial" w:cs="Arial" w:eastAsia="Arial" w:hAnsi="Arial"/>
                <w:sz w:val="18"/>
                <w:szCs w:val="18"/>
                <w:color w:val="0000FF"/>
                <w:w w:val="96"/>
              </w:rPr>
            </w:pPr>
            <w:hyperlink r:id="rId76">
              <w:r>
                <w:rPr>
                  <w:rFonts w:ascii="Arial" w:cs="Arial" w:eastAsia="Arial" w:hAnsi="Arial"/>
                  <w:sz w:val="18"/>
                  <w:szCs w:val="18"/>
                  <w:color w:val="0000FF"/>
                  <w:w w:val="96"/>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56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Current Report on Form 8-K, filed December 18, 2014 (File No. 001-34755))</w:t>
              </w:r>
            </w:hyperlink>
          </w:p>
        </w:tc>
        <w:tc>
          <w:tcPr>
            <w:tcW w:w="428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3.8.3</w:t>
            </w:r>
          </w:p>
        </w:tc>
        <w:tc>
          <w:tcPr>
            <w:tcW w:w="9960" w:type="dxa"/>
            <w:vAlign w:val="bottom"/>
            <w:gridSpan w:val="26"/>
          </w:tcPr>
          <w:p>
            <w:pPr>
              <w:spacing w:after="0"/>
              <w:rPr>
                <w:rFonts w:ascii="Arial" w:cs="Arial" w:eastAsia="Arial" w:hAnsi="Arial"/>
                <w:sz w:val="18"/>
                <w:szCs w:val="18"/>
                <w:color w:val="0000FF"/>
                <w:w w:val="96"/>
              </w:rPr>
            </w:pPr>
            <w:hyperlink r:id="rId77">
              <w:r>
                <w:rPr>
                  <w:rFonts w:ascii="Arial" w:cs="Arial" w:eastAsia="Arial" w:hAnsi="Arial"/>
                  <w:sz w:val="18"/>
                  <w:szCs w:val="18"/>
                  <w:color w:val="0000FF"/>
                  <w:w w:val="96"/>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54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Current Report on Form 8-K, filed January 25, 2017 (File No. 001-34755))</w:t>
              </w:r>
            </w:hyperlink>
          </w:p>
        </w:tc>
        <w:tc>
          <w:tcPr>
            <w:tcW w:w="448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3.8.4</w:t>
            </w:r>
          </w:p>
        </w:tc>
        <w:tc>
          <w:tcPr>
            <w:tcW w:w="9960" w:type="dxa"/>
            <w:vAlign w:val="bottom"/>
            <w:gridSpan w:val="26"/>
          </w:tcPr>
          <w:p>
            <w:pPr>
              <w:spacing w:after="0"/>
              <w:rPr>
                <w:rFonts w:ascii="Arial" w:cs="Arial" w:eastAsia="Arial" w:hAnsi="Arial"/>
                <w:sz w:val="18"/>
                <w:szCs w:val="18"/>
                <w:color w:val="0000FF"/>
                <w:w w:val="96"/>
              </w:rPr>
            </w:pPr>
            <w:hyperlink r:id="rId78">
              <w:r>
                <w:rPr>
                  <w:rFonts w:ascii="Arial" w:cs="Arial" w:eastAsia="Arial" w:hAnsi="Arial"/>
                  <w:sz w:val="18"/>
                  <w:szCs w:val="18"/>
                  <w:color w:val="0000FF"/>
                  <w:w w:val="96"/>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51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Current Report on Form 8-K, filed July 26, 2017 (File No. 001-34755))</w:t>
              </w:r>
            </w:hyperlink>
          </w:p>
        </w:tc>
        <w:tc>
          <w:tcPr>
            <w:tcW w:w="474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9960" w:type="dxa"/>
            <w:vAlign w:val="bottom"/>
            <w:gridSpan w:val="26"/>
          </w:tcPr>
          <w:p>
            <w:pPr>
              <w:spacing w:after="0"/>
              <w:rPr>
                <w:rFonts w:ascii="Arial" w:cs="Arial" w:eastAsia="Arial" w:hAnsi="Arial"/>
                <w:sz w:val="18"/>
                <w:szCs w:val="18"/>
                <w:color w:val="0000FF"/>
                <w:w w:val="93"/>
              </w:rPr>
            </w:pPr>
            <w:hyperlink r:id="rId79">
              <w:r>
                <w:rPr>
                  <w:rFonts w:ascii="Arial" w:cs="Arial" w:eastAsia="Arial" w:hAnsi="Arial"/>
                  <w:sz w:val="18"/>
                  <w:szCs w:val="18"/>
                  <w:color w:val="0000FF"/>
                  <w:w w:val="93"/>
                </w:rPr>
                <w:t xml:space="preserve">Specimen Certificate representing shares of Common Stock, par value </w:t>
              </w:r>
              <w:r>
                <w:rPr>
                  <w:rFonts w:ascii="Arial" w:cs="Arial" w:eastAsia="Arial" w:hAnsi="Arial"/>
                  <w:sz w:val="18"/>
                  <w:szCs w:val="18"/>
                  <w:u w:val="single" w:color="auto"/>
                  <w:color w:val="0000FF"/>
                  <w:w w:val="93"/>
                </w:rPr>
                <w:t>$</w:t>
              </w:r>
              <w:r>
                <w:rPr>
                  <w:rFonts w:ascii="Arial" w:cs="Arial" w:eastAsia="Arial" w:hAnsi="Arial"/>
                  <w:sz w:val="18"/>
                  <w:szCs w:val="18"/>
                  <w:color w:val="0000FF"/>
                  <w:w w:val="93"/>
                </w:rPr>
                <w:t>0.01 per share (Incorporated by reference to exhibit 4.1 to the</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93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79">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480" w:type="dxa"/>
            <w:vAlign w:val="bottom"/>
            <w:tcBorders>
              <w:top w:val="single" w:sz="8" w:color="0000FF"/>
            </w:tcBorders>
            <w:gridSpan w:val="10"/>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FF"/>
              </w:rPr>
            </w:pPr>
            <w:hyperlink r:id="rId80">
              <w:r>
                <w:rPr>
                  <w:rFonts w:ascii="Arial" w:cs="Arial" w:eastAsia="Arial" w:hAnsi="Arial"/>
                  <w:sz w:val="18"/>
                  <w:szCs w:val="18"/>
                  <w:color w:val="0000FF"/>
                </w:rPr>
                <w:t>Rights  Agreement  dated  December  20,  2006  between  Limoneira  Company  and  The  Bank  of  New  York,  as  Rights</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4.2</w:t>
            </w:r>
          </w:p>
        </w:tc>
        <w:tc>
          <w:tcPr>
            <w:tcW w:w="98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6"/>
              </w:rPr>
            </w:pPr>
            <w:hyperlink r:id="rId80">
              <w:r>
                <w:rPr>
                  <w:rFonts w:ascii="Arial" w:cs="Arial" w:eastAsia="Arial" w:hAnsi="Arial"/>
                  <w:sz w:val="18"/>
                  <w:szCs w:val="18"/>
                  <w:color w:val="0000FF"/>
                  <w:w w:val="96"/>
                </w:rPr>
                <w:t>Agent (Incorporated by reference to exhibit 4.2 to the Company’s Registration Statement on Form 10, and amendments thereto,</w:t>
              </w:r>
            </w:hyperlink>
          </w:p>
        </w:tc>
        <w:tc>
          <w:tcPr>
            <w:tcW w:w="120" w:type="dxa"/>
            <w:vAlign w:val="bottom"/>
            <w:tcBorders>
              <w:bottom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9940" w:type="dxa"/>
            <w:vAlign w:val="bottom"/>
            <w:gridSpan w:val="25"/>
          </w:tcPr>
          <w:p>
            <w:pPr>
              <w:spacing w:after="0" w:line="156" w:lineRule="exact"/>
              <w:rPr>
                <w:rFonts w:ascii="Arial" w:cs="Arial" w:eastAsia="Arial" w:hAnsi="Arial"/>
                <w:sz w:val="18"/>
                <w:szCs w:val="18"/>
                <w:color w:val="0000FF"/>
              </w:rPr>
            </w:pPr>
            <w:hyperlink r:id="rId80">
              <w:r>
                <w:rPr>
                  <w:rFonts w:ascii="Arial" w:cs="Arial" w:eastAsia="Arial" w:hAnsi="Arial"/>
                  <w:sz w:val="18"/>
                  <w:szCs w:val="18"/>
                  <w:color w:val="0000FF"/>
                </w:rPr>
                <w:t>declared effective April 13, 2010 (File No. 000-53885))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6"/>
          </w:tcPr>
          <w:p>
            <w:pPr>
              <w:spacing w:after="0"/>
              <w:rPr>
                <w:rFonts w:ascii="Arial" w:cs="Arial" w:eastAsia="Arial" w:hAnsi="Arial"/>
                <w:sz w:val="18"/>
                <w:szCs w:val="18"/>
                <w:color w:val="0000FF"/>
                <w:w w:val="99"/>
              </w:rPr>
            </w:pPr>
            <w:hyperlink r:id="rId81">
              <w:r>
                <w:rPr>
                  <w:rFonts w:ascii="Arial" w:cs="Arial" w:eastAsia="Arial" w:hAnsi="Arial"/>
                  <w:sz w:val="18"/>
                  <w:szCs w:val="18"/>
                  <w:color w:val="0000FF"/>
                  <w:w w:val="99"/>
                </w:rPr>
                <w:t xml:space="preserve">Certificate of Designation, Preferences and Rights of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 xml:space="preserve">8.75 Voting Preferred Stock,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100.00 Par Value, Series B of Limoneira</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96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Company, dated May 21, 1997 (Incorporated by reference to exhibit 3.4 to the Company’s Registration Statement on Form 10, and</w:t>
              </w:r>
            </w:hyperlink>
          </w:p>
        </w:tc>
        <w:tc>
          <w:tcPr>
            <w:tcW w:w="80" w:type="dxa"/>
            <w:vAlign w:val="bottom"/>
            <w:tcBorders>
              <w:bottom w:val="single" w:sz="8" w:color="0000FF"/>
            </w:tcBorders>
            <w:gridSpan w:val="4"/>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9760" w:type="dxa"/>
            <w:vAlign w:val="bottom"/>
            <w:gridSpan w:val="16"/>
          </w:tcPr>
          <w:p>
            <w:pPr>
              <w:spacing w:after="0" w:line="156" w:lineRule="exact"/>
              <w:rPr>
                <w:rFonts w:ascii="Arial" w:cs="Arial" w:eastAsia="Arial" w:hAnsi="Arial"/>
                <w:sz w:val="18"/>
                <w:szCs w:val="18"/>
                <w:color w:val="0000FF"/>
              </w:rPr>
            </w:pPr>
            <w:hyperlink r:id="rId81">
              <w:r>
                <w:rPr>
                  <w:rFonts w:ascii="Arial" w:cs="Arial" w:eastAsia="Arial" w:hAnsi="Arial"/>
                  <w:sz w:val="18"/>
                  <w:szCs w:val="18"/>
                  <w:color w:val="0000FF"/>
                </w:rPr>
                <w:t>amendments thereto, declared effective April 13, 2010 (File No. 000-53885))</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35" w:right="7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9800" w:type="dxa"/>
            <w:vAlign w:val="bottom"/>
            <w:gridSpan w:val="15"/>
            <w:vMerge w:val="restart"/>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29"/>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9800" w:type="dxa"/>
            <w:vAlign w:val="bottom"/>
            <w:tcBorders>
              <w:bottom w:val="single" w:sz="8" w:color="auto"/>
            </w:tcBorders>
            <w:gridSpan w:val="1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9800" w:type="dxa"/>
            <w:vAlign w:val="bottom"/>
            <w:gridSpan w:val="15"/>
          </w:tcPr>
          <w:p>
            <w:pPr>
              <w:spacing w:after="0" w:line="182" w:lineRule="exact"/>
              <w:rPr>
                <w:rFonts w:ascii="Arial" w:cs="Arial" w:eastAsia="Arial" w:hAnsi="Arial"/>
                <w:sz w:val="18"/>
                <w:szCs w:val="18"/>
                <w:color w:val="0000FF"/>
                <w:w w:val="98"/>
              </w:rPr>
            </w:pPr>
            <w:hyperlink r:id="rId83">
              <w:r>
                <w:rPr>
                  <w:rFonts w:ascii="Arial" w:cs="Arial" w:eastAsia="Arial" w:hAnsi="Arial"/>
                  <w:sz w:val="18"/>
                  <w:szCs w:val="18"/>
                  <w:color w:val="0000FF"/>
                  <w:w w:val="98"/>
                </w:rPr>
                <w:t xml:space="preserve">Amended Certificate of Designation, Preferences and Rights of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 xml:space="preserve">8.75 Voting Preferred Stock,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100.00 Par Value, Series B of</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4.4</w:t>
            </w:r>
          </w:p>
        </w:tc>
        <w:tc>
          <w:tcPr>
            <w:tcW w:w="96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Limoneira Company, dated May 21, 1997 (Incorporated by reference to exhibit 3.5 to the Company’s Registration Statement on Form</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20" w:type="dxa"/>
            <w:vAlign w:val="bottom"/>
            <w:gridSpan w:val="11"/>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10, and amendments thereto, declared effective April 13, 2010 (File No. 000-53885))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8"/>
                <w:szCs w:val="18"/>
                <w:color w:val="0000FF"/>
                <w:w w:val="96"/>
              </w:rPr>
            </w:pPr>
            <w:hyperlink r:id="rId84">
              <w:r>
                <w:rPr>
                  <w:rFonts w:ascii="Arial" w:cs="Arial" w:eastAsia="Arial" w:hAnsi="Arial"/>
                  <w:sz w:val="18"/>
                  <w:szCs w:val="18"/>
                  <w:color w:val="0000FF"/>
                  <w:w w:val="96"/>
                </w:rPr>
                <w:t>Certificate of Designation, Preferences and Rights of Series A Junior Participating Preferred Stock, $.01 Par Value, of Limoneira</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4.5</w:t>
            </w:r>
          </w:p>
        </w:tc>
        <w:tc>
          <w:tcPr>
            <w:tcW w:w="978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84">
              <w:r>
                <w:rPr>
                  <w:rFonts w:ascii="Arial" w:cs="Arial" w:eastAsia="Arial" w:hAnsi="Arial"/>
                  <w:sz w:val="18"/>
                  <w:szCs w:val="18"/>
                  <w:color w:val="0000FF"/>
                  <w:w w:val="92"/>
                </w:rPr>
                <w:t>Company, dated November 21, 2006 (Incorporated by reference to exhibit 3.8 to the Company’s Registration Statement on Form 10,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58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and amendments thereto, declared effective April 13, 2010 (File No. 000-53885))</w:t>
              </w:r>
            </w:hyperlink>
          </w:p>
        </w:tc>
        <w:tc>
          <w:tcPr>
            <w:tcW w:w="382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8"/>
                <w:szCs w:val="18"/>
                <w:color w:val="0000FF"/>
                <w:w w:val="98"/>
              </w:rPr>
            </w:pPr>
            <w:hyperlink r:id="rId85">
              <w:r>
                <w:rPr>
                  <w:rFonts w:ascii="Arial" w:cs="Arial" w:eastAsia="Arial" w:hAnsi="Arial"/>
                  <w:sz w:val="18"/>
                  <w:szCs w:val="18"/>
                  <w:color w:val="0000FF"/>
                  <w:w w:val="98"/>
                </w:rPr>
                <w:t xml:space="preserve">Certificate of Designation, Preferences and Rights of 4% Voting Preferred Stock,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100.00 Par Value, Series B-2 of Limoneira</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4.6</w:t>
            </w:r>
          </w:p>
        </w:tc>
        <w:tc>
          <w:tcPr>
            <w:tcW w:w="9780" w:type="dxa"/>
            <w:vAlign w:val="bottom"/>
            <w:tcBorders>
              <w:top w:val="single" w:sz="8" w:color="0000FF"/>
            </w:tcBorders>
            <w:gridSpan w:val="14"/>
          </w:tcPr>
          <w:p>
            <w:pPr>
              <w:spacing w:after="0" w:line="156" w:lineRule="exact"/>
              <w:rPr>
                <w:rFonts w:ascii="Arial" w:cs="Arial" w:eastAsia="Arial" w:hAnsi="Arial"/>
                <w:sz w:val="18"/>
                <w:szCs w:val="18"/>
                <w:color w:val="0000FF"/>
                <w:w w:val="97"/>
              </w:rPr>
            </w:pPr>
            <w:hyperlink r:id="rId85">
              <w:r>
                <w:rPr>
                  <w:rFonts w:ascii="Arial" w:cs="Arial" w:eastAsia="Arial" w:hAnsi="Arial"/>
                  <w:sz w:val="18"/>
                  <w:szCs w:val="18"/>
                  <w:color w:val="0000FF"/>
                  <w:w w:val="97"/>
                </w:rPr>
                <w:t>Company, dated March 20, 2014 (Incorporated by reference to exhibit 3.1 to the Company’s Current Report on Form 8-K, filed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28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March 24, 2014 (File No. 001-34755))</w:t>
              </w:r>
            </w:hyperlink>
          </w:p>
        </w:tc>
        <w:tc>
          <w:tcPr>
            <w:tcW w:w="69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tcPr>
          <w:p>
            <w:pPr>
              <w:ind w:left="20"/>
              <w:spacing w:after="0"/>
              <w:rPr>
                <w:sz w:val="20"/>
                <w:szCs w:val="20"/>
                <w:color w:val="auto"/>
              </w:rPr>
            </w:pPr>
            <w:r>
              <w:rPr>
                <w:rFonts w:ascii="Arial" w:cs="Arial" w:eastAsia="Arial" w:hAnsi="Arial"/>
                <w:sz w:val="18"/>
                <w:szCs w:val="18"/>
                <w:color w:val="auto"/>
              </w:rPr>
              <w:t>31.1*</w:t>
            </w:r>
          </w:p>
        </w:tc>
        <w:tc>
          <w:tcPr>
            <w:tcW w:w="750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Certification of the Principal Executive Officer pursuant to Exchange Act Rule 13a-14(a) and 15d-14(a)</w:t>
              </w:r>
            </w:hyperlink>
          </w:p>
        </w:tc>
        <w:tc>
          <w:tcPr>
            <w:tcW w:w="2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ind w:left="20"/>
              <w:spacing w:after="0"/>
              <w:rPr>
                <w:sz w:val="20"/>
                <w:szCs w:val="20"/>
                <w:color w:val="auto"/>
              </w:rPr>
            </w:pPr>
            <w:r>
              <w:rPr>
                <w:rFonts w:ascii="Arial" w:cs="Arial" w:eastAsia="Arial" w:hAnsi="Arial"/>
                <w:sz w:val="18"/>
                <w:szCs w:val="18"/>
                <w:color w:val="auto"/>
              </w:rPr>
              <w:t>31.2*</w:t>
            </w:r>
          </w:p>
        </w:tc>
        <w:tc>
          <w:tcPr>
            <w:tcW w:w="9800" w:type="dxa"/>
            <w:vAlign w:val="bottom"/>
            <w:gridSpan w:val="15"/>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Certification of the Principal Financial Officer pursuant to Exchange Act Rule 13a-14(a) and 15d-14(a)</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360" w:type="dxa"/>
            <w:vAlign w:val="bottom"/>
            <w:gridSpan w:val="4"/>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9800" w:type="dxa"/>
            <w:vAlign w:val="bottom"/>
            <w:gridSpan w:val="15"/>
          </w:tcPr>
          <w:p>
            <w:pPr>
              <w:spacing w:after="0"/>
              <w:rPr>
                <w:rFonts w:ascii="Arial" w:cs="Arial" w:eastAsia="Arial" w:hAnsi="Arial"/>
                <w:sz w:val="18"/>
                <w:szCs w:val="18"/>
                <w:color w:val="0000FF"/>
                <w:w w:val="98"/>
              </w:rPr>
            </w:pPr>
            <w:hyperlink w:anchor="page53">
              <w:r>
                <w:rPr>
                  <w:rFonts w:ascii="Arial" w:cs="Arial" w:eastAsia="Arial" w:hAnsi="Arial"/>
                  <w:sz w:val="18"/>
                  <w:szCs w:val="18"/>
                  <w:color w:val="0000FF"/>
                  <w:w w:val="98"/>
                </w:rPr>
                <w:t>Certification of the Principal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20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w:anchor="page53">
              <w:r>
                <w:rPr>
                  <w:rFonts w:ascii="Arial" w:cs="Arial" w:eastAsia="Arial" w:hAnsi="Arial"/>
                  <w:sz w:val="18"/>
                  <w:szCs w:val="18"/>
                  <w:color w:val="0000FF"/>
                  <w:w w:val="91"/>
                </w:rPr>
                <w:t>Sarbanes-Oxley Act of 2002</w:t>
              </w:r>
            </w:hyperlink>
          </w:p>
        </w:tc>
        <w:tc>
          <w:tcPr>
            <w:tcW w:w="768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9800" w:type="dxa"/>
            <w:vAlign w:val="bottom"/>
            <w:gridSpan w:val="15"/>
          </w:tcPr>
          <w:p>
            <w:pPr>
              <w:spacing w:after="0"/>
              <w:rPr>
                <w:rFonts w:ascii="Arial" w:cs="Arial" w:eastAsia="Arial" w:hAnsi="Arial"/>
                <w:sz w:val="18"/>
                <w:szCs w:val="18"/>
                <w:color w:val="0000FF"/>
                <w:w w:val="99"/>
              </w:rPr>
            </w:pPr>
            <w:hyperlink w:anchor="page54">
              <w:r>
                <w:rPr>
                  <w:rFonts w:ascii="Arial" w:cs="Arial" w:eastAsia="Arial" w:hAnsi="Arial"/>
                  <w:sz w:val="18"/>
                  <w:szCs w:val="18"/>
                  <w:color w:val="0000FF"/>
                  <w:w w:val="99"/>
                </w:rPr>
                <w:t>Certification of the Principal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54">
              <w:r>
                <w:rPr>
                  <w:rFonts w:ascii="Arial" w:cs="Arial" w:eastAsia="Arial" w:hAnsi="Arial"/>
                  <w:sz w:val="18"/>
                  <w:szCs w:val="18"/>
                  <w:color w:val="0000FF"/>
                  <w:w w:val="90"/>
                </w:rPr>
                <w:t>Sarbanes-Oxley Act of 2002</w:t>
              </w:r>
            </w:hyperlink>
          </w:p>
        </w:tc>
        <w:tc>
          <w:tcPr>
            <w:tcW w:w="7600" w:type="dxa"/>
            <w:vAlign w:val="bottom"/>
            <w:tcBorders>
              <w:top w:val="single" w:sz="8" w:color="0000FF"/>
            </w:tcBorders>
            <w:gridSpan w:val="7"/>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1140" w:type="dxa"/>
            <w:vAlign w:val="bottom"/>
          </w:tcPr>
          <w:p>
            <w:pPr>
              <w:ind w:left="20"/>
              <w:spacing w:after="0"/>
              <w:rPr>
                <w:sz w:val="20"/>
                <w:szCs w:val="20"/>
                <w:color w:val="auto"/>
              </w:rPr>
            </w:pPr>
            <w:r>
              <w:rPr>
                <w:rFonts w:ascii="Arial" w:cs="Arial" w:eastAsia="Arial" w:hAnsi="Arial"/>
                <w:sz w:val="18"/>
                <w:szCs w:val="18"/>
                <w:color w:val="auto"/>
              </w:rPr>
              <w:t>101.INS*</w:t>
            </w:r>
          </w:p>
        </w:tc>
        <w:tc>
          <w:tcPr>
            <w:tcW w:w="980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101.SCH*</w:t>
            </w:r>
          </w:p>
        </w:tc>
        <w:tc>
          <w:tcPr>
            <w:tcW w:w="980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101.CAL*</w:t>
            </w:r>
          </w:p>
        </w:tc>
        <w:tc>
          <w:tcPr>
            <w:tcW w:w="980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101.DEF*</w:t>
            </w:r>
          </w:p>
        </w:tc>
        <w:tc>
          <w:tcPr>
            <w:tcW w:w="980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101.LAB*</w:t>
            </w:r>
          </w:p>
        </w:tc>
        <w:tc>
          <w:tcPr>
            <w:tcW w:w="980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101.PRE*</w:t>
            </w:r>
          </w:p>
        </w:tc>
        <w:tc>
          <w:tcPr>
            <w:tcW w:w="980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40" w:right="20" w:hanging="1114"/>
        <w:spacing w:after="0" w:line="235"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cover page for the Company's Quarterly Report on Form 10-Q for the quarter ended April 30, 2021, has been formatted in Inline XBRL.</w:t>
      </w:r>
    </w:p>
    <w:p>
      <w:pPr>
        <w:spacing w:after="0" w:line="1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or furnished herewith,</w:t>
      </w:r>
    </w:p>
    <w:p>
      <w:pPr>
        <w:spacing w:after="0" w:line="252" w:lineRule="exact"/>
        <w:rPr>
          <w:rFonts w:ascii="Arial" w:cs="Arial" w:eastAsia="Arial" w:hAnsi="Arial"/>
          <w:sz w:val="18"/>
          <w:szCs w:val="18"/>
          <w:color w:val="auto"/>
        </w:rPr>
      </w:pPr>
    </w:p>
    <w:p>
      <w:pPr>
        <w:jc w:val="both"/>
        <w:ind w:left="1140"/>
        <w:spacing w:after="0" w:line="214" w:lineRule="auto"/>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45" w:right="7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0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LIMONEIRA COMPANY</w:t>
      </w:r>
    </w:p>
    <w:p>
      <w:pPr>
        <w:spacing w:after="0" w:line="252" w:lineRule="exact"/>
        <w:rPr>
          <w:sz w:val="20"/>
          <w:szCs w:val="20"/>
          <w:color w:val="auto"/>
        </w:rPr>
      </w:pPr>
    </w:p>
    <w:p>
      <w:pPr>
        <w:ind w:left="20"/>
        <w:spacing w:after="0"/>
        <w:tabs>
          <w:tab w:leader="none" w:pos="5320" w:val="left"/>
          <w:tab w:leader="none" w:pos="5820" w:val="left"/>
        </w:tabs>
        <w:rPr>
          <w:sz w:val="20"/>
          <w:szCs w:val="20"/>
          <w:color w:val="auto"/>
        </w:rPr>
      </w:pPr>
      <w:r>
        <w:rPr>
          <w:rFonts w:ascii="Arial" w:cs="Arial" w:eastAsia="Arial" w:hAnsi="Arial"/>
          <w:sz w:val="18"/>
          <w:szCs w:val="18"/>
          <w:color w:val="auto"/>
        </w:rPr>
        <w:t>June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23495</wp:posOffset>
            </wp:positionV>
            <wp:extent cx="3437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20"/>
        <w:spacing w:after="0"/>
        <w:tabs>
          <w:tab w:leader="none" w:pos="5320" w:val="left"/>
          <w:tab w:leader="none" w:pos="5820" w:val="left"/>
        </w:tabs>
        <w:rPr>
          <w:sz w:val="20"/>
          <w:szCs w:val="20"/>
          <w:color w:val="auto"/>
        </w:rPr>
      </w:pPr>
      <w:r>
        <w:rPr>
          <w:rFonts w:ascii="Arial" w:cs="Arial" w:eastAsia="Arial" w:hAnsi="Arial"/>
          <w:sz w:val="18"/>
          <w:szCs w:val="18"/>
          <w:color w:val="auto"/>
        </w:rPr>
        <w:t>June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23495</wp:posOffset>
            </wp:positionV>
            <wp:extent cx="3437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Mark Palamountain</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ind w:left="5840"/>
        <w:spacing w:after="0"/>
        <w:rPr>
          <w:sz w:val="20"/>
          <w:szCs w:val="20"/>
          <w:color w:val="auto"/>
        </w:rPr>
      </w:pPr>
      <w:r>
        <w:rPr>
          <w:rFonts w:ascii="Arial" w:cs="Arial" w:eastAsia="Arial" w:hAnsi="Arial"/>
          <w:sz w:val="18"/>
          <w:szCs w:val="18"/>
          <w:color w:val="auto"/>
        </w:rPr>
        <w:t>Treasurer and Corporate Secretary</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69"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Harold S. Edwards, certify that:</w:t>
      </w:r>
    </w:p>
    <w:p>
      <w:pPr>
        <w:spacing w:after="0" w:line="252" w:lineRule="exact"/>
        <w:rPr>
          <w:sz w:val="20"/>
          <w:szCs w:val="20"/>
          <w:color w:val="auto"/>
        </w:rPr>
      </w:pPr>
    </w:p>
    <w:p>
      <w:pPr>
        <w:ind w:left="360" w:hanging="31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52"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60" w:hanging="412"/>
        <w:spacing w:after="0" w:line="308" w:lineRule="auto"/>
        <w:tabs>
          <w:tab w:leader="none" w:pos="428"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460" w:hanging="412"/>
        <w:spacing w:after="0" w:line="263" w:lineRule="auto"/>
        <w:tabs>
          <w:tab w:leader="none" w:pos="4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0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86"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00" w:hanging="406"/>
        <w:spacing w:after="0" w:line="342" w:lineRule="auto"/>
        <w:tabs>
          <w:tab w:leader="none" w:pos="99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00" w:hanging="406"/>
        <w:spacing w:after="0" w:line="263" w:lineRule="auto"/>
        <w:tabs>
          <w:tab w:leader="none" w:pos="89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460" w:right="20" w:hanging="412"/>
        <w:spacing w:after="0" w:line="308" w:lineRule="auto"/>
        <w:tabs>
          <w:tab w:leader="none" w:pos="37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hanging="406"/>
        <w:spacing w:after="0" w:line="277" w:lineRule="auto"/>
        <w:tabs>
          <w:tab w:leader="none" w:pos="89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20" w:hanging="406"/>
        <w:spacing w:after="0" w:line="277" w:lineRule="auto"/>
        <w:tabs>
          <w:tab w:leader="none" w:pos="9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18"/>
          <w:szCs w:val="18"/>
          <w:color w:val="auto"/>
        </w:rPr>
        <w:t>June 8, 2021</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66040</wp:posOffset>
            </wp:positionV>
            <wp:extent cx="33858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Palamountain, certify that:</w:t>
      </w:r>
    </w:p>
    <w:p>
      <w:pPr>
        <w:spacing w:after="0" w:line="252" w:lineRule="exact"/>
        <w:rPr>
          <w:sz w:val="20"/>
          <w:szCs w:val="20"/>
          <w:color w:val="auto"/>
        </w:rPr>
      </w:pPr>
    </w:p>
    <w:p>
      <w:pPr>
        <w:ind w:left="360" w:hanging="31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52"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60" w:hanging="412"/>
        <w:spacing w:after="0" w:line="308" w:lineRule="auto"/>
        <w:tabs>
          <w:tab w:leader="none" w:pos="4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460" w:hanging="412"/>
        <w:spacing w:after="0" w:line="263" w:lineRule="auto"/>
        <w:tabs>
          <w:tab w:leader="none" w:pos="4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0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86"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00" w:hanging="406"/>
        <w:spacing w:after="0" w:line="342" w:lineRule="auto"/>
        <w:tabs>
          <w:tab w:leader="none" w:pos="99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00" w:hanging="406"/>
        <w:spacing w:after="0" w:line="255" w:lineRule="auto"/>
        <w:tabs>
          <w:tab w:leader="none" w:pos="89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460" w:right="20" w:hanging="412"/>
        <w:spacing w:after="0" w:line="290" w:lineRule="auto"/>
        <w:tabs>
          <w:tab w:leader="none" w:pos="373"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7"/>
          <w:szCs w:val="17"/>
          <w:color w:val="auto"/>
        </w:rPr>
      </w:pPr>
    </w:p>
    <w:p>
      <w:pPr>
        <w:ind w:left="900" w:hanging="406"/>
        <w:spacing w:after="0" w:line="277" w:lineRule="auto"/>
        <w:tabs>
          <w:tab w:leader="none" w:pos="89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20" w:hanging="406"/>
        <w:spacing w:after="0" w:line="277" w:lineRule="auto"/>
        <w:tabs>
          <w:tab w:leader="none" w:pos="9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18"/>
          <w:szCs w:val="18"/>
          <w:color w:val="auto"/>
        </w:rPr>
        <w:t>June 8, 2021</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66040</wp:posOffset>
            </wp:positionV>
            <wp:extent cx="33858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3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April 30, 2021 (the “Report”) of Limoneira Company (the “Registrant”), as filed with the Securities and Exchange Commission on the date hereof, I, Harold S. Edwards, hereby certify that:</w:t>
      </w:r>
    </w:p>
    <w:p>
      <w:pPr>
        <w:spacing w:after="0" w:line="49" w:lineRule="exact"/>
        <w:rPr>
          <w:sz w:val="20"/>
          <w:szCs w:val="20"/>
          <w:color w:val="auto"/>
        </w:rPr>
      </w:pPr>
    </w:p>
    <w:p>
      <w:pPr>
        <w:ind w:left="880" w:hanging="386"/>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00" w:hanging="406"/>
        <w:spacing w:after="0" w:line="277" w:lineRule="auto"/>
        <w:tabs>
          <w:tab w:leader="none" w:pos="9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6140" w:val="left"/>
        </w:tabs>
        <w:rPr>
          <w:sz w:val="20"/>
          <w:szCs w:val="20"/>
          <w:color w:val="auto"/>
        </w:rPr>
      </w:pPr>
      <w:r>
        <w:rPr>
          <w:rFonts w:ascii="Arial" w:cs="Arial" w:eastAsia="Arial" w:hAnsi="Arial"/>
          <w:sz w:val="18"/>
          <w:szCs w:val="18"/>
          <w:color w:val="auto"/>
        </w:rPr>
        <w:t>June 8, 2021</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66040</wp:posOffset>
            </wp:positionV>
            <wp:extent cx="32404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9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769"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3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April 30, 2021 (the “Report”) of Limoneira Company (the “Registrant”), as filed with the Securities and Exchange Commission on the date hereof, I, Mark Palamountain, hereby certify that:</w:t>
      </w:r>
    </w:p>
    <w:p>
      <w:pPr>
        <w:spacing w:after="0" w:line="49" w:lineRule="exact"/>
        <w:rPr>
          <w:sz w:val="20"/>
          <w:szCs w:val="20"/>
          <w:color w:val="auto"/>
        </w:rPr>
      </w:pPr>
    </w:p>
    <w:p>
      <w:pPr>
        <w:ind w:left="880" w:hanging="386"/>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00" w:hanging="406"/>
        <w:spacing w:after="0" w:line="277" w:lineRule="auto"/>
        <w:tabs>
          <w:tab w:leader="none" w:pos="9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20"/>
        <w:spacing w:after="0"/>
        <w:tabs>
          <w:tab w:leader="none" w:pos="6140" w:val="left"/>
        </w:tabs>
        <w:rPr>
          <w:sz w:val="20"/>
          <w:szCs w:val="20"/>
          <w:color w:val="auto"/>
        </w:rPr>
      </w:pPr>
      <w:r>
        <w:rPr>
          <w:rFonts w:ascii="Arial" w:cs="Arial" w:eastAsia="Arial" w:hAnsi="Arial"/>
          <w:sz w:val="18"/>
          <w:szCs w:val="18"/>
          <w:color w:val="auto"/>
        </w:rPr>
        <w:t>June 8, 2021</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66040</wp:posOffset>
            </wp:positionV>
            <wp:extent cx="32404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9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9"/>
    </w:lvl>
  </w:abstractNum>
  <w:abstractNum w:abstractNumId="7">
    <w:nsid w:val="257130A3"/>
    <w:multiLevelType w:val="hybridMultilevel"/>
    <w:lvl w:ilvl="0">
      <w:lvlJc w:val="left"/>
      <w:lvlText w:val="%1."/>
      <w:numFmt w:val="decimal"/>
      <w:start w:val="17"/>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04"/>
    </w:lvl>
    <w:lvl w:ilvl="1">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82"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67" Type="http://schemas.openxmlformats.org/officeDocument/2006/relationships/hyperlink" Target="http://www.sec.gov/Archives/edgar/data/1342423/000114420410007241/v173157_ex3-1.htm" TargetMode="External"/><Relationship Id="rId68" Type="http://schemas.openxmlformats.org/officeDocument/2006/relationships/hyperlink" Target="http://www.sec.gov/Archives/edgar/data/1342423/000114420410007241/v173157_ex3-2.htm" TargetMode="External"/><Relationship Id="rId69" Type="http://schemas.openxmlformats.org/officeDocument/2006/relationships/hyperlink" Target="http://www.sec.gov/Archives/edgar/data/1342423/000114420410007241/v173157_ex3-3.htm" TargetMode="External"/><Relationship Id="rId70" Type="http://schemas.openxmlformats.org/officeDocument/2006/relationships/hyperlink" Target="http://www.sec.gov/Archives/edgar/data/1342423/000114420410007241/v173157_ex3-6.htm" TargetMode="External"/><Relationship Id="rId71" Type="http://schemas.openxmlformats.org/officeDocument/2006/relationships/hyperlink" Target="http://www.sec.gov/Archives/edgar/data/1342423/000114420410007241/v173157_ex3-7.htm" TargetMode="External"/><Relationship Id="rId72" Type="http://schemas.openxmlformats.org/officeDocument/2006/relationships/hyperlink" Target="http://www.sec.gov/Archives/edgar/data/1342423/000114420410017415/v178900_ex3-9.htm" TargetMode="External"/><Relationship Id="rId73" Type="http://schemas.openxmlformats.org/officeDocument/2006/relationships/hyperlink" Target="http://www.sec.gov/Archives/edgar/data/1342423/000114420417018212/v463210_ex3-1.htm" TargetMode="External"/><Relationship Id="rId74" Type="http://schemas.openxmlformats.org/officeDocument/2006/relationships/hyperlink" Target="http://www.sec.gov/Archives/edgar/data/1342423/000114420413002202/v330368_ex3-10.htm" TargetMode="External"/><Relationship Id="rId75" Type="http://schemas.openxmlformats.org/officeDocument/2006/relationships/hyperlink" Target="http://www.sec.gov/Archives/edgar/data/1342423/000114420413052234/v354983_ex3-1.htm" TargetMode="External"/><Relationship Id="rId76" Type="http://schemas.openxmlformats.org/officeDocument/2006/relationships/hyperlink" Target="http://www.sec.gov/Archives/edgar/data/1342423/000114420414074732/v396904_ex3-1.htm" TargetMode="External"/><Relationship Id="rId77" Type="http://schemas.openxmlformats.org/officeDocument/2006/relationships/hyperlink" Target="http://www.sec.gov/Archives/edgar/data/1342423/000114420417003812/v457525_ex3-1.htm" TargetMode="External"/><Relationship Id="rId78" Type="http://schemas.openxmlformats.org/officeDocument/2006/relationships/hyperlink" Target="http://www.sec.gov/Archives/edgar/data/1342423/000114420417038316/v471546_ex3-1.htm" TargetMode="External"/><Relationship Id="rId79" Type="http://schemas.openxmlformats.org/officeDocument/2006/relationships/hyperlink" Target="http://www.sec.gov/Archives/edgar/data/1342423/000114420410007241/v173157_ex4-1.htm" TargetMode="External"/><Relationship Id="rId80" Type="http://schemas.openxmlformats.org/officeDocument/2006/relationships/hyperlink" Target="http://www.sec.gov/Archives/edgar/data/1342423/000114420410007241/v173157_ex4-2.htm" TargetMode="External"/><Relationship Id="rId81" Type="http://schemas.openxmlformats.org/officeDocument/2006/relationships/hyperlink" Target="http://www.sec.gov/Archives/edgar/data/1342423/000114420410007241/v173157_ex3-4.htm" TargetMode="External"/><Relationship Id="rId83" Type="http://schemas.openxmlformats.org/officeDocument/2006/relationships/hyperlink" Target="http://www.sec.gov/Archives/edgar/data/1342423/000114420410007241/v173157_ex3-5.htm" TargetMode="External"/><Relationship Id="rId84" Type="http://schemas.openxmlformats.org/officeDocument/2006/relationships/hyperlink" Target="http://www.sec.gov/Archives/edgar/data/1342423/000114420410007241/v173157_ex3-8.htm" TargetMode="External"/><Relationship Id="rId85" Type="http://schemas.openxmlformats.org/officeDocument/2006/relationships/hyperlink" Target="http://www.sec.gov/Archives/edgar/data/1342423/000114420414017379/v372494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2021-06-08T15:14:24Z</dcterms:created>
  <dcterms:modified xsi:type="dcterms:W3CDTF">2021-06-08T15:14:24Z</dcterms:modified>
</cp:coreProperties>
</file>