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22860</wp:posOffset>
            </wp:positionV>
            <wp:extent cx="4029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8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-199390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41"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JANUARY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0"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0" w:lineRule="exact"/>
        <w:rPr>
          <w:sz w:val="24"/>
          <w:szCs w:val="24"/>
          <w:color w:val="auto"/>
        </w:rPr>
      </w:pPr>
    </w:p>
    <w:p>
      <w:pPr>
        <w:ind w:left="300"/>
        <w:spacing w:after="0"/>
        <w:tabs>
          <w:tab w:leader="none" w:pos="4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-7620</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001-34755</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-294640</wp:posOffset>
            </wp:positionV>
            <wp:extent cx="4029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18" w:lineRule="exact"/>
        <w:rPr>
          <w:sz w:val="24"/>
          <w:szCs w:val="24"/>
          <w:color w:val="auto"/>
        </w:rPr>
      </w:pPr>
    </w:p>
    <w:tbl>
      <w:tblPr>
        <w:tblLayout w:type="fixed"/>
        <w:tblInd w:w="500" w:type="dxa"/>
        <w:tblCellMar>
          <w:top w:w="0" w:type="dxa"/>
          <w:left w:w="0" w:type="dxa"/>
          <w:bottom w:w="0" w:type="dxa"/>
          <w:right w:w="0" w:type="dxa"/>
        </w:tblCellMar>
      </w:tblPr>
      <w:tr>
        <w:trPr>
          <w:trHeight w:val="230"/>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850"/>
              <w:spacing w:after="0"/>
              <w:rPr>
                <w:sz w:val="20"/>
                <w:szCs w:val="20"/>
                <w:color w:val="auto"/>
              </w:rPr>
            </w:pPr>
            <w:r>
              <w:rPr>
                <w:rFonts w:ascii="Arial" w:cs="Arial" w:eastAsia="Arial" w:hAnsi="Arial"/>
                <w:sz w:val="18"/>
                <w:szCs w:val="18"/>
                <w:b w:val="1"/>
                <w:bCs w:val="1"/>
                <w:color w:val="auto"/>
              </w:rPr>
              <w:t>77-0260692</w:t>
            </w:r>
          </w:p>
        </w:tc>
      </w:tr>
      <w:tr>
        <w:trPr>
          <w:trHeight w:val="234"/>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46"/>
        </w:trPr>
        <w:tc>
          <w:tcPr>
            <w:tcW w:w="5600" w:type="dxa"/>
            <w:vAlign w:val="bottom"/>
          </w:tcPr>
          <w:p>
            <w:pPr>
              <w:jc w:val="center"/>
              <w:ind w:right="872"/>
              <w:spacing w:after="0"/>
              <w:rPr>
                <w:sz w:val="20"/>
                <w:szCs w:val="20"/>
                <w:color w:val="auto"/>
              </w:rPr>
            </w:pPr>
            <w:r>
              <w:rPr>
                <w:rFonts w:ascii="Arial" w:cs="Arial" w:eastAsia="Arial" w:hAnsi="Arial"/>
                <w:sz w:val="16"/>
                <w:szCs w:val="16"/>
                <w:b w:val="1"/>
                <w:bCs w:val="1"/>
                <w:color w:val="auto"/>
                <w:w w:val="92"/>
              </w:rPr>
              <w:t>1141 Cummings Road</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Santa Paula</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CA</w:t>
            </w:r>
          </w:p>
        </w:tc>
        <w:tc>
          <w:tcPr>
            <w:tcW w:w="3720" w:type="dxa"/>
            <w:vAlign w:val="bottom"/>
          </w:tcPr>
          <w:p>
            <w:pPr>
              <w:jc w:val="right"/>
              <w:ind w:right="1070"/>
              <w:spacing w:after="0"/>
              <w:rPr>
                <w:sz w:val="20"/>
                <w:szCs w:val="20"/>
                <w:color w:val="auto"/>
              </w:rPr>
            </w:pPr>
            <w:r>
              <w:rPr>
                <w:rFonts w:ascii="Arial" w:cs="Arial" w:eastAsia="Arial" w:hAnsi="Arial"/>
                <w:sz w:val="18"/>
                <w:szCs w:val="18"/>
                <w:b w:val="1"/>
                <w:bCs w:val="1"/>
                <w:color w:val="auto"/>
              </w:rPr>
              <w:t>93060</w:t>
            </w:r>
          </w:p>
        </w:tc>
      </w:tr>
      <w:tr>
        <w:trPr>
          <w:trHeight w:val="234"/>
        </w:trPr>
        <w:tc>
          <w:tcPr>
            <w:tcW w:w="560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21" w:lineRule="exact"/>
        <w:rPr>
          <w:sz w:val="24"/>
          <w:szCs w:val="24"/>
          <w:color w:val="auto"/>
        </w:rPr>
      </w:pPr>
    </w:p>
    <w:tbl>
      <w:tblPr>
        <w:tblLayout w:type="fixed"/>
        <w:tblInd w:w="9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7660" w:type="dxa"/>
            <w:vAlign w:val="bottom"/>
            <w:gridSpan w:val="2"/>
          </w:tcPr>
          <w:p>
            <w:pPr>
              <w:jc w:val="center"/>
              <w:ind w:right="31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337"/>
        </w:trPr>
        <w:tc>
          <w:tcPr>
            <w:tcW w:w="2480" w:type="dxa"/>
            <w:vAlign w:val="bottom"/>
          </w:tcPr>
          <w:p>
            <w:pPr>
              <w:jc w:val="center"/>
              <w:ind w:right="50"/>
              <w:spacing w:after="0"/>
              <w:rPr>
                <w:sz w:val="20"/>
                <w:szCs w:val="20"/>
                <w:color w:val="auto"/>
              </w:rPr>
            </w:pPr>
            <w:r>
              <w:rPr>
                <w:rFonts w:ascii="Arial" w:cs="Arial" w:eastAsia="Arial" w:hAnsi="Arial"/>
                <w:sz w:val="18"/>
                <w:szCs w:val="18"/>
                <w:color w:val="auto"/>
                <w:w w:val="91"/>
              </w:rPr>
              <w:t>Title of Each Class</w:t>
            </w:r>
          </w:p>
        </w:tc>
        <w:tc>
          <w:tcPr>
            <w:tcW w:w="3320" w:type="dxa"/>
            <w:vAlign w:val="bottom"/>
          </w:tcPr>
          <w:p>
            <w:pPr>
              <w:jc w:val="center"/>
              <w:ind w:left="1030"/>
              <w:spacing w:after="0"/>
              <w:rPr>
                <w:sz w:val="20"/>
                <w:szCs w:val="20"/>
                <w:color w:val="auto"/>
              </w:rPr>
            </w:pPr>
            <w:r>
              <w:rPr>
                <w:rFonts w:ascii="Arial" w:cs="Arial" w:eastAsia="Arial" w:hAnsi="Arial"/>
                <w:sz w:val="18"/>
                <w:szCs w:val="18"/>
                <w:color w:val="auto"/>
                <w:w w:val="91"/>
              </w:rPr>
              <w:t>Trading Symbol</w:t>
            </w:r>
          </w:p>
        </w:tc>
        <w:tc>
          <w:tcPr>
            <w:tcW w:w="4340" w:type="dxa"/>
            <w:vAlign w:val="bottom"/>
          </w:tcPr>
          <w:p>
            <w:pPr>
              <w:jc w:val="center"/>
              <w:ind w:left="450"/>
              <w:spacing w:after="0"/>
              <w:rPr>
                <w:sz w:val="20"/>
                <w:szCs w:val="20"/>
                <w:color w:val="auto"/>
              </w:rPr>
            </w:pPr>
            <w:r>
              <w:rPr>
                <w:rFonts w:ascii="Arial" w:cs="Arial" w:eastAsia="Arial" w:hAnsi="Arial"/>
                <w:sz w:val="18"/>
                <w:szCs w:val="18"/>
                <w:color w:val="auto"/>
                <w:w w:val="90"/>
              </w:rPr>
              <w:t>Name of Each Exchange of Which Registered</w:t>
            </w:r>
          </w:p>
        </w:tc>
        <w:tc>
          <w:tcPr>
            <w:tcW w:w="0" w:type="dxa"/>
            <w:vAlign w:val="bottom"/>
          </w:tcPr>
          <w:p>
            <w:pPr>
              <w:spacing w:after="0"/>
              <w:rPr>
                <w:sz w:val="1"/>
                <w:szCs w:val="1"/>
                <w:color w:val="auto"/>
              </w:rPr>
            </w:pPr>
          </w:p>
        </w:tc>
      </w:tr>
      <w:tr>
        <w:trPr>
          <w:trHeight w:val="176"/>
        </w:trPr>
        <w:tc>
          <w:tcPr>
            <w:tcW w:w="248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Common Stock, $0.01 par value</w:t>
            </w:r>
          </w:p>
        </w:tc>
        <w:tc>
          <w:tcPr>
            <w:tcW w:w="3320" w:type="dxa"/>
            <w:vAlign w:val="bottom"/>
            <w:vMerge w:val="restart"/>
          </w:tcPr>
          <w:p>
            <w:pPr>
              <w:jc w:val="center"/>
              <w:ind w:left="1030"/>
              <w:spacing w:after="0"/>
              <w:rPr>
                <w:sz w:val="20"/>
                <w:szCs w:val="20"/>
                <w:color w:val="auto"/>
              </w:rPr>
            </w:pPr>
            <w:r>
              <w:rPr>
                <w:rFonts w:ascii="Arial" w:cs="Arial" w:eastAsia="Arial" w:hAnsi="Arial"/>
                <w:sz w:val="18"/>
                <w:szCs w:val="18"/>
                <w:color w:val="auto"/>
              </w:rPr>
              <w:t>LMNR</w:t>
            </w:r>
          </w:p>
        </w:tc>
        <w:tc>
          <w:tcPr>
            <w:tcW w:w="4340" w:type="dxa"/>
            <w:vAlign w:val="bottom"/>
          </w:tcPr>
          <w:p>
            <w:pPr>
              <w:jc w:val="center"/>
              <w:ind w:left="450"/>
              <w:spacing w:after="0" w:line="176" w:lineRule="exact"/>
              <w:rPr>
                <w:sz w:val="20"/>
                <w:szCs w:val="20"/>
                <w:color w:val="auto"/>
              </w:rPr>
            </w:pPr>
            <w:r>
              <w:rPr>
                <w:rFonts w:ascii="Arial" w:cs="Arial" w:eastAsia="Arial" w:hAnsi="Arial"/>
                <w:sz w:val="18"/>
                <w:szCs w:val="18"/>
                <w:color w:val="auto"/>
                <w:w w:val="96"/>
              </w:rPr>
              <w:t xml:space="preserve">The </w:t>
            </w:r>
            <w:r>
              <w:rPr>
                <w:rFonts w:ascii="Arial" w:cs="Arial" w:eastAsia="Arial" w:hAnsi="Arial"/>
                <w:sz w:val="16"/>
                <w:szCs w:val="16"/>
                <w:color w:val="auto"/>
                <w:w w:val="96"/>
              </w:rPr>
              <w:t>NASDAQ</w:t>
            </w:r>
            <w:r>
              <w:rPr>
                <w:rFonts w:ascii="Arial" w:cs="Arial" w:eastAsia="Arial" w:hAnsi="Arial"/>
                <w:sz w:val="18"/>
                <w:szCs w:val="18"/>
                <w:color w:val="auto"/>
                <w:w w:val="96"/>
              </w:rPr>
              <w:t xml:space="preserve"> Stock Market LLC (NASDAQ Global</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3320" w:type="dxa"/>
            <w:vAlign w:val="bottom"/>
            <w:vMerge w:val="continue"/>
          </w:tcPr>
          <w:p>
            <w:pPr>
              <w:spacing w:after="0"/>
              <w:rPr>
                <w:sz w:val="20"/>
                <w:szCs w:val="20"/>
                <w:color w:val="auto"/>
              </w:rPr>
            </w:pPr>
          </w:p>
        </w:tc>
        <w:tc>
          <w:tcPr>
            <w:tcW w:w="4340" w:type="dxa"/>
            <w:vAlign w:val="bottom"/>
          </w:tcPr>
          <w:p>
            <w:pPr>
              <w:jc w:val="center"/>
              <w:ind w:left="430"/>
              <w:spacing w:after="0"/>
              <w:rPr>
                <w:sz w:val="20"/>
                <w:szCs w:val="20"/>
                <w:color w:val="auto"/>
              </w:rPr>
            </w:pPr>
            <w:r>
              <w:rPr>
                <w:rFonts w:ascii="Arial" w:cs="Arial" w:eastAsia="Arial" w:hAnsi="Arial"/>
                <w:sz w:val="18"/>
                <w:szCs w:val="18"/>
                <w:color w:val="auto"/>
                <w:w w:val="91"/>
              </w:rPr>
              <w:t>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44" w:right="339" w:bottom="1440" w:gutter="0" w:footer="0" w:header="0"/>
        </w:sectPr>
      </w:pPr>
    </w:p>
    <w:p>
      <w:pPr>
        <w:spacing w:after="0" w:line="13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369"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944" w:right="339" w:bottom="1440" w:gutter="0" w:footer="0" w:header="0"/>
          <w:type w:val="continuous"/>
        </w:sect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8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February 28, 2021, there were 17,684,927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 FINANCIAL INFORMATION</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29"/>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Statements (Unaudited)</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99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Balance Sheets – January 31, 2021 and October 31, 2020</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99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Operations – three months ended January 31, 2021 and 2020</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30"/>
        </w:trPr>
        <w:tc>
          <w:tcPr>
            <w:tcW w:w="99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Comprehensive Loss – three months ended January 31, 2021 and 2020</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29"/>
        </w:trPr>
        <w:tc>
          <w:tcPr>
            <w:tcW w:w="99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Stockholders' Equity and Temporary Equity – three months ended January 31, 2021 and 2020</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108"/>
        </w:trPr>
        <w:tc>
          <w:tcPr>
            <w:tcW w:w="992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r>
      <w:tr>
        <w:trPr>
          <w:trHeight w:val="230"/>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 – three months ended January 31, 2021 and 2020</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29"/>
        </w:trPr>
        <w:tc>
          <w:tcPr>
            <w:tcW w:w="99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29"/>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23</w:t>
              </w:r>
            </w:hyperlink>
          </w:p>
        </w:tc>
      </w:tr>
      <w:tr>
        <w:trPr>
          <w:trHeight w:val="230"/>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r>
        <w:trPr>
          <w:trHeight w:val="229"/>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Controls and Procedures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29"/>
        </w:trPr>
        <w:tc>
          <w:tcPr>
            <w:tcW w:w="99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II. OTHER INFORMATION</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30"/>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Proceedings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Factors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30"/>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30"/>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 Safety Disclosures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30"/>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6.</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Exhibits</w:t>
            </w: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29"/>
        </w:trPr>
        <w:tc>
          <w:tcPr>
            <w:tcW w:w="114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SIGNATURES</w:t>
            </w:r>
          </w:p>
        </w:tc>
        <w:tc>
          <w:tcPr>
            <w:tcW w:w="8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7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tariffs, and import laws;</w:t>
      </w:r>
    </w:p>
    <w:p>
      <w:pPr>
        <w:spacing w:after="0" w:line="117"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foreign exchange rate movements;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impacts related to the COVID-19 pandemic and the effectiveness of the Company's responses to the pandemic;</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ability to maintain compliance with covenants under our loan agreements;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 (the "SEC").</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forward-looking statements involve risks and uncertainties that we have identified as having the potential to cause actual results to differ materially from those contemplated herein. We have described in Part I, Item 1A-“Risk Factors” in our Annual Report on Form 10-K for the fiscal year ended October 31, 2020 additional factors that could cause our actual results to differ from our projections or estimates, especially relating to the COVID-19 pandemic.</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of these risks and uncertainties are currently amplified by, and will continue to be amplified by, or in the future may be amplified by, the COVID-19 outbreak. It is not possible to predict or identify all such risks.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2020.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references to “we,” "us," “our,” “our Company,” "the Company" or "Limoneira" in this Quarterly Report on Form 10-Q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w:t>
            </w:r>
          </w:p>
        </w:tc>
        <w:tc>
          <w:tcPr>
            <w:tcW w:w="140" w:type="dxa"/>
            <w:vAlign w:val="bottom"/>
          </w:tcPr>
          <w:p>
            <w:pPr>
              <w:spacing w:after="0"/>
              <w:rPr>
                <w:sz w:val="16"/>
                <w:szCs w:val="16"/>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October 31,</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16,261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Cultural costs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10,688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Receivables/other from related parties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5,911</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42,520</w:t>
            </w:r>
          </w:p>
        </w:tc>
        <w:tc>
          <w:tcPr>
            <w:tcW w:w="0" w:type="dxa"/>
            <w:vAlign w:val="bottom"/>
          </w:tcPr>
          <w:p>
            <w:pPr>
              <w:spacing w:after="0"/>
              <w:rPr>
                <w:sz w:val="1"/>
                <w:szCs w:val="1"/>
                <w:color w:val="auto"/>
              </w:rPr>
            </w:pPr>
          </w:p>
        </w:tc>
      </w:tr>
      <w:tr>
        <w:trPr>
          <w:trHeight w:val="95"/>
        </w:trPr>
        <w:tc>
          <w:tcPr>
            <w:tcW w:w="8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242,649</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Real estate development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21,636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investments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11,309</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8,737</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389,600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Growers payable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8,126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Payables to related parties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w:t>
            </w:r>
          </w:p>
        </w:tc>
        <w:tc>
          <w:tcPr>
            <w:tcW w:w="0" w:type="dxa"/>
            <w:vAlign w:val="bottom"/>
          </w:tcPr>
          <w:p>
            <w:pPr>
              <w:spacing w:after="0"/>
              <w:rPr>
                <w:sz w:val="1"/>
                <w:szCs w:val="1"/>
                <w:color w:val="auto"/>
              </w:rPr>
            </w:pPr>
          </w:p>
        </w:tc>
      </w:tr>
      <w:tr>
        <w:trPr>
          <w:trHeight w:val="206"/>
        </w:trPr>
        <w:tc>
          <w:tcPr>
            <w:tcW w:w="88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31,461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122,571</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6,568</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183,030</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1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800" w:type="dxa"/>
            <w:vAlign w:val="bottom"/>
          </w:tcPr>
          <w:p>
            <w:pPr>
              <w:ind w:left="20"/>
              <w:spacing w:after="0" w:line="166" w:lineRule="exact"/>
              <w:rPr>
                <w:sz w:val="20"/>
                <w:szCs w:val="20"/>
                <w:color w:val="auto"/>
              </w:rPr>
            </w:pPr>
            <w:r>
              <w:rPr>
                <w:rFonts w:ascii="Arial" w:cs="Arial" w:eastAsia="Arial" w:hAnsi="Arial"/>
                <w:sz w:val="16"/>
                <w:szCs w:val="16"/>
                <w:color w:val="auto"/>
                <w:w w:val="91"/>
              </w:rPr>
              <w:t>Series B Convertible Preferred Stock – $100.00 par value (50,000 shares authorized: 14,790 shares issued and outstanding at January</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31, 2021 and October 31, 2020) (8.75% coupon rate)</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Series B-2 Convertible Preferred Stock – $100.00 par value (10,000 shares authorized: 9,300 shares issued and outstanding at January</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2021 and October 31, 2020) (4% dividend rate on liquidation value of $1,000 per share)</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00" w:type="dxa"/>
            <w:vAlign w:val="bottom"/>
          </w:tcPr>
          <w:p>
            <w:pPr>
              <w:ind w:left="220"/>
              <w:spacing w:after="0" w:line="166" w:lineRule="exact"/>
              <w:rPr>
                <w:sz w:val="20"/>
                <w:szCs w:val="20"/>
                <w:color w:val="auto"/>
              </w:rPr>
            </w:pPr>
            <w:r>
              <w:rPr>
                <w:rFonts w:ascii="Arial" w:cs="Arial" w:eastAsia="Arial" w:hAnsi="Arial"/>
                <w:sz w:val="16"/>
                <w:szCs w:val="16"/>
                <w:color w:val="auto"/>
                <w:w w:val="91"/>
              </w:rPr>
              <w:t>Series A Junior Participating Preferred Stock – $0.01 par value (20,000 shares authorized: zero issued or outstanding at January 31,</w:t>
            </w: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00" w:type="dxa"/>
            <w:vAlign w:val="bottom"/>
          </w:tcPr>
          <w:p>
            <w:pPr>
              <w:ind w:left="220"/>
              <w:spacing w:after="0"/>
              <w:rPr>
                <w:sz w:val="20"/>
                <w:szCs w:val="20"/>
                <w:color w:val="auto"/>
              </w:rPr>
            </w:pPr>
            <w:r>
              <w:rPr>
                <w:rFonts w:ascii="Arial" w:cs="Arial" w:eastAsia="Arial" w:hAnsi="Arial"/>
                <w:sz w:val="16"/>
                <w:szCs w:val="16"/>
                <w:color w:val="auto"/>
              </w:rPr>
              <w:t>2021 and October 31, 2020)</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Common Stock – $0.01 par value (39,000,000 shares authorized: 17,935,904 and 17,857,707 shares issued and 17,684,927 and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17,606,730 shares outstanding at January 31, 2021 and October 31, 2020, respectively)</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162,084</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30,797</w:t>
            </w:r>
          </w:p>
        </w:tc>
        <w:tc>
          <w:tcPr>
            <w:tcW w:w="0" w:type="dxa"/>
            <w:vAlign w:val="bottom"/>
          </w:tcPr>
          <w:p>
            <w:pPr>
              <w:spacing w:after="0"/>
              <w:rPr>
                <w:sz w:val="1"/>
                <w:szCs w:val="1"/>
                <w:color w:val="auto"/>
              </w:rPr>
            </w:pPr>
          </w:p>
        </w:tc>
      </w:tr>
      <w:tr>
        <w:trPr>
          <w:trHeight w:val="213"/>
        </w:trPr>
        <w:tc>
          <w:tcPr>
            <w:tcW w:w="880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(7,548)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250,977 shares at January 31, 2021 and October 31, 2020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13,741</w:t>
            </w:r>
          </w:p>
        </w:tc>
        <w:tc>
          <w:tcPr>
            <w:tcW w:w="0" w:type="dxa"/>
            <w:vAlign w:val="bottom"/>
          </w:tcPr>
          <w:p>
            <w:pPr>
              <w:spacing w:after="0"/>
              <w:rPr>
                <w:sz w:val="1"/>
                <w:szCs w:val="1"/>
                <w:color w:val="auto"/>
              </w:rPr>
            </w:pPr>
          </w:p>
        </w:tc>
      </w:tr>
      <w:tr>
        <w:trPr>
          <w:trHeight w:val="210"/>
        </w:trPr>
        <w:tc>
          <w:tcPr>
            <w:tcW w:w="8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195,760</w:t>
            </w:r>
          </w:p>
        </w:tc>
        <w:tc>
          <w:tcPr>
            <w:tcW w:w="0" w:type="dxa"/>
            <w:vAlign w:val="bottom"/>
          </w:tcPr>
          <w:p>
            <w:pPr>
              <w:spacing w:after="0"/>
              <w:rPr>
                <w:sz w:val="1"/>
                <w:szCs w:val="1"/>
                <w:color w:val="auto"/>
              </w:rPr>
            </w:pPr>
          </w:p>
        </w:tc>
      </w:tr>
      <w:tr>
        <w:trPr>
          <w:trHeight w:val="213"/>
        </w:trPr>
        <w:tc>
          <w:tcPr>
            <w:tcW w:w="880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391,812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389,600</w:t>
            </w:r>
          </w:p>
        </w:tc>
        <w:tc>
          <w:tcPr>
            <w:tcW w:w="0" w:type="dxa"/>
            <w:vAlign w:val="bottom"/>
          </w:tcPr>
          <w:p>
            <w:pPr>
              <w:spacing w:after="0"/>
              <w:rPr>
                <w:sz w:val="1"/>
                <w:szCs w:val="1"/>
                <w:color w:val="auto"/>
              </w:rPr>
            </w:pPr>
          </w:p>
        </w:tc>
      </w:tr>
      <w:tr>
        <w:trPr>
          <w:trHeight w:val="21"/>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14"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Three Months Ended</w:t>
      </w:r>
    </w:p>
    <w:p>
      <w:pPr>
        <w:jc w:val="center"/>
        <w:ind w:left="892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196"/>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37,137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40,483</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w:t>
            </w:r>
          </w:p>
        </w:tc>
      </w:tr>
      <w:tr>
        <w:trPr>
          <w:trHeight w:val="207"/>
        </w:trPr>
        <w:tc>
          <w:tcPr>
            <w:tcW w:w="894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41,656</w:t>
            </w:r>
          </w:p>
        </w:tc>
      </w:tr>
      <w:tr>
        <w:trPr>
          <w:trHeight w:val="21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42,543</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r>
      <w:tr>
        <w:trPr>
          <w:trHeight w:val="213"/>
        </w:trPr>
        <w:tc>
          <w:tcPr>
            <w:tcW w:w="8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6,310</w:t>
            </w: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50,122</w:t>
            </w:r>
          </w:p>
        </w:tc>
      </w:tr>
      <w:tr>
        <w:trPr>
          <w:trHeight w:val="207"/>
        </w:trPr>
        <w:tc>
          <w:tcPr>
            <w:tcW w:w="89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(8,466)</w:t>
            </w:r>
          </w:p>
        </w:tc>
      </w:tr>
      <w:tr>
        <w:trPr>
          <w:trHeight w:val="21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 of dividends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8940" w:type="dxa"/>
            <w:vAlign w:val="bottom"/>
          </w:tcPr>
          <w:p>
            <w:pPr>
              <w:ind w:left="220"/>
              <w:spacing w:after="0"/>
              <w:rPr>
                <w:sz w:val="20"/>
                <w:szCs w:val="20"/>
                <w:color w:val="auto"/>
              </w:rPr>
            </w:pPr>
            <w:r>
              <w:rPr>
                <w:rFonts w:ascii="Arial" w:cs="Arial" w:eastAsia="Arial" w:hAnsi="Arial"/>
                <w:sz w:val="16"/>
                <w:szCs w:val="16"/>
                <w:color w:val="auto"/>
              </w:rPr>
              <w:t>Equity in earnings (losses) of investments,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stock in Calavo Growers, Inc.</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r>
      <w:tr>
        <w:trPr>
          <w:trHeight w:val="213"/>
        </w:trPr>
        <w:tc>
          <w:tcPr>
            <w:tcW w:w="8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w:t>
            </w:r>
          </w:p>
        </w:tc>
      </w:tr>
      <w:tr>
        <w:trPr>
          <w:trHeight w:val="145"/>
        </w:trPr>
        <w:tc>
          <w:tcPr>
            <w:tcW w:w="8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 benefit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w:t>
            </w:r>
          </w:p>
        </w:tc>
      </w:tr>
      <w:tr>
        <w:trPr>
          <w:trHeight w:val="212"/>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noncontrolling interest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r>
      <w:tr>
        <w:trPr>
          <w:trHeight w:val="213"/>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Limoneira Company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dividends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38"/>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(6,552)</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1"/>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41"/>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per common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16"/>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outstanding-basic</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17,405,000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17,579,000</w:t>
            </w:r>
          </w:p>
        </w:tc>
      </w:tr>
      <w:tr>
        <w:trPr>
          <w:trHeight w:val="210"/>
        </w:trPr>
        <w:tc>
          <w:tcPr>
            <w:tcW w:w="89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outstanding-diluted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17,405,000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17,579,000</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14"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Three Months Ended</w:t>
      </w:r>
    </w:p>
    <w:p>
      <w:pPr>
        <w:jc w:val="center"/>
        <w:ind w:left="892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w:t>
            </w:r>
          </w:p>
        </w:tc>
      </w:tr>
      <w:tr>
        <w:trPr>
          <w:trHeight w:val="213"/>
        </w:trPr>
        <w:tc>
          <w:tcPr>
            <w:tcW w:w="89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Minimum pension liability adjustment, net of tax of $51 and $50 for the three months ended January 31, 2021 and 2020, respectively.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12"/>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r>
      <w:tr>
        <w:trPr>
          <w:trHeight w:val="207"/>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(8,036)</w:t>
            </w:r>
          </w:p>
        </w:tc>
      </w:tr>
      <w:tr>
        <w:trPr>
          <w:trHeight w:val="20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13"/>
        </w:trPr>
        <w:tc>
          <w:tcPr>
            <w:tcW w:w="8940" w:type="dxa"/>
            <w:vAlign w:val="bottom"/>
          </w:tcPr>
          <w:p>
            <w:pPr>
              <w:ind w:left="20"/>
              <w:spacing w:after="0"/>
              <w:rPr>
                <w:sz w:val="20"/>
                <w:szCs w:val="20"/>
                <w:color w:val="auto"/>
              </w:rPr>
            </w:pPr>
            <w:r>
              <w:rPr>
                <w:rFonts w:ascii="Arial" w:cs="Arial" w:eastAsia="Arial" w:hAnsi="Arial"/>
                <w:sz w:val="16"/>
                <w:szCs w:val="16"/>
                <w:color w:val="auto"/>
              </w:rPr>
              <w:t>Comprehensive loss attributable to Limoneira Company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w:t>
            </w:r>
          </w:p>
        </w:tc>
      </w:tr>
      <w:tr>
        <w:trPr>
          <w:trHeight w:val="21"/>
        </w:trPr>
        <w:tc>
          <w:tcPr>
            <w:tcW w:w="8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5"/>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17,606,730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162,084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30,797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13,741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195,760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(46,993)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89"/>
              </w:rPr>
              <w:t>Other comprehensive income, net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5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17,684,927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162,450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25,140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191,729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1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17,756,180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160,254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221,688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(11,314)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Other comprehensive (loss)</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(1,132)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Pr>
          <w:p>
            <w:pPr>
              <w:ind w:left="20"/>
              <w:spacing w:after="0"/>
              <w:rPr>
                <w:sz w:val="20"/>
                <w:szCs w:val="20"/>
                <w:color w:val="auto"/>
              </w:rPr>
            </w:pPr>
            <w:r>
              <w:rPr>
                <w:rFonts w:ascii="Arial" w:cs="Arial" w:eastAsia="Arial" w:hAnsi="Arial"/>
                <w:sz w:val="13"/>
                <w:szCs w:val="13"/>
                <w:color w:val="auto"/>
              </w:rPr>
              <w:t>income, net of tax</w:t>
            </w: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17,857,707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160,869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(In thousands)</w:t>
      </w:r>
    </w:p>
    <w:p>
      <w:pPr>
        <w:spacing w:after="0" w:line="141"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(3,916)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(6,904)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2,565</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disposals of assets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829</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Equity in earnings of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Loss on stock in Calavo Growers, Inc.</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2,024</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 and receivables/other from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(8,433)</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Cultural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and growers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(2,314)</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liabilities and payables to related parties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Collection on note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investment contributions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mutual water companies and water rights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36,631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(15,895)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 common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Dividends paid – preferred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in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1,078</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 income taxes, net of (refunds received)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accrued but not paid at period-end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0"/>
        </w:trPr>
        <w:tc>
          <w:tcPr>
            <w:tcW w:w="8240" w:type="dxa"/>
            <w:vAlign w:val="bottom"/>
          </w:tcPr>
          <w:p>
            <w:pPr>
              <w:ind w:left="220"/>
              <w:spacing w:after="0"/>
              <w:rPr>
                <w:sz w:val="20"/>
                <w:szCs w:val="20"/>
                <w:color w:val="auto"/>
              </w:rPr>
            </w:pPr>
            <w:r>
              <w:rPr>
                <w:rFonts w:ascii="Arial" w:cs="Arial" w:eastAsia="Arial" w:hAnsi="Arial"/>
                <w:sz w:val="16"/>
                <w:szCs w:val="16"/>
                <w:color w:val="auto"/>
              </w:rPr>
              <w:t>Accrued contribution obligation of investment in water company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450</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4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accounts and transactions have been eliminated.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accounting principles generally accepted in the United States (“GAAP”) requires management to make estimates and assumptions that affect the amounts reported. Actual results could differ materially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89" w:lineRule="exact"/>
        <w:rPr>
          <w:sz w:val="20"/>
          <w:szCs w:val="20"/>
          <w:color w:val="auto"/>
        </w:rPr>
      </w:pPr>
    </w:p>
    <w:p>
      <w:pPr>
        <w:ind w:right="7680" w:firstLine="8"/>
        <w:spacing w:after="0" w:line="485"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Comprehensive Loss</w:t>
      </w:r>
    </w:p>
    <w:p>
      <w:pPr>
        <w:spacing w:after="0" w:line="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represents all changes in a company’s net assets, except changes resulting from transactions with shareholders. Other comprehensive income or loss primarily includes foreign currency translation items and defined benefit pension items. Accumulated other comprehensive (loss) income is reported as a component of the Company's stockholders'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other comprehensive income (loss) by component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11"/>
          </w:tcPr>
          <w:p>
            <w:pPr>
              <w:ind w:left="560"/>
              <w:spacing w:after="0"/>
              <w:rPr>
                <w:sz w:val="20"/>
                <w:szCs w:val="20"/>
                <w:color w:val="auto"/>
              </w:rPr>
            </w:pPr>
            <w:r>
              <w:rPr>
                <w:rFonts w:ascii="Arial" w:cs="Arial" w:eastAsia="Arial" w:hAnsi="Arial"/>
                <w:sz w:val="16"/>
                <w:szCs w:val="16"/>
                <w:b w:val="1"/>
                <w:bCs w:val="1"/>
                <w:color w:val="auto"/>
              </w:rPr>
              <w:t>Three Months Ended January 31,</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6"/>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47"/>
              <w:spacing w:after="0"/>
              <w:rPr>
                <w:sz w:val="20"/>
                <w:szCs w:val="20"/>
                <w:color w:val="auto"/>
              </w:rPr>
            </w:pPr>
            <w:r>
              <w:rPr>
                <w:rFonts w:ascii="Arial" w:cs="Arial" w:eastAsia="Arial" w:hAnsi="Arial"/>
                <w:sz w:val="16"/>
                <w:szCs w:val="16"/>
                <w:b w:val="1"/>
                <w:bCs w:val="1"/>
                <w:color w:val="auto"/>
                <w:w w:val="95"/>
              </w:rPr>
              <w:t>2020</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Tax</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0"/>
              </w:rPr>
              <w:t>Tax</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(Expense)</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(Expense)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Benefit</w:t>
            </w: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center"/>
              <w:ind w:left="406"/>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center"/>
              <w:ind w:left="387"/>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Minimum pension liability adjustments: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gain before reclassifications</w:t>
            </w: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center"/>
              <w:ind w:left="386"/>
              <w:spacing w:after="0"/>
              <w:rPr>
                <w:sz w:val="20"/>
                <w:szCs w:val="20"/>
                <w:color w:val="auto"/>
              </w:rPr>
            </w:pPr>
            <w:r>
              <w:rPr>
                <w:rFonts w:ascii="Arial" w:cs="Arial" w:eastAsia="Arial" w:hAnsi="Arial"/>
                <w:sz w:val="14"/>
                <w:szCs w:val="14"/>
                <w:color w:val="auto"/>
                <w:w w:val="96"/>
              </w:rPr>
              <w:t>(51)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center"/>
              <w:ind w:left="347"/>
              <w:spacing w:after="0"/>
              <w:rPr>
                <w:sz w:val="20"/>
                <w:szCs w:val="20"/>
                <w:color w:val="auto"/>
              </w:rPr>
            </w:pPr>
            <w:r>
              <w:rPr>
                <w:rFonts w:ascii="Arial" w:cs="Arial" w:eastAsia="Arial" w:hAnsi="Arial"/>
                <w:sz w:val="14"/>
                <w:szCs w:val="14"/>
                <w:color w:val="auto"/>
                <w:w w:val="96"/>
              </w:rPr>
              <w:t>(50)</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ind w:left="386"/>
              <w:spacing w:after="0"/>
              <w:rPr>
                <w:sz w:val="20"/>
                <w:szCs w:val="20"/>
                <w:color w:val="auto"/>
              </w:rPr>
            </w:pPr>
            <w:r>
              <w:rPr>
                <w:rFonts w:ascii="Arial" w:cs="Arial" w:eastAsia="Arial" w:hAnsi="Arial"/>
                <w:sz w:val="14"/>
                <w:szCs w:val="14"/>
                <w:color w:val="auto"/>
                <w:w w:val="96"/>
              </w:rPr>
              <w:t>(51)</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ind w:left="347"/>
              <w:spacing w:after="0"/>
              <w:rPr>
                <w:sz w:val="20"/>
                <w:szCs w:val="20"/>
                <w:color w:val="auto"/>
              </w:rPr>
            </w:pPr>
            <w:r>
              <w:rPr>
                <w:rFonts w:ascii="Arial" w:cs="Arial" w:eastAsia="Arial" w:hAnsi="Arial"/>
                <w:sz w:val="14"/>
                <w:szCs w:val="14"/>
                <w:color w:val="auto"/>
                <w:w w:val="96"/>
              </w:rPr>
              <w:t>(50)</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income by component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Defined Benefit</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Available-for-Sale</w:t>
            </w:r>
          </w:p>
        </w:tc>
        <w:tc>
          <w:tcPr>
            <w:tcW w:w="12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Translation Loss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Pension Plan</w:t>
            </w: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Defined Benefit</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Available-for-Sale</w:t>
            </w:r>
          </w:p>
        </w:tc>
        <w:tc>
          <w:tcPr>
            <w:tcW w:w="120" w:type="dxa"/>
            <w:vAlign w:val="bottom"/>
          </w:tcPr>
          <w:p>
            <w:pPr>
              <w:spacing w:after="0"/>
              <w:rPr>
                <w:sz w:val="14"/>
                <w:szCs w:val="14"/>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Translation Loss</w:t>
            </w: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Pension Plan</w:t>
            </w: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5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(7,255)</w:t>
            </w:r>
          </w:p>
        </w:tc>
        <w:tc>
          <w:tcPr>
            <w:tcW w:w="0" w:type="dxa"/>
            <w:vAlign w:val="bottom"/>
          </w:tcPr>
          <w:p>
            <w:pPr>
              <w:spacing w:after="0"/>
              <w:rPr>
                <w:sz w:val="1"/>
                <w:szCs w:val="1"/>
                <w:color w:val="auto"/>
              </w:rPr>
            </w:pPr>
          </w:p>
        </w:tc>
      </w:tr>
      <w:tr>
        <w:trPr>
          <w:trHeight w:val="186"/>
        </w:trPr>
        <w:tc>
          <w:tcPr>
            <w:tcW w:w="552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2016-13, Financial Instruments - Credit Losses (Topic 326): Measurement of Credit Losses on Financial Instruments, and related ASUs</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ASU 2016-13 is effective for SEC filers for fiscal years, and interim periods within those fiscal years, beginning after December 15, 2019. The Company adopted this ASU effective November 1, 2020 and the adoption did not have a material impact on its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2020-06, Debt—Debt with Conversion and Other Options (Subtopic 470-20) and Derivatives and Hedging—Contracts in Entity’s Own Equity (Subtopic 815-40): Accounting for Convertible Instruments and Contracts in an Entity’s Own Equity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simplifies 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pacing w:after="0" w:line="20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is evaluating the effect this ASU may have on its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Concentrations and Geographic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Lemons procured from third-party growers were 48% and 55% of the Company's lemon supply in the three months ended January 31, 2021 and 2020, respectively, of which one third-party grower was 26% of the lemon supply for the three months ended January 31, 2021.</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sells the majority of its avocado production to Calavo. Sales of avocados to Calavo were insignificant for the three months ended January 31, 2021 and 2020, respectively. The Company sells a majority of its oranges and specialty citrus to a third-party packinghouse.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Concentrations and Geographic Information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Concentrations of credit risk with respect to revenues and accounts receivables are limited due to a large, diverse customer base. One individual customer represented 23% of revenues for the three months ended January 31, 2021. One individual customer represented 12% of accounts receivable, net as of January 31,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2021 and 2020, the Company had approximately $1,027,000 and $539,000, respectively, of total sales in Chile by Fruticola Pan de Azucar S.A. ("PDA") and Agricola San Pablo SpA ("San Pablo"). During the three months ended January 31, 2021 and 2020, the Company had approximately $1,671,000 and $199,000, respectively, of total sales in Argentina by Trapani Fresh.</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8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r>
      <w:tr>
        <w:trPr>
          <w:trHeight w:val="230"/>
        </w:trPr>
        <w:tc>
          <w:tcPr>
            <w:tcW w:w="8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supplies and insurance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Note receivable and related interest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development held for sale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Sales tax receivable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 supplier advances and 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23"/>
        </w:trPr>
        <w:tc>
          <w:tcPr>
            <w:tcW w:w="8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10,688</w:t>
            </w:r>
          </w:p>
        </w:tc>
      </w:tr>
      <w:tr>
        <w:trPr>
          <w:trHeight w:val="21"/>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r>
      <w:tr>
        <w:trPr>
          <w:trHeight w:val="230"/>
        </w:trPr>
        <w:tc>
          <w:tcPr>
            <w:tcW w:w="8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Property - East Area I</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East Area II</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w:t>
            </w:r>
          </w:p>
        </w:tc>
      </w:tr>
      <w:tr>
        <w:trPr>
          <w:trHeight w:val="248"/>
        </w:trPr>
        <w:tc>
          <w:tcPr>
            <w:tcW w:w="8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or “Joint Venture”) as the development entity, contributed its East Area I property to LLCB and sold a 50% interest in LLCB to Lewis for $20,000,000.</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the Joint Venture also entered into a Retained Property Development Agreement on the Transaction Date (the "Retained Property Agreement"). Under the terms of the Retained Property Agreement, the Joint Venture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Retained Property and East Area II includes estimated costs incurred by and reimbursable to LLCB of $5,300,000 at January 31, 2021 and October 31, 2020, which is included in payables to related parties.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originally was scheduled to mature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 penalty. In February 2021, this loan was extended to February 22, 2023 with an option to extend to February 22, 2024, subject to certain conditions. The Joint Venture recorded the Loan balance of $17,411,000 as of January 31, 2021.</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the Joint Venture. The $1,080,000 estimated value of the guarantee was recorded in the Company’s consolidated balance sheets and is included in other long-term liabilities with a corresponding value in equity in investments. The extension had no impact on the Company's Loan guarantee value. Additionally, a Reimbursement Agreement was executed between the Lewis guarantors and the Company, which provides for unpaid liabilities of the Joint Venture to be shared pro-rata by the Lewis guarantors and the Company in proportion to their percentage interest in the Joint Venture.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contributions to the Joint Venture of zero and $2,800,000 in the three months ended January 31, 2021 and 2020,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Through January 31, 2021, the Joint Venture has closed the sales of the initial residential lots representing 398 residential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remaining real estate development parcel within the Templeton Santa Barbara, LLC project is described as Sevilla. In the first quarter of fiscal year 2020, the Company entered into an agreement to sell its Sevilla property for $2,700,000, which is expected to close in fiscal year 2021. After transaction and other costs, the Company expects to receive cash proceeds of approximately $2,550,000 and recognize an immaterial gain upon closing. At January 31, 2021, the $2,543,000 carrying value of the property was classified as held for sale and included in prepaid expenses and other current assets.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extended to December 15, 2020 and the interest rate was reset to equal to the 6-month LIBOR plus 2.75% on the outstanding principal balance of the note, interest only paid monthly on the first day of each month beginning January 1, 2020. In September 2020, the promissory note was further extended to June 15, 2021 on the same terms and conditions upon making a principal paydown of $25,000, which was paid in November 2020, and an option to further extend the maturity date of the promissory note to December 15, 2021 on the same terms and conditions and upon making an additional principal paydown of $25,000 on or before June 1, 2021. At January 31, 2021, the net carrying value of the note was $2,625,000 and classified in prepaid expenses and other current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Arial" w:cs="Arial" w:eastAsia="Arial" w:hAnsi="Arial"/>
                <w:sz w:val="18"/>
                <w:szCs w:val="18"/>
                <w:b w:val="1"/>
                <w:bCs w:val="1"/>
                <w:color w:val="auto"/>
              </w:rPr>
              <w:t>6. Equity in Investments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56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7"/>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r>
      <w:tr>
        <w:trPr>
          <w:trHeight w:val="229"/>
        </w:trPr>
        <w:tc>
          <w:tcPr>
            <w:tcW w:w="85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Limoneira Lewis Community Builders, LLC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57,142</w:t>
            </w: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Limco Del Mar, Ltd.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Rosales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Romney Property Partnership</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48"/>
        </w:trPr>
        <w:tc>
          <w:tcPr>
            <w:tcW w:w="8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in Investments (continued)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three months ended January 31, 2021 and 2020, this threshold was not met for any of the Company's equity investments. Although not required for the three months ended January 31, 2021, the Company included the LLCB summarized income statement information in this Quarterly Report on Form 10-Q since it anticipates it will be required in the second quarter of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The following is unaudited summarized financial information for LLCB (in thousands):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0" w:type="dxa"/>
            <w:vAlign w:val="bottom"/>
          </w:tcPr>
          <w:p>
            <w:pPr>
              <w:spacing w:after="0"/>
              <w:rPr>
                <w:sz w:val="24"/>
                <w:szCs w:val="24"/>
                <w:color w:val="auto"/>
              </w:rPr>
            </w:pPr>
          </w:p>
        </w:tc>
        <w:tc>
          <w:tcPr>
            <w:tcW w:w="2840" w:type="dxa"/>
            <w:vAlign w:val="bottom"/>
            <w:gridSpan w:val="6"/>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jc w:val="right"/>
              <w:ind w:right="87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Cost of land sold</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5,750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Limoneira Company</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4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0" w:type="dxa"/>
            <w:vAlign w:val="bottom"/>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Goodwill</w:t>
            </w:r>
          </w:p>
        </w:tc>
        <w:tc>
          <w:tcPr>
            <w:tcW w:w="0" w:type="dxa"/>
            <w:vAlign w:val="bottom"/>
          </w:tcPr>
          <w:p>
            <w:pPr>
              <w:spacing w:after="0"/>
              <w:rPr>
                <w:sz w:val="1"/>
                <w:szCs w:val="1"/>
                <w:color w:val="auto"/>
              </w:rPr>
            </w:pPr>
          </w:p>
        </w:tc>
      </w:tr>
      <w:tr>
        <w:trPr>
          <w:trHeight w:val="175"/>
        </w:trPr>
        <w:tc>
          <w:tcPr>
            <w:tcW w:w="8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2020</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2021</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January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January 31, 2021, the Company acquired additional water rights in Chile for $186,000.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January 31, 2021 and October 31, 2020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January 31, 2021</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October 31,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467"/>
        </w:trPr>
        <w:tc>
          <w:tcPr>
            <w:tcW w:w="3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3,831</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4,021</w:t>
            </w:r>
          </w:p>
        </w:tc>
        <w:tc>
          <w:tcPr>
            <w:tcW w:w="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9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Acquired water and mineral rights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Indefinite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$263,000 and $285,000 for the three months ended January 31, 2021 and 2020, respectively.</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9980" w:type="dxa"/>
            <w:vAlign w:val="bottom"/>
          </w:tcPr>
          <w:p>
            <w:pPr>
              <w:spacing w:after="0"/>
              <w:rPr>
                <w:sz w:val="20"/>
                <w:szCs w:val="20"/>
                <w:color w:val="auto"/>
              </w:rPr>
            </w:pPr>
            <w:r>
              <w:rPr>
                <w:rFonts w:ascii="Arial" w:cs="Arial" w:eastAsia="Arial" w:hAnsi="Arial"/>
                <w:sz w:val="18"/>
                <w:szCs w:val="18"/>
                <w:color w:val="auto"/>
              </w:rPr>
              <w:t>Estimated future amortization expense of intangible assets as of January 31, 2021 are as follows (in thousands):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4"/>
        </w:trPr>
        <w:tc>
          <w:tcPr>
            <w:tcW w:w="9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three months ended January 31, 2021)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r>
      <w:tr>
        <w:trPr>
          <w:trHeight w:val="248"/>
        </w:trPr>
        <w:tc>
          <w:tcPr>
            <w:tcW w:w="9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January 31, 2021 and October 31, 2020 were $5,567,000 and $5,563,000,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37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 and orange supplier payables</w:t>
            </w:r>
          </w:p>
        </w:tc>
        <w:tc>
          <w:tcPr>
            <w:tcW w:w="3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3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right"/>
              <w:ind w:right="2790"/>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8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2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86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Farm Credit West revolving and non-revolving lines of credit: the interest rate of the revolving line of credit is</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variable based on the one-month London Interbank Offered Rate (“LIBOR”), which was 0.15% at January 31, 2021,</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plus 1.60%. The interest rate for the $40.0 million outstanding balance of the non-revolving line of credit was fixed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112,020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4.77%. Interest is payable monthly and the principal is due in full on July 1, 2022.</w:t>
            </w: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2.48%. The loan is payable in</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quarterly installments through November 2022.</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3.24%. The loan is payable in</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 installments through October 2035.</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7"/>
              </w:rPr>
              <w:t>Farm Credit West term loan: Effective July 1, 2020, the interest rate was fixed at 3.24%. The loan is payable in</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monthly installments through March 2036.</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Farm Credit West term loan: Effective July 1, 2020 the interest rate was fixed at 2.77% until July 1, 2025, becoming</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for the remainder of the loan. The loan is payable in monthly installments through March 2036.</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8"/>
              </w:rPr>
              <w:t>Wells Fargo term loan: the interest rate is fixed at 3.58%. The loan is payable in monthly installments through</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January 2023.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Banco de Chile term loan: the interest rate is fixed at 6.48%. The loan is payable in annual installments through</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2025.</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tcPr>
          <w:p>
            <w:pPr>
              <w:ind w:left="20"/>
              <w:spacing w:after="0" w:line="176" w:lineRule="exact"/>
              <w:rPr>
                <w:sz w:val="20"/>
                <w:szCs w:val="20"/>
                <w:color w:val="auto"/>
              </w:rPr>
            </w:pPr>
            <w:r>
              <w:rPr>
                <w:rFonts w:ascii="Arial" w:cs="Arial" w:eastAsia="Arial" w:hAnsi="Arial"/>
                <w:sz w:val="18"/>
                <w:szCs w:val="18"/>
                <w:color w:val="auto"/>
                <w:w w:val="93"/>
              </w:rPr>
              <w:t>Note Payable: the interest rate ranges from 5.00% to 7.00% and was 6.00% at January 31, 2021. The loan includes</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interest only monthly payments and principal is due in February 2023.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Banco de Chile COVID-19 loans: The interest rates are fixed at 3.48% and 2.90%. The loans are payable in monthly</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installments beginning February 2021 through September 2024.</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Subtotal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134,946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126,024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deferred financing costs, net of accumulated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Total long-term debt,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125,848</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Arial" w:cs="Arial" w:eastAsia="Arial" w:hAnsi="Arial"/>
                <w:sz w:val="17"/>
                <w:szCs w:val="17"/>
                <w:color w:val="auto"/>
              </w:rPr>
              <w:t>Long-term debt, less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122,571</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2020, the Company and Farm Credit West entered into a Conversion Agreement to convert the term loans noted above to fixed interest rate loans effective July 1, 2020. No changes were made to the outstanding principal balances on the term loans and the Company made no cash repayments of principal. The rates were subject to a prepayment restriction period for a portion of the fixed rate term that expired on January 1, 2021. The Company may prepay any amounts without penalty.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Farm Credit West for a $15,000,000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$130,000,000 comprised of $75,000,000 under the Revolving Credit Supplement, $40,000,000 under the Non-Revolving Credit Supplement and $15,000,000 under the RELOC. The borrowing capacity based on collateral value was $130,000,000 at January 31, 2021, of which $17,980,000 was available to borrow.</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indebtedness under the Loan Agreement and RELOC with Farm Credit West, including any indebtedness under the Supplements, is secured by a first lien on certain of its agricultural properties in Tulare, Ventura and San Luis Obispo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immediately due and payable without demand, notice of non-payment, protest or prior recourse to collateral, and terminate or suspend the Company's right to draw or request funds on any loan or line of credit.</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2020, Farm Credit West declared an annual cash patronage dividend of 1.50% of average eligible loan balances. The Company accrued the $1,170,000 dividend receivable in prepaid expenses and other current assets at January 31, 2021, which was received in February 2021.</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 In August 2020, Farm Credit West modified the covenant to defer measurement at October 31, 2020 and revert to a debt service coverage ratio of 1.25:1.0 measured as of October 31, 2021.</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zero and $89,000 during the three months ended January 31, 2021 and 2020, respectively. Capitalized interest is included in property, plant and equipment and real estate development assets in the Company’s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22 years, with various renewal terms available. All of the residential rentals have month to month lease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rental operations revenue consists of the following (in thousands):</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jc w:val="center"/>
        <w:ind w:left="858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revenue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agricultural land and packinghouse equipment with remaining lease terms ranging from one to 17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As of January 31, 2021, there were no material finance leases for which the Company was a lessee.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Operating lease costs were $142,000 and $137,000 for the three months ended January 31, 2021 and 2020, respectively, which are primarily included in agribusiness costs and expenses in the Company’s consolidated statements of operations. Variable and short term lease costs were immaterial.</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31,</w:t>
            </w:r>
          </w:p>
        </w:tc>
        <w:tc>
          <w:tcPr>
            <w:tcW w:w="140" w:type="dxa"/>
            <w:vAlign w:val="bottom"/>
          </w:tcPr>
          <w:p>
            <w:pPr>
              <w:spacing w:after="0"/>
              <w:rPr>
                <w:sz w:val="17"/>
                <w:szCs w:val="17"/>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0"/>
        </w:trPr>
        <w:tc>
          <w:tcPr>
            <w:tcW w:w="616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Liabilities and Stockholders' Equity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operating lease liabilities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operating lease liabilities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23"/>
        </w:trPr>
        <w:tc>
          <w:tcPr>
            <w:tcW w:w="2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2,131</w:t>
            </w:r>
          </w:p>
        </w:tc>
      </w:tr>
      <w:tr>
        <w:trPr>
          <w:trHeight w:val="21"/>
        </w:trPr>
        <w:tc>
          <w:tcPr>
            <w:tcW w:w="2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-479425</wp:posOffset>
            </wp:positionV>
            <wp:extent cx="711517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-187960</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5040"/>
          </w:cols>
          <w:pgMar w:left="320" w:top="369"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p>
      <w:pPr>
        <w:spacing w:after="0" w:line="129"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jc w:val="center"/>
        <w:ind w:left="858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0"/>
        </w:trPr>
        <w:tc>
          <w:tcPr>
            <w:tcW w:w="86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Net Loss per Share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common share is calculated using the weighted-average number of common shares outstanding during the period without consideration of the dilutive effect of conversion of preferred stock. Diluted net loss per common share is calculated using the weighted-average number of common shares outstanding during the period plus the dilutive effect of conversion of unvested, restricted stock and preferred stock. The computations for basic and diluted net loss per common share are as follows (in thousands, except per share amounts):</w:t>
      </w:r>
    </w:p>
    <w:p>
      <w:pPr>
        <w:spacing w:after="0" w:line="7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w:t>
      </w:r>
    </w:p>
    <w:p>
      <w:pPr>
        <w:jc w:val="center"/>
        <w:ind w:left="844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per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Net loss applicable to 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(6,552)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unvested,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Numerator: Net loss for basic EPS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shares-basic</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17,579</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Basic net loss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8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loss per common share: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Numerator: Net loss for diluted EPS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17,579</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Effect of dilutive unvested, restricted stock and preferred stock</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shares–diluted</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17,579</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Diluted net loss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Net Loss per Share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Diluted earnings (losses)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226,000 and 149,000, unvested, restricted shares, as calculated under the treasury stock method, from its computation of diluted earnings (losses) per share for the three months ended January 31,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transactions with various related-parties as summarized in the tables below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3"/>
                <w:szCs w:val="13"/>
                <w:b w:val="1"/>
                <w:bCs w:val="1"/>
                <w:color w:val="auto"/>
                <w:w w:val="88"/>
              </w:rPr>
              <w:t>January 31, 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6"/>
              </w:rPr>
              <w:t>October 31, 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3"/>
                <w:szCs w:val="13"/>
                <w:b w:val="1"/>
                <w:bCs w:val="1"/>
                <w:color w:val="auto"/>
                <w:w w:val="83"/>
              </w:rPr>
              <w:t>Balance Sheet</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177"/>
              <w:spacing w:after="0"/>
              <w:rPr>
                <w:sz w:val="20"/>
                <w:szCs w:val="20"/>
                <w:color w:val="auto"/>
              </w:rPr>
            </w:pPr>
            <w:r>
              <w:rPr>
                <w:rFonts w:ascii="Arial" w:cs="Arial" w:eastAsia="Arial" w:hAnsi="Arial"/>
                <w:sz w:val="13"/>
                <w:szCs w:val="13"/>
                <w:b w:val="1"/>
                <w:bCs w:val="1"/>
                <w:color w:val="auto"/>
                <w:w w:val="83"/>
              </w:rPr>
              <w:t>Balance Sheet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100" w:type="dxa"/>
            <w:vAlign w:val="bottom"/>
          </w:tcPr>
          <w:p>
            <w:pPr>
              <w:spacing w:after="0"/>
              <w:rPr>
                <w:sz w:val="10"/>
                <w:szCs w:val="10"/>
                <w:color w:val="auto"/>
              </w:rPr>
            </w:pPr>
          </w:p>
        </w:tc>
        <w:tc>
          <w:tcPr>
            <w:tcW w:w="110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w w:val="99"/>
              </w:rPr>
              <w:t>Receivable/Other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Payables to</w:t>
            </w:r>
          </w:p>
        </w:tc>
        <w:tc>
          <w:tcPr>
            <w:tcW w:w="100" w:type="dxa"/>
            <w:vAlign w:val="bottom"/>
          </w:tcPr>
          <w:p>
            <w:pPr>
              <w:spacing w:after="0"/>
              <w:rPr>
                <w:sz w:val="10"/>
                <w:szCs w:val="10"/>
                <w:color w:val="auto"/>
              </w:rPr>
            </w:pPr>
          </w:p>
        </w:tc>
        <w:tc>
          <w:tcPr>
            <w:tcW w:w="780" w:type="dxa"/>
            <w:vAlign w:val="bottom"/>
          </w:tcPr>
          <w:p>
            <w:pPr>
              <w:jc w:val="center"/>
              <w:ind w:right="37"/>
              <w:spacing w:after="0" w:line="121" w:lineRule="exact"/>
              <w:rPr>
                <w:sz w:val="20"/>
                <w:szCs w:val="20"/>
                <w:color w:val="auto"/>
              </w:rPr>
            </w:pPr>
            <w:r>
              <w:rPr>
                <w:rFonts w:ascii="Arial" w:cs="Arial" w:eastAsia="Arial" w:hAnsi="Arial"/>
                <w:sz w:val="13"/>
                <w:szCs w:val="13"/>
                <w:b w:val="1"/>
                <w:bCs w:val="1"/>
                <w:color w:val="auto"/>
                <w:w w:val="91"/>
              </w:rPr>
              <w:t>Other Long-</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880" w:type="dxa"/>
            <w:vAlign w:val="bottom"/>
            <w:gridSpan w:val="2"/>
            <w:vMerge w:val="restart"/>
          </w:tcPr>
          <w:p>
            <w:pPr>
              <w:ind w:left="102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Assets</w:t>
            </w: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7"/>
              </w:rPr>
              <w:t>Term</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from Related</w:t>
            </w:r>
          </w:p>
        </w:tc>
        <w:tc>
          <w:tcPr>
            <w:tcW w:w="8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1"/>
              </w:rPr>
              <w:t>Other Assets</w:t>
            </w:r>
          </w:p>
        </w:tc>
        <w:tc>
          <w:tcPr>
            <w:tcW w:w="10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7"/>
              </w:rPr>
              <w:t>Term</w:t>
            </w: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Parties</w:t>
            </w: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3"/>
                <w:szCs w:val="13"/>
                <w:b w:val="1"/>
                <w:bCs w:val="1"/>
                <w:color w:val="auto"/>
                <w:w w:val="97"/>
              </w:rPr>
              <w:t>Related Parties</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Liabilities</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BFE4FF"/>
            </w:tcBorders>
            <w:shd w:val="clear" w:color="auto" w:fill="BFE4FF"/>
          </w:tcPr>
          <w:p>
            <w:pPr>
              <w:spacing w:after="0"/>
              <w:rPr>
                <w:sz w:val="15"/>
                <w:szCs w:val="15"/>
                <w:color w:val="auto"/>
              </w:rPr>
            </w:pPr>
          </w:p>
        </w:tc>
        <w:tc>
          <w:tcPr>
            <w:tcW w:w="278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Borders>
              <w:top w:val="single" w:sz="8" w:color="BFE4FF"/>
            </w:tcBorders>
            <w:shd w:val="clear" w:color="auto" w:fill="BFE4FF"/>
          </w:tcPr>
          <w:p>
            <w:pPr>
              <w:spacing w:after="0"/>
              <w:rPr>
                <w:sz w:val="15"/>
                <w:szCs w:val="15"/>
                <w:color w:val="auto"/>
              </w:rPr>
            </w:pPr>
          </w:p>
        </w:tc>
        <w:tc>
          <w:tcPr>
            <w:tcW w:w="12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top w:val="single" w:sz="8" w:color="BFE4FF"/>
            </w:tcBorders>
            <w:shd w:val="clear" w:color="auto" w:fill="BFE4FF"/>
          </w:tcPr>
          <w:p>
            <w:pPr>
              <w:spacing w:after="0"/>
              <w:rPr>
                <w:sz w:val="15"/>
                <w:szCs w:val="15"/>
                <w:color w:val="auto"/>
              </w:rPr>
            </w:pPr>
          </w:p>
        </w:tc>
        <w:tc>
          <w:tcPr>
            <w:tcW w:w="44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68</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BFE4FF"/>
          </w:tcPr>
          <w:p>
            <w:pPr>
              <w:jc w:val="right"/>
              <w:ind w:right="37"/>
              <w:spacing w:after="0"/>
              <w:rPr>
                <w:sz w:val="20"/>
                <w:szCs w:val="20"/>
                <w:color w:val="auto"/>
              </w:rPr>
            </w:pPr>
            <w:r>
              <w:rPr>
                <w:rFonts w:ascii="Arial" w:cs="Arial" w:eastAsia="Arial" w:hAnsi="Arial"/>
                <w:sz w:val="13"/>
                <w:szCs w:val="13"/>
                <w:color w:val="auto"/>
              </w:rPr>
              <w:t>64</w:t>
            </w:r>
          </w:p>
        </w:tc>
        <w:tc>
          <w:tcPr>
            <w:tcW w:w="500" w:type="dxa"/>
            <w:vAlign w:val="bottom"/>
            <w:tcBorders>
              <w:top w:val="single" w:sz="8" w:color="auto"/>
            </w:tcBorders>
            <w:shd w:val="clear" w:color="auto" w:fill="BFE4FF"/>
          </w:tcPr>
          <w:p>
            <w:pPr>
              <w:ind w:left="80"/>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64</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Cooperative association</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16"/>
                <w:szCs w:val="16"/>
                <w:color w:val="auto"/>
              </w:rPr>
            </w:pPr>
          </w:p>
        </w:tc>
        <w:tc>
          <w:tcPr>
            <w:tcW w:w="28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Cadiz / Fenner / WAM</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1,424</w:t>
            </w:r>
          </w:p>
        </w:tc>
        <w:tc>
          <w:tcPr>
            <w:tcW w:w="120" w:type="dxa"/>
            <w:vAlign w:val="bottom"/>
            <w:shd w:val="clear" w:color="auto" w:fill="BFE4FF"/>
          </w:tcPr>
          <w:p>
            <w:pPr>
              <w:spacing w:after="0"/>
              <w:rPr>
                <w:sz w:val="16"/>
                <w:szCs w:val="16"/>
                <w:color w:val="auto"/>
              </w:rPr>
            </w:pPr>
          </w:p>
        </w:tc>
        <w:tc>
          <w:tcPr>
            <w:tcW w:w="44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6"/>
                <w:szCs w:val="16"/>
                <w:color w:val="auto"/>
              </w:rPr>
            </w:pP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1,443</w:t>
            </w:r>
          </w:p>
        </w:tc>
        <w:tc>
          <w:tcPr>
            <w:tcW w:w="500" w:type="dxa"/>
            <w:vAlign w:val="bottom"/>
            <w:shd w:val="clear" w:color="auto" w:fill="BFE4FF"/>
          </w:tcPr>
          <w:p>
            <w:pPr>
              <w:ind w:lef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1,353</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Colorado River Growers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BFE4FF"/>
          </w:tcPr>
          <w:p>
            <w:pPr>
              <w:spacing w:after="0"/>
              <w:rPr>
                <w:sz w:val="16"/>
                <w:szCs w:val="16"/>
                <w:color w:val="auto"/>
              </w:rPr>
            </w:pPr>
          </w:p>
        </w:tc>
        <w:tc>
          <w:tcPr>
            <w:tcW w:w="288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FGF</w:t>
            </w:r>
          </w:p>
        </w:tc>
        <w:tc>
          <w:tcPr>
            <w:tcW w:w="12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3,850</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42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BFE4FF"/>
          </w:tcPr>
          <w:p>
            <w:pPr>
              <w:ind w:left="20"/>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2,213</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shd w:val="clear" w:color="auto" w:fill="BFE4FF"/>
          </w:tcPr>
          <w:p>
            <w:pPr>
              <w:ind w:left="80"/>
              <w:spacing w:after="0"/>
              <w:rPr>
                <w:sz w:val="20"/>
                <w:szCs w:val="20"/>
                <w:color w:val="auto"/>
              </w:rPr>
            </w:pPr>
            <w:r>
              <w:rPr>
                <w:rFonts w:ascii="Arial" w:cs="Arial" w:eastAsia="Arial" w:hAnsi="Arial"/>
                <w:sz w:val="13"/>
                <w:szCs w:val="13"/>
                <w:color w:val="auto"/>
              </w:rPr>
              <w:t>$</w:t>
            </w:r>
          </w:p>
        </w:tc>
        <w:tc>
          <w:tcPr>
            <w:tcW w:w="4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LLCB</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5,300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5,300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9" w:right="339" w:bottom="1440" w:gutter="0" w:footer="0" w:header="0"/>
        </w:sectPr>
      </w:pPr>
    </w:p>
    <w:p>
      <w:pPr>
        <w:spacing w:after="0" w:line="27" w:lineRule="exact"/>
        <w:rPr>
          <w:sz w:val="20"/>
          <w:szCs w:val="20"/>
          <w:color w:val="auto"/>
        </w:rPr>
      </w:pPr>
    </w:p>
    <w:p>
      <w:pPr>
        <w:ind w:left="3620"/>
        <w:spacing w:after="0"/>
        <w:rPr>
          <w:sz w:val="20"/>
          <w:szCs w:val="20"/>
          <w:color w:val="auto"/>
        </w:rPr>
      </w:pPr>
      <w:r>
        <w:rPr>
          <w:rFonts w:ascii="Arial" w:cs="Arial" w:eastAsia="Arial" w:hAnsi="Arial"/>
          <w:sz w:val="10"/>
          <w:szCs w:val="10"/>
          <w:b w:val="1"/>
          <w:bCs w:val="1"/>
          <w:color w:val="auto"/>
        </w:rPr>
        <w:t>Three Months Ended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41275</wp:posOffset>
            </wp:positionV>
            <wp:extent cx="2417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4"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Three Months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41275</wp:posOffset>
            </wp:positionV>
            <wp:extent cx="28975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 of Operations</w:t>
      </w:r>
    </w:p>
    <w:p>
      <w:pPr>
        <w:spacing w:after="0" w:line="15" w:lineRule="exact"/>
        <w:rPr>
          <w:sz w:val="20"/>
          <w:szCs w:val="20"/>
          <w:color w:val="auto"/>
        </w:rPr>
      </w:pPr>
    </w:p>
    <w:p>
      <w:pPr>
        <w:sectPr>
          <w:pgSz w:w="11900" w:h="16838" w:orient="portrait"/>
          <w:cols w:equalWidth="0" w:num="2">
            <w:col w:w="6780" w:space="720"/>
            <w:col w:w="37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Net Revenue</w:t>
            </w:r>
          </w:p>
        </w:tc>
        <w:tc>
          <w:tcPr>
            <w:tcW w:w="940" w:type="dxa"/>
            <w:vAlign w:val="bottom"/>
            <w:tcBorders>
              <w:top w:val="single" w:sz="8" w:color="auto"/>
            </w:tcBorders>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8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6"/>
              </w:rPr>
              <w:t>Dividends</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Net Revenue</w:t>
            </w:r>
          </w:p>
        </w:tc>
        <w:tc>
          <w:tcPr>
            <w:tcW w:w="960" w:type="dxa"/>
            <w:vAlign w:val="bottom"/>
            <w:tcBorders>
              <w:top w:val="single" w:sz="8" w:color="auto"/>
            </w:tcBorders>
            <w:gridSpan w:val="3"/>
          </w:tcPr>
          <w:p>
            <w:pPr>
              <w:jc w:val="center"/>
              <w:ind w:right="120"/>
              <w:spacing w:after="0" w:line="131" w:lineRule="exact"/>
              <w:rPr>
                <w:sz w:val="20"/>
                <w:szCs w:val="20"/>
                <w:color w:val="auto"/>
              </w:rPr>
            </w:pPr>
            <w:r>
              <w:rPr>
                <w:rFonts w:ascii="Arial" w:cs="Arial" w:eastAsia="Arial" w:hAnsi="Arial"/>
                <w:sz w:val="13"/>
                <w:szCs w:val="13"/>
                <w:b w:val="1"/>
                <w:bCs w:val="1"/>
                <w:color w:val="auto"/>
                <w:w w:val="86"/>
              </w:rPr>
              <w:t>Net Revenue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4"/>
              </w:rPr>
              <w:t>Agribusiness</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7"/>
              <w:spacing w:after="0" w:line="131"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6"/>
              </w:rPr>
              <w:t>Dividends</w:t>
            </w:r>
          </w:p>
        </w:tc>
        <w:tc>
          <w:tcPr>
            <w:tcW w:w="0" w:type="dxa"/>
            <w:vAlign w:val="bottom"/>
          </w:tcPr>
          <w:p>
            <w:pPr>
              <w:spacing w:after="0"/>
              <w:rPr>
                <w:sz w:val="1"/>
                <w:szCs w:val="1"/>
                <w:color w:val="auto"/>
              </w:rPr>
            </w:pPr>
          </w:p>
        </w:tc>
      </w:tr>
      <w:tr>
        <w:trPr>
          <w:trHeight w:val="122"/>
        </w:trPr>
        <w:tc>
          <w:tcPr>
            <w:tcW w:w="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Ref</w:t>
            </w:r>
          </w:p>
        </w:tc>
        <w:tc>
          <w:tcPr>
            <w:tcW w:w="2300" w:type="dxa"/>
            <w:vAlign w:val="bottom"/>
            <w:gridSpan w:val="2"/>
            <w:vMerge w:val="restart"/>
          </w:tcPr>
          <w:p>
            <w:pPr>
              <w:ind w:left="7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Rental</w:t>
            </w:r>
          </w:p>
        </w:tc>
        <w:tc>
          <w:tcPr>
            <w:tcW w:w="10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Expense and</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Income,</w:t>
            </w: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Agribusiness</w:t>
            </w: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4"/>
                <w:szCs w:val="14"/>
                <w:color w:val="auto"/>
              </w:rPr>
            </w:pPr>
          </w:p>
        </w:tc>
        <w:tc>
          <w:tcPr>
            <w:tcW w:w="680" w:type="dxa"/>
            <w:vAlign w:val="bottom"/>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0" w:type="dxa"/>
            <w:vAlign w:val="bottom"/>
          </w:tcPr>
          <w:p>
            <w:pPr>
              <w:spacing w:after="0"/>
              <w:rPr>
                <w:sz w:val="1"/>
                <w:szCs w:val="1"/>
                <w:color w:val="auto"/>
              </w:rPr>
            </w:pPr>
          </w:p>
        </w:tc>
      </w:tr>
      <w:tr>
        <w:trPr>
          <w:trHeight w:val="175"/>
        </w:trPr>
        <w:tc>
          <w:tcPr>
            <w:tcW w:w="3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BFE4FF"/>
            </w:tcBorders>
            <w:shd w:val="clear" w:color="auto" w:fill="BFE4FF"/>
          </w:tcPr>
          <w:p>
            <w:pPr>
              <w:spacing w:after="0"/>
              <w:rPr>
                <w:sz w:val="15"/>
                <w:szCs w:val="15"/>
                <w:color w:val="auto"/>
              </w:rPr>
            </w:pPr>
          </w:p>
        </w:tc>
        <w:tc>
          <w:tcPr>
            <w:tcW w:w="2200" w:type="dxa"/>
            <w:vAlign w:val="bottom"/>
            <w:tcBorders>
              <w:top w:val="single" w:sz="8" w:color="auto"/>
            </w:tcBorders>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197</w:t>
            </w:r>
          </w:p>
        </w:tc>
        <w:tc>
          <w:tcPr>
            <w:tcW w:w="12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BFE4FF"/>
            </w:tcBorders>
            <w:shd w:val="clear" w:color="auto" w:fill="BFE4FF"/>
          </w:tcPr>
          <w:p>
            <w:pPr>
              <w:spacing w:after="0"/>
              <w:rPr>
                <w:sz w:val="15"/>
                <w:szCs w:val="15"/>
                <w:color w:val="auto"/>
              </w:rPr>
            </w:pPr>
          </w:p>
        </w:tc>
        <w:tc>
          <w:tcPr>
            <w:tcW w:w="10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BFE4FF"/>
            </w:tcBorders>
            <w:shd w:val="clear" w:color="auto" w:fill="BFE4FF"/>
          </w:tcPr>
          <w:p>
            <w:pPr>
              <w:spacing w:after="0"/>
              <w:rPr>
                <w:sz w:val="15"/>
                <w:szCs w:val="15"/>
                <w:color w:val="auto"/>
              </w:rPr>
            </w:pPr>
          </w:p>
        </w:tc>
        <w:tc>
          <w:tcPr>
            <w:tcW w:w="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442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2,772</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521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5,001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16"/>
                <w:szCs w:val="16"/>
                <w:color w:val="auto"/>
              </w:rPr>
            </w:pPr>
          </w:p>
        </w:tc>
        <w:tc>
          <w:tcPr>
            <w:tcW w:w="23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YMIDD</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BFE4FF"/>
          </w:tcPr>
          <w:p>
            <w:pPr>
              <w:spacing w:after="0"/>
              <w:rPr>
                <w:sz w:val="16"/>
                <w:szCs w:val="16"/>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BFE4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FE4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BFE4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2300" w:type="dxa"/>
            <w:vAlign w:val="bottom"/>
            <w:gridSpan w:val="2"/>
          </w:tcPr>
          <w:p>
            <w:pPr>
              <w:ind w:left="20"/>
              <w:spacing w:after="0"/>
              <w:rPr>
                <w:sz w:val="20"/>
                <w:szCs w:val="20"/>
                <w:color w:val="auto"/>
              </w:rPr>
            </w:pPr>
            <w:r>
              <w:rPr>
                <w:rFonts w:ascii="Arial" w:cs="Arial" w:eastAsia="Arial" w:hAnsi="Arial"/>
                <w:sz w:val="13"/>
                <w:szCs w:val="13"/>
                <w:color w:val="auto"/>
              </w:rPr>
              <w:t>FGF</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1,671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0" w:firstLine="8"/>
        <w:spacing w:after="0" w:line="227" w:lineRule="auto"/>
        <w:tabs>
          <w:tab w:leader="none" w:pos="203"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rental payments due from employees at January 31, 2021 and October 31, 2020.</w:t>
      </w:r>
    </w:p>
    <w:p>
      <w:pPr>
        <w:spacing w:after="0" w:line="337" w:lineRule="exact"/>
        <w:rPr>
          <w:rFonts w:ascii="Arial" w:cs="Arial" w:eastAsia="Arial" w:hAnsi="Arial"/>
          <w:sz w:val="23"/>
          <w:szCs w:val="23"/>
          <w:color w:val="auto"/>
          <w:vertAlign w:val="superscript"/>
        </w:rPr>
      </w:pPr>
    </w:p>
    <w:p>
      <w:pPr>
        <w:jc w:val="both"/>
        <w:ind w:firstLine="8"/>
        <w:spacing w:after="0" w:line="234" w:lineRule="auto"/>
        <w:tabs>
          <w:tab w:leader="none" w:pos="209"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refer to Note 8 - Other Assets. The Company recorded capital contributions, purchased water and water delivery services and had water payments due to the mutual water companies.</w:t>
      </w:r>
    </w:p>
    <w:p>
      <w:pPr>
        <w:spacing w:after="0" w:line="229" w:lineRule="exact"/>
        <w:rPr>
          <w:rFonts w:ascii="Arial" w:cs="Arial" w:eastAsia="Arial" w:hAnsi="Arial"/>
          <w:sz w:val="23"/>
          <w:szCs w:val="23"/>
          <w:color w:val="auto"/>
          <w:vertAlign w:val="superscript"/>
        </w:rPr>
      </w:pPr>
    </w:p>
    <w:p>
      <w:pPr>
        <w:ind w:firstLine="8"/>
        <w:spacing w:after="0" w:line="267" w:lineRule="auto"/>
        <w:tabs>
          <w:tab w:leader="none" w:pos="19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201" w:lineRule="exact"/>
        <w:rPr>
          <w:rFonts w:ascii="Arial" w:cs="Arial" w:eastAsia="Arial" w:hAnsi="Arial"/>
          <w:sz w:val="21"/>
          <w:szCs w:val="21"/>
          <w:color w:val="auto"/>
          <w:vertAlign w:val="superscript"/>
        </w:rPr>
      </w:pPr>
    </w:p>
    <w:p>
      <w:pPr>
        <w:jc w:val="both"/>
        <w:ind w:firstLine="8"/>
        <w:spacing w:after="0" w:line="267" w:lineRule="auto"/>
        <w:tabs>
          <w:tab w:leader="none" w:pos="184"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Calavo - The Company had an investment in Calavo through March 2020 and has representation on the board of directors and Calavo has an investment in the Company. The Company recorded dividend income on its investment in Calavo, paid dividends to Calavo and had avocado sales to Calavo. Additionally, the Company leases office space to Calavo, purchased storage services from Calavo and had immaterial amounts due to Calavo for those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Related-Party Transactions (continued)</w:t>
      </w:r>
    </w:p>
    <w:p>
      <w:pPr>
        <w:spacing w:after="0" w:line="256" w:lineRule="exact"/>
        <w:rPr>
          <w:sz w:val="20"/>
          <w:szCs w:val="20"/>
          <w:color w:val="auto"/>
        </w:rPr>
      </w:pPr>
    </w:p>
    <w:p>
      <w:pPr>
        <w:jc w:val="both"/>
        <w:ind w:firstLine="8"/>
        <w:spacing w:after="0" w:line="276" w:lineRule="auto"/>
        <w:tabs>
          <w:tab w:leader="none" w:pos="18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 xml:space="preserve">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the Company's Series B-2 convertible preferred stock. Upon the adoption of </w:t>
      </w:r>
      <w:r>
        <w:rPr>
          <w:rFonts w:ascii="Arial" w:cs="Arial" w:eastAsia="Arial" w:hAnsi="Arial"/>
          <w:sz w:val="16"/>
          <w:szCs w:val="16"/>
          <w:i w:val="1"/>
          <w:iCs w:val="1"/>
          <w:color w:val="auto"/>
        </w:rPr>
        <w:t>ASC 842</w:t>
      </w:r>
      <w:r>
        <w:rPr>
          <w:rFonts w:ascii="Arial" w:cs="Arial" w:eastAsia="Arial" w:hAnsi="Arial"/>
          <w:sz w:val="16"/>
          <w:szCs w:val="16"/>
          <w:color w:val="auto"/>
        </w:rPr>
        <w:t>, the Company recorded a ROU asset and corresponding lease liability.</w:t>
      </w:r>
    </w:p>
    <w:p>
      <w:pPr>
        <w:spacing w:after="0" w:line="200" w:lineRule="exact"/>
        <w:rPr>
          <w:rFonts w:ascii="Arial" w:cs="Arial" w:eastAsia="Arial" w:hAnsi="Arial"/>
          <w:sz w:val="21"/>
          <w:szCs w:val="21"/>
          <w:color w:val="auto"/>
          <w:vertAlign w:val="superscript"/>
        </w:rPr>
      </w:pPr>
    </w:p>
    <w:p>
      <w:pPr>
        <w:spacing w:after="0" w:line="219" w:lineRule="exact"/>
        <w:rPr>
          <w:rFonts w:ascii="Arial" w:cs="Arial" w:eastAsia="Arial" w:hAnsi="Arial"/>
          <w:sz w:val="21"/>
          <w:szCs w:val="21"/>
          <w:color w:val="auto"/>
          <w:vertAlign w:val="superscript"/>
        </w:rPr>
      </w:pPr>
    </w:p>
    <w:p>
      <w:pPr>
        <w:jc w:val="both"/>
        <w:ind w:firstLine="8"/>
        <w:spacing w:after="0" w:line="269" w:lineRule="auto"/>
        <w:tabs>
          <w:tab w:leader="none" w:pos="18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207" w:lineRule="exact"/>
        <w:rPr>
          <w:rFonts w:ascii="Arial" w:cs="Arial" w:eastAsia="Arial" w:hAnsi="Arial"/>
          <w:sz w:val="21"/>
          <w:szCs w:val="21"/>
          <w:color w:val="auto"/>
          <w:vertAlign w:val="superscript"/>
        </w:rPr>
      </w:pPr>
    </w:p>
    <w:p>
      <w:pPr>
        <w:ind w:firstLine="8"/>
        <w:spacing w:after="0" w:line="227" w:lineRule="auto"/>
        <w:tabs>
          <w:tab w:leader="none" w:pos="211"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229" w:lineRule="exact"/>
        <w:rPr>
          <w:rFonts w:ascii="Arial" w:cs="Arial" w:eastAsia="Arial" w:hAnsi="Arial"/>
          <w:sz w:val="23"/>
          <w:szCs w:val="23"/>
          <w:color w:val="auto"/>
          <w:vertAlign w:val="superscript"/>
        </w:rPr>
      </w:pPr>
    </w:p>
    <w:p>
      <w:pPr>
        <w:jc w:val="both"/>
        <w:ind w:right="20" w:firstLine="8"/>
        <w:spacing w:after="0" w:line="269" w:lineRule="auto"/>
        <w:tabs>
          <w:tab w:leader="none" w:pos="186"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receivable from FGF for lemon sales and a payable due to FGF for fruit purchases and services.</w:t>
      </w:r>
    </w:p>
    <w:p>
      <w:pPr>
        <w:spacing w:after="0" w:line="19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LLCB - Refer to Note 5 - 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effective tax rate for the three months ended January 31, 2021 was higher than the federal statutory tax rate of 21% mainly due to foreign jurisdictions which are taxed at different rates, state taxes, and nondeductible tax items. The Company has no material uncertain tax positions as of January 31, 2021. The Company recognizes interest expense and penalties related to income tax matters as a component of income tax expense. There was no accrued interest or penalties associated with uncertain tax positions as of January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no funding contributions during the three months ended January 31, 2021 and 2020.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months ended January 31, 2021 and 2020 were as follows (in thousands):</w:t>
      </w:r>
    </w:p>
    <w:p>
      <w:pPr>
        <w:spacing w:after="0" w:line="140"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jc w:val="center"/>
        <w:ind w:left="858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47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4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4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47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472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4720" w:type="dxa"/>
            <w:vAlign w:val="bottom"/>
            <w:vMerge w:val="restart"/>
          </w:tcPr>
          <w:p>
            <w:pPr>
              <w:jc w:val="right"/>
              <w:ind w:right="2790"/>
              <w:spacing w:after="0"/>
              <w:rPr>
                <w:sz w:val="20"/>
                <w:szCs w:val="20"/>
                <w:color w:val="auto"/>
              </w:rPr>
            </w:pPr>
            <w:r>
              <w:rPr>
                <w:rFonts w:ascii="Arial" w:cs="Arial" w:eastAsia="Arial" w:hAnsi="Arial"/>
                <w:sz w:val="18"/>
                <w:szCs w:val="18"/>
                <w:color w:val="auto"/>
              </w:rPr>
              <w:t>20</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8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ind w:right="7320" w:firstLine="8"/>
        <w:spacing w:after="0" w:line="534"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and Treasury Stock Stock-based Compensation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There were no shares of common stock granted to management under the Stock Plan for fiscal year 2020 performance because the financial performance and other criteria were not met.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These grants generally vest over a three to five-year period as service is provided. During December 2020, the Company granted 95,000 shares of common stock with a per share price of $15.26 to key executives under the Stock Plan. The related compensation expense of approximately $1,450,000 will be recognized equally over the next three years as the shares vest.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issues shares of common stock to non-employee directors under the Stock Plan on an annual basis that vest upon grant (“Director Awards”). During January 2021 and 2020, 27,815 and 17,841 shares, respectively, of common stock were granted as Director Awards. The Company recognized $469,000 and $358,000 of stock-based compensation to non-employee directors during the three months ended January 31, 2021 and 2020, respectively.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2021 and 2020, members of management exchanged 46,993 and 11,314 shares, respectively, of common stock with fair values of $701,000 and $213,000, respectively, at the date of the exchanges, for the payment of payroll taxes associated with the vesting of shares under the Company’s stock-based compensation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12, 2020, the Board of Directors of the Company approved a share repurchase program authorizing the Company to repurchase up to $10,000,000 of its outstanding shares of common stock through March 2021. Under the share repurchase program, purchases of shares of common stock may be made from time to time in the open market or in privately negotiated transactions. The share repurchase program may be modified, suspended or discontinued at any time and does not commit the Company to repurchase shares of its common stock.</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related to rental operations are included in “Corporate and Other.” Other agribusiness revenues consist of oranges of $1,091,000 and specialty citrus and other crops of $1,849,000 for the three months ended January 31, 2021 and oranges of $2,272,000 and specialty citrus and other crops of $1,892,000 for the three months ended January 31, 2020.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total other income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Avocados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29,507</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9,531</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(6,685)</w:t>
            </w:r>
          </w:p>
        </w:tc>
        <w:tc>
          <w:tcPr>
            <w:tcW w:w="7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34,726</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6,688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41,414</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(5,839)</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4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Lemon</w:t>
            </w:r>
          </w:p>
        </w:tc>
        <w:tc>
          <w:tcPr>
            <w:tcW w:w="12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2"/>
                <w:szCs w:val="12"/>
                <w:color w:val="auto"/>
              </w:rPr>
            </w:pPr>
          </w:p>
        </w:tc>
        <w:tc>
          <w:tcPr>
            <w:tcW w:w="8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3"/>
              </w:rPr>
              <w:t>Avocados</w:t>
            </w:r>
          </w:p>
        </w:tc>
        <w:tc>
          <w:tcPr>
            <w:tcW w:w="120" w:type="dxa"/>
            <w:vAlign w:val="bottom"/>
          </w:tcPr>
          <w:p>
            <w:pPr>
              <w:spacing w:after="0"/>
              <w:rPr>
                <w:sz w:val="12"/>
                <w:szCs w:val="12"/>
                <w:color w:val="auto"/>
              </w:rPr>
            </w:pPr>
          </w:p>
        </w:tc>
        <w:tc>
          <w:tcPr>
            <w:tcW w:w="900" w:type="dxa"/>
            <w:vAlign w:val="bottom"/>
          </w:tcPr>
          <w:p>
            <w:pPr>
              <w:jc w:val="right"/>
              <w:ind w:right="24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90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b w:val="1"/>
                <w:bCs w:val="1"/>
                <w:color w:val="auto"/>
                <w:w w:val="99"/>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Packing</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41,656</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32,057</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(7,105)</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41,656</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34,351</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8,609</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(7,105)</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3,931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40,259</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7,298</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47,557</w:t>
            </w:r>
          </w:p>
        </w:tc>
        <w:tc>
          <w:tcPr>
            <w:tcW w:w="0" w:type="dxa"/>
            <w:vAlign w:val="bottom"/>
          </w:tcPr>
          <w:p>
            <w:pPr>
              <w:spacing w:after="0"/>
              <w:rPr>
                <w:sz w:val="1"/>
                <w:szCs w:val="1"/>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(6,406)</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in the notes to the interim consolidated financial statements, no other subsequent events occurred that require recognition or disclosure in the unaudited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6,000 acres of lemons, 900 acres of avocados, 1,400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growing, packing, marketing and selling business in Argentina.</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comprising 256 completed rental units and another approximately 1,100 units in various stages of planning and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Summary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market and sell lemons directly to our food service, wholesale and retail customers throughout the United States, Canada, Asia, Australia and certain other international markets. We are one of the largest growers of lemons and avocados in the United States. We sell a majority of our avocados to Calavo. Additionally, we sell our oranges and specialty citrus to Sunkist-licensed and other third-party packinghouses, our pistachios to a roaster, packager and marketer of nuts, and our wine grapes to various wine producers.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Summary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rental operations division includes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Summary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districts in Tulare County and ground water in San Bernardino County. Following our acquisition of Associated Citrus Packers, Inc. ("Associated"), we began using federal project water in Arizona from the Colorado River through the YMIDD. We also have acquired water rights in Chile related to our acquisitions of PDA and San Pablo and in Argentina related to our acquisition of Trapani Fresh.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California has experienced below average precipitation since 2018 and according to the U.S. Drought Monitor, California is experiencing moderate drought conditions as of January 31, 2021. Federal officials oversee the Central Valley Project, California’s largest water delivery system and 100% of the contracted amount of water was provided to San Joaquin Valley farmers in 2017 through 2020 compared to 75% in 2016 and zero in 2015 and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equal partners in a joint venture with The Lewis Group of Companies (“Lewis”) for the residential development of our East Area I real estate development project. To consummate the transaction, we formed Limoneira Lewis Community Builders, LLC (the "LLCB" or "Joint Venture") as the development entity. The first phase of the project broke ground to commence mass grading in November 2017. The Joint Venture has closed on lot sales representing 398 units from inception through January 31, 2021, including 44 units in the first quarter of fiscal year 2021. For further information see Note 5 – Real Estate Development of the notes to consolidated financial statements included in this Quarterly Report on Form 10-Q.</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2020, we received $5.0 million of federal income tax refunds related to the Coronavirus Aid Relief and Economic Security Act and we expect to receive an additional $0.9 million of California state refunds in fiscal year 2021.</w:t>
      </w: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12, 2020, the Board of Directors of our Company approved a share repurchase program authorizing us to repurchase up to $10.0 million of our outstanding shares of common stock through March 2021. Under the share repurchase program, purchases of shares of common stock may be made from time to time in the open market or in privately negotiated transactions. The share repurchase program may be modified, suspended or discontinued at any time and does not commit us to repurchase shares of our common stock. During fiscal year 2020, we purchased 250,977 shares under the share repurchase program for approximately $3.5 million. As of January 31, 2021, the remaining authorization under this program is approximately $6.5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15, 2020, we declared a cash dividend of $0.075 per common share paid on January 15, 2021, in the aggregate amount of $1.3 million to stockholders of record as of December 28,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spread of the novel coronavirus (COVID-19) in the past year has negatively impacted the global economy, disrupted global supply chains and created significant volatility and disruption of financial markets. The impact of this pandemic has created significant uncertainty in the global economy and has affected our business, employees, suppliers, and customers.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COVID-19 pandemic has had an adverse impact on the industries and markets in which we conduct business. In particular, the United States lemon market has seen a significant decline in volume, with lemon demand falling since wide spread shelter in place orders were issued in mid-March 2020, resulting in a significant market oversupply. The export market for fresh product has also significantly declined due to COVID-19 impacts.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decline in demand for our products beginning the second quarter of fiscal year 2020, which we believe was a result of the COVID-19 pandemic, negatively impacted our sales and profitability for the second, third and fourth quarters of fiscal year 2020 and in the first quarter of fiscal year 2021. We also expect an adverse impact on our sales and profitability in future periods. These impacts are expected to be material. However, the duration of these trends and the magnitude of such impacts cannot be precisely estimated at this time, as they are affected by a number of factors, many of which are outside management’s control, including, but not limited, to those presented in Item 1A. Risk Factors of our Annual Report on Form 10-K for the year ended October 31, 2020. Although subject to unforeseen changes that may arise as the COVID-19 pandemic continues to unfold, we currently expect improvement in the second half of fiscal year 2021.</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took proactive actions early on to protect the health of our employees and their families, including curtailing business travel and encouraging video conferencing whenever possible. In addition, as the COVID-19 pandemic worsened throughout the spring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2020, we allowed personnel to work remotely to the extent possible. While we believe we have responded appropriately to mitigate the impacts of the COVID-19 pandemic, as the situation evolves, we will continue to analyze additional mitigation measures that may be needed to preserve the health and safety of our workforce and our customers and the ongoing continuity of our business operations. Those measures might include modifying workspaces, continuing social distancing policies, implementing new personal protective equipment or health screening policies at our facilities, or such other industry best practices needed to continue to maintain a healthy and safe environment for our employees amidst the COVID-19 pandemic. In addition, in February 2021 the COVID-19 vaccine was offered to our employees.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economic uncertainty as a result of the COVID-19 pandemic over the past year, we have taken actions to improve our current liquidity position, including temporarily postponing capital expenditures, selling equity securities to increase cash, reducing operating costs, and substantially reducing discretionary spending.</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one of the largest growers of lemons and avocados in the United States and maintain our country's food chain infrastructure and thus are considered an essential business and permitted to remain open during the ongoing pandemic, be it at reduced volumes, in order to fulfill our customers' needs. However, there is significant uncertainty around the breadth and duration of our business disruptions related to the COVID-19 pandemic, as well as its impact on the U.S. economy, the ongoing business operations of our clients and our results of operations and financial condition. While our management team is actively monitoring the impacts of the COVID-19 pandemic and may take further actions altering our business operations that we determine are in the best interests of our employees and clients or as required by federal, state, or local authorities, the full impact of the COVID-19 pandemic on our results of operations, financial condition, or liquidity for fiscal year 2021 and beyond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980" w:type="dxa"/>
            <w:vAlign w:val="bottom"/>
            <w:gridSpan w:val="2"/>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51"/>
        </w:trPr>
        <w:tc>
          <w:tcPr>
            <w:tcW w:w="7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January 31,</w:t>
            </w:r>
          </w:p>
        </w:tc>
      </w:tr>
      <w:tr>
        <w:trPr>
          <w:trHeight w:val="223"/>
        </w:trPr>
        <w:tc>
          <w:tcPr>
            <w:tcW w:w="7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37,137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40,483</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 net revenues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38,275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41,656</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36,938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42,543</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50,122</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Agribusiness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Other operations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(5,895)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(8,466)</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dividends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Equity in earnings (losses) of investments,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stock in Calavo Growers, Inc.</w:t>
            </w:r>
          </w:p>
        </w:tc>
        <w:tc>
          <w:tcPr>
            <w:tcW w:w="9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Loss before income tax benefit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(10,040)</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(6,904)</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gain or loss on stock in Calavo and sale and disposal of property assets when applicable, is an important measure to evaluate our results of operations between periods on a more comparable basis. Adjusted EBITDA in previous periods also excluded LLCB earnings in equity investment which is no longer excluded due to management’s anticipation of future cash distributions related to the investment in LLCB.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January 31,</w:t>
            </w:r>
          </w:p>
        </w:tc>
      </w:t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dividends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EBITDA</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(3,071)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(7,053)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stock in Calavo Growers, Inc.</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(3,071)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(5,029)</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2021 Compared to the Three Months Ended January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net revenues for the first quarter of fiscal year 2021 were $38.3 million compared to $41.7 million for the same period of fiscal year 2020. The 8% decrease of $3.4 million was primarily the result of decreased agribusiness revenues, as detailed below ($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6480" w:type="dxa"/>
            <w:vAlign w:val="bottom"/>
            <w:tcBorders>
              <w:bottom w:val="single" w:sz="8" w:color="auto"/>
            </w:tcBorders>
            <w:gridSpan w:val="8"/>
          </w:tcPr>
          <w:p>
            <w:pPr>
              <w:ind w:left="760"/>
              <w:spacing w:after="0"/>
              <w:rPr>
                <w:sz w:val="20"/>
                <w:szCs w:val="20"/>
                <w:color w:val="auto"/>
              </w:rPr>
            </w:pPr>
            <w:r>
              <w:rPr>
                <w:rFonts w:ascii="Arial" w:cs="Arial" w:eastAsia="Arial" w:hAnsi="Arial"/>
                <w:sz w:val="18"/>
                <w:szCs w:val="18"/>
                <w:b w:val="1"/>
                <w:bCs w:val="1"/>
                <w:color w:val="auto"/>
              </w:rPr>
              <w:t>Agribusiness Revenues for the Three Months Ended January 31,</w:t>
            </w:r>
          </w:p>
        </w:tc>
      </w:tr>
      <w:tr>
        <w:trPr>
          <w:trHeight w:val="223"/>
        </w:trPr>
        <w:tc>
          <w:tcPr>
            <w:tcW w:w="47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spacing w:after="0"/>
              <w:rPr>
                <w:sz w:val="19"/>
                <w:szCs w:val="19"/>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34,197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(1,954)</w:t>
            </w:r>
          </w:p>
        </w:tc>
        <w:tc>
          <w:tcPr>
            <w:tcW w:w="11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4"/>
              </w:rPr>
              <w:t>(5)%</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Avocados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(168)</w:t>
            </w:r>
          </w:p>
        </w:tc>
        <w:tc>
          <w:tcPr>
            <w:tcW w:w="1180" w:type="dxa"/>
            <w:vAlign w:val="bottom"/>
          </w:tcPr>
          <w:p>
            <w:pPr>
              <w:jc w:val="center"/>
              <w:ind w:right="310"/>
              <w:spacing w:after="0"/>
              <w:rPr>
                <w:sz w:val="20"/>
                <w:szCs w:val="20"/>
                <w:color w:val="auto"/>
              </w:rPr>
            </w:pPr>
            <w:r>
              <w:rPr>
                <w:rFonts w:ascii="Arial" w:cs="Arial" w:eastAsia="Arial" w:hAnsi="Arial"/>
                <w:sz w:val="18"/>
                <w:szCs w:val="18"/>
                <w:color w:val="auto"/>
                <w:w w:val="92"/>
              </w:rPr>
              <w:t>(100)%</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(1,181)</w:t>
            </w:r>
          </w:p>
        </w:tc>
        <w:tc>
          <w:tcPr>
            <w:tcW w:w="11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1"/>
              </w:rPr>
              <w:t>(52)%</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 crops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(43)</w:t>
            </w:r>
          </w:p>
        </w:tc>
        <w:tc>
          <w:tcPr>
            <w:tcW w:w="11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4"/>
              </w:rPr>
              <w:t>(2)%</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37,137</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(3,346)</w:t>
            </w:r>
          </w:p>
        </w:tc>
        <w:tc>
          <w:tcPr>
            <w:tcW w:w="1180" w:type="dxa"/>
            <w:vAlign w:val="bottom"/>
            <w:tcBorders>
              <w:bottom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94"/>
              </w:rPr>
              <w:t>(8)%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left="340" w:hanging="332"/>
        <w:spacing w:after="0" w:line="272"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Lemons: The decrease in the first quarter of fiscal year 2021 was primarily the result of lower prices partially offset by increased volume of fresh lemons sold compared to the same period in fiscal year 2020. During the first quarter of fiscal years 2021 and 2020, fresh lemon sales were $25.0 million and $27.0 million, 1,320,000 and 1,280,000 cartons of lemons sold at average per carton prices of $18.91 and $21.12, respectively. COVID-19 related food service closures reduced the demand for lemons in the food service marketplace and created an over-supply in the retail marketplace. This oversupply of lemons resulted in lower average per carton prices in the first quarter of fiscal year 2021 compared to the same period in fiscal year 2020. Lemon revenues in the first quarter of fiscal years 2021 and 2020 included $4.9 million and $4.1 million shipping and handling, $0.8 million and $1.0 million lemon by-products and $3.5 million and $4.0 million other lemon sales, respectively.</w:t>
      </w:r>
    </w:p>
    <w:p>
      <w:pPr>
        <w:spacing w:after="0" w:line="42" w:lineRule="exact"/>
        <w:rPr>
          <w:rFonts w:ascii="Arial" w:cs="Arial" w:eastAsia="Arial" w:hAnsi="Arial"/>
          <w:sz w:val="17"/>
          <w:szCs w:val="17"/>
          <w:color w:val="auto"/>
        </w:rPr>
      </w:pPr>
    </w:p>
    <w:p>
      <w:pPr>
        <w:ind w:left="340" w:right="20" w:hanging="332"/>
        <w:spacing w:after="0" w:line="232" w:lineRule="auto"/>
        <w:tabs>
          <w:tab w:leader="none" w:pos="335" w:val="left"/>
        </w:tabs>
        <w:numPr>
          <w:ilvl w:val="0"/>
          <w:numId w:val="9"/>
        </w:numPr>
        <w:rPr>
          <w:rFonts w:ascii="Arial" w:cs="Arial" w:eastAsia="Arial" w:hAnsi="Arial"/>
          <w:sz w:val="22"/>
          <w:szCs w:val="22"/>
          <w:color w:val="auto"/>
        </w:rPr>
      </w:pPr>
      <w:r>
        <w:rPr>
          <w:rFonts w:ascii="Arial" w:cs="Arial" w:eastAsia="Arial" w:hAnsi="Arial"/>
          <w:sz w:val="18"/>
          <w:szCs w:val="18"/>
          <w:color w:val="auto"/>
        </w:rPr>
        <w:t>Avocados: Due to harvest timing, no sales were recorded in the first quarter of fiscal year 2021 compared to sales of 125,000 pounds of avocados at an average per pound price of $1.34 in the first quarter of fiscal year 2020.</w:t>
      </w:r>
    </w:p>
    <w:p>
      <w:pPr>
        <w:spacing w:after="0" w:line="27" w:lineRule="exact"/>
        <w:rPr>
          <w:rFonts w:ascii="Arial" w:cs="Arial" w:eastAsia="Arial" w:hAnsi="Arial"/>
          <w:sz w:val="22"/>
          <w:szCs w:val="22"/>
          <w:color w:val="auto"/>
        </w:rPr>
      </w:pPr>
    </w:p>
    <w:p>
      <w:pPr>
        <w:jc w:val="both"/>
        <w:ind w:left="340" w:hanging="332"/>
        <w:spacing w:after="0" w:line="259"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Oranges: The decrease in the first quarter of fiscal year 2021 was primarily the result of decreased volume of oranges sold partially offset by higher prices compared to the same period in fiscal year 2020. In the first quarter of fiscal years 2021 and 2020, we sold 119,000 and 196,000 40-pound carton equivalents of oranges at an average per carton price of $9.17 and $6.71, respectively. Additionally, the fiscal year 2020 revenues included $0.1 million in Chile and $0.9 million of oranges purchased for resale.</w:t>
      </w:r>
    </w:p>
    <w:p>
      <w:pPr>
        <w:spacing w:after="0" w:line="24" w:lineRule="exact"/>
        <w:rPr>
          <w:rFonts w:ascii="Arial" w:cs="Arial" w:eastAsia="Arial" w:hAnsi="Arial"/>
          <w:sz w:val="18"/>
          <w:szCs w:val="18"/>
          <w:color w:val="auto"/>
        </w:rPr>
      </w:pPr>
    </w:p>
    <w:p>
      <w:pPr>
        <w:jc w:val="both"/>
        <w:ind w:left="340" w:hanging="332"/>
        <w:spacing w:after="0" w:line="311"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Specialty citrus and other crops: The slight decrease in the first quarter of fiscal year 2021 was primarily the result of decreased volume partially offset by increased prices of specialty citrus sold compared to the same period in fiscal year 2020. During the first quarter of fiscal years 2021 and 2020, we sold 115,000 and 139,000 40-pound carton equivalents of specialty citrus at an average per carton price of $15.46 and $13.61,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Rental operations revenue in the first quarter of fiscal year 2021 was similar to the first quarter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costs and expenses in the first quarter of fiscal year 2021 were $43.9 million compared to $50.1 million in the same period of fiscal year 2020. The 12% decrease of $6.2 million was primarily attributable to decreases in our agribusiness costs partially offset by increased packing costs. Costs and expenses associated with our agribusiness include packing costs, harvest costs, growing costs, costs related to the fruit we procure and sell for third-party growers and depreciation and amortization expense, as detailed below ($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6480" w:type="dxa"/>
            <w:vAlign w:val="bottom"/>
            <w:tcBorders>
              <w:bottom w:val="single" w:sz="8" w:color="auto"/>
            </w:tcBorders>
            <w:gridSpan w:val="8"/>
          </w:tcPr>
          <w:p>
            <w:pPr>
              <w:ind w:left="360"/>
              <w:spacing w:after="0"/>
              <w:rPr>
                <w:sz w:val="20"/>
                <w:szCs w:val="20"/>
                <w:color w:val="auto"/>
              </w:rPr>
            </w:pPr>
            <w:r>
              <w:rPr>
                <w:rFonts w:ascii="Arial" w:cs="Arial" w:eastAsia="Arial" w:hAnsi="Arial"/>
                <w:sz w:val="18"/>
                <w:szCs w:val="18"/>
                <w:b w:val="1"/>
                <w:bCs w:val="1"/>
                <w:color w:val="auto"/>
                <w:w w:val="94"/>
              </w:rPr>
              <w:t>Agribusiness Costs and Expenses for the Three Months Ended January 31,</w:t>
            </w:r>
          </w:p>
        </w:tc>
      </w:tr>
      <w:tr>
        <w:trPr>
          <w:trHeight w:val="223"/>
        </w:trPr>
        <w:tc>
          <w:tcPr>
            <w:tcW w:w="47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160" w:type="dxa"/>
            <w:vAlign w:val="bottom"/>
            <w:tcBorders>
              <w:bottom w:val="single" w:sz="8" w:color="auto"/>
            </w:tcBorders>
          </w:tcPr>
          <w:p>
            <w:pPr>
              <w:spacing w:after="0"/>
              <w:rPr>
                <w:sz w:val="19"/>
                <w:szCs w:val="19"/>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10,377</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1,221</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88"/>
              </w:rPr>
              <w:t>13%</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4,923</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6,248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(1,325)</w:t>
            </w: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(21)%</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(1,667)</w:t>
            </w:r>
          </w:p>
        </w:tc>
        <w:tc>
          <w:tcPr>
            <w:tcW w:w="116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1"/>
              </w:rPr>
              <w:t>(17)%</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Third-party grower costs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11,314</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15,076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(3,762)</w:t>
            </w:r>
          </w:p>
        </w:tc>
        <w:tc>
          <w:tcPr>
            <w:tcW w:w="1160" w:type="dxa"/>
            <w:vAlign w:val="bottom"/>
          </w:tcPr>
          <w:p>
            <w:pPr>
              <w:jc w:val="center"/>
              <w:ind w:right="350"/>
              <w:spacing w:after="0"/>
              <w:rPr>
                <w:sz w:val="20"/>
                <w:szCs w:val="20"/>
                <w:color w:val="auto"/>
              </w:rPr>
            </w:pPr>
            <w:r>
              <w:rPr>
                <w:rFonts w:ascii="Arial" w:cs="Arial" w:eastAsia="Arial" w:hAnsi="Arial"/>
                <w:sz w:val="18"/>
                <w:szCs w:val="18"/>
                <w:color w:val="auto"/>
                <w:w w:val="91"/>
              </w:rPr>
              <w:t>(25)%</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(72)</w:t>
            </w:r>
          </w:p>
        </w:tc>
        <w:tc>
          <w:tcPr>
            <w:tcW w:w="116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(3)%</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36,938</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42,543</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(5,605)</w:t>
            </w:r>
          </w:p>
        </w:tc>
        <w:tc>
          <w:tcPr>
            <w:tcW w:w="11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91"/>
              </w:rPr>
              <w:t>(13)%</w:t>
            </w:r>
          </w:p>
        </w:tc>
      </w:tr>
      <w:tr>
        <w:trPr>
          <w:trHeight w:val="21"/>
        </w:trPr>
        <w:tc>
          <w:tcPr>
            <w:tcW w:w="4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hanging="332"/>
        <w:spacing w:after="0" w:line="25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In the first quarter of fiscal years 2021 and 2020, lemon packing costs were $9.5 million and $8.6 million, respectively. During the first quarter of fiscal years 2021 and 2020, we packed and sold 1,320,000 and 1,280,000 cartons of lemons at average per carton costs of $7.22 and $6.70, respectively. Additionally, packing costs included $0.8 million and $0.6 million of shipping costs in the first quarter of fiscal years 2021 and 2020, respectively.</w:t>
      </w:r>
    </w:p>
    <w:p>
      <w:pPr>
        <w:spacing w:after="0" w:line="2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Harvest costs: The decrease in the first quarter of fiscal year 2021 was primarily the result of decreased volume of avocados, oranges and specialty citrus harvested compared to the same period in fiscal year 2020.</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decrease in the first quarter of fiscal year 2021 was primarily due to farm management decisions based on weather, harvest timing and crop conditions.</w:t>
      </w:r>
    </w:p>
    <w:p>
      <w:pPr>
        <w:spacing w:after="0" w:line="21"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grower costs: We sell lemons that we grow and lemons that we procure from other growers. The cost of procuring lemons from other growers is referred to as third-party grower costs. The decrease in the first quarter of fiscal year 2021 was primarily due to lower prices and decreased volume of third-party grower lemons sold compared to the same period of fiscal year 2020. Of the 1,320,000 and 1,280,000 cartons of lemons packed and sold during the first quarter of fiscal years 2021 and 2020, 637,000 (48%) and 706,000 (55%) were procured from third-party growers at average per carton prices of $14.63 and $16.58, respectively. Additionally, in the first quarter of fiscal year 2021 and 2020 we incurred $2.0 million and $3.4 million, respectively of costs for purchased, packed fruit for resale.</w:t>
      </w:r>
    </w:p>
    <w:p>
      <w:pPr>
        <w:spacing w:after="0" w:line="30"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first quarter of fiscal year 2021 was approximately $0.1 million lower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$1.1 million and $1.3 million in the first quarter of fiscal years 2021 and 2020, respectively.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costs and expenses were $5.9 million in the first quarter of fiscal year 2021 compared to $6.3 million in the first quarter of fiscal year 2020. The 7% decrease of $0.4 million primarily consisted of the following:</w:t>
      </w:r>
    </w:p>
    <w:p>
      <w:pPr>
        <w:spacing w:after="0" w:line="25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Labor, benefits and incentive compensation for the first quarter of fiscal year 2021 were $0.4 million lower than the first quarter of fiscal year 2020.</w:t>
      </w:r>
    </w:p>
    <w:p>
      <w:pPr>
        <w:spacing w:after="0" w:line="86"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Training, depreciation and other costs associated with an ERP software implementation for the first quarter of fiscal year 2021 were $0.3 million lower than the first quarter of fiscal year 2020.</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and administrative expenses, including certain corporate overhead expenses for the first quarter of fiscal year 2021 were $0.1 million lower than the first quarter of fiscal year 2020.</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Audit, audit-related and income tax fees for the first quarter of fiscal year 2021 were $0.4 million higher than the first quarter of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for the three months ended January 31, 2021 was comprised primarily of $0.4 million of equity in earnings of investments and $0.2 million of net interest income. Other expense for the three months ended January 31, 2020 was comprised primarily of $2.0 million loss on stock in Calavo Growers, Inc. partially offset by $0.1 million of net interest income and $0.2 million of dividend income received from Calavo.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estimated income tax benefit of $1.2 million and $3.1 million in the first quarter of fiscal years 2021 and 2020 on pre-tax loss of $5.1 million and $10.0 million, respectively. The tax benefit recorded for the first quarter of fiscal year 2021 differs from the U.S. federal statutory tax rate of 21.0% due primarily to foreign jurisdictions which are taxed at different rates, state taxes, and nondeductible tax items. Our projected annual effective blended tax rate for fiscal year 2021, excluding discrete items, is approximately 24.8%.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(income) loss attributable to noncontrolling interest represents 10% and 49% of the net (income) loss of PDA and Trapani Fresh,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18 - Segment Information of the notes to consolidated financial statements included in this Quarterly Report on Form 10-Q for additional information regarding our operating segments.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2021 Compared to the Three Months Ended January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Avocados</w:t>
            </w:r>
          </w:p>
        </w:tc>
        <w:tc>
          <w:tcPr>
            <w:tcW w:w="14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(6,685)</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37,137</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38,275</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29,507</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9,531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(6,685)</w:t>
            </w:r>
          </w:p>
        </w:tc>
        <w:tc>
          <w:tcPr>
            <w:tcW w:w="140" w:type="dxa"/>
            <w:vAlign w:val="bottom"/>
          </w:tcPr>
          <w:p>
            <w:pPr>
              <w:spacing w:after="0"/>
              <w:rPr>
                <w:sz w:val="16"/>
                <w:szCs w:val="16"/>
                <w:color w:val="auto"/>
              </w:rPr>
            </w:pPr>
          </w:p>
        </w:tc>
        <w:tc>
          <w:tcPr>
            <w:tcW w:w="780" w:type="dxa"/>
            <w:vAlign w:val="bottom"/>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34,726</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6,688</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41,414</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(5,839)</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2020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Lemon</w:t>
            </w:r>
          </w:p>
        </w:tc>
        <w:tc>
          <w:tcPr>
            <w:tcW w:w="140" w:type="dxa"/>
            <w:vAlign w:val="bottom"/>
          </w:tcPr>
          <w:p>
            <w:pPr>
              <w:spacing w:after="0"/>
              <w:rPr>
                <w:sz w:val="12"/>
                <w:szCs w:val="12"/>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5"/>
              </w:rPr>
              <w:t>Eliminations</w:t>
            </w:r>
          </w:p>
        </w:tc>
        <w:tc>
          <w:tcPr>
            <w:tcW w:w="140" w:type="dxa"/>
            <w:vAlign w:val="bottom"/>
          </w:tcPr>
          <w:p>
            <w:pPr>
              <w:spacing w:after="0"/>
              <w:rPr>
                <w:sz w:val="12"/>
                <w:szCs w:val="12"/>
                <w:color w:val="auto"/>
              </w:rPr>
            </w:pPr>
          </w:p>
        </w:tc>
        <w:tc>
          <w:tcPr>
            <w:tcW w:w="8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w w:val="93"/>
              </w:rPr>
              <w:t>Avocados</w:t>
            </w:r>
          </w:p>
        </w:tc>
        <w:tc>
          <w:tcPr>
            <w:tcW w:w="12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90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c>
          <w:tcPr>
            <w:tcW w:w="800" w:type="dxa"/>
            <w:vAlign w:val="bottom"/>
          </w:tcPr>
          <w:p>
            <w:pPr>
              <w:jc w:val="right"/>
              <w:ind w:right="109"/>
              <w:spacing w:after="0"/>
              <w:rPr>
                <w:sz w:val="20"/>
                <w:szCs w:val="20"/>
                <w:color w:val="auto"/>
              </w:rPr>
            </w:pPr>
            <w:r>
              <w:rPr>
                <w:rFonts w:ascii="Arial" w:cs="Arial" w:eastAsia="Arial" w:hAnsi="Arial"/>
                <w:sz w:val="13"/>
                <w:szCs w:val="13"/>
                <w:b w:val="1"/>
                <w:bCs w:val="1"/>
                <w:color w:val="auto"/>
                <w:w w:val="96"/>
              </w:rPr>
              <w:t>Corporate</w:t>
            </w:r>
          </w:p>
        </w:tc>
        <w:tc>
          <w:tcPr>
            <w:tcW w:w="200" w:type="dxa"/>
            <w:vAlign w:val="bottom"/>
          </w:tcPr>
          <w:p>
            <w:pPr>
              <w:spacing w:after="0"/>
              <w:rPr>
                <w:sz w:val="12"/>
                <w:szCs w:val="12"/>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Lemons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Packing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41,656</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32,057</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(7,105)</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41,656</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34,351</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8,609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(7,105)</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3,931</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40,259</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7,298</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47,557</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auto"/>
              </w:rPr>
              <w:t>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(6,406)</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lemons segment revenue is comprised of sales of fresh lemons, lemon by-products and other lemon revenue such as purchased, packed fruit for resale. For the first quarter of fiscal years 2021 and 2020, our fresh lemons segment total net revenues were $29.3 million and $32.1 million, respectively. The 9% decrease of $2.8 million was primarily due to decreases in fresh lemon carton sales of $2.1 million, lemon by-products of $0.2 million and brokerage and other sales of $0.5 million.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lemons we procure from third-party growers. For the first quarter of fiscal years 2021 and 2020, our fresh lemons segment costs and expenses were $29.5 million and $34.4 million, respectively. The 14% decrease of $4.8 million primarily consisted of the following:</w:t>
      </w:r>
    </w:p>
    <w:p>
      <w:pPr>
        <w:spacing w:after="0" w:line="23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2021 were $1.1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2021 were $0.7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grower costs for the first quarter of fiscal year 2021 were $2.9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 costs for the first quarter of fiscal year 2021 were $0.3 million higher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Intersegment costs and expenses for the first quarter of fiscal year 2021 were $0.4 million lower than the same period of fiscal year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quarter of fiscal years 2021 and 2020, our lemon packing segment total net revenues were $11.6 million and $11.2 million, respectively. The 3% increase of $0.4 million was primarily due to increased volume of lemons packed and sold.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quarter of fiscal years 2021 and 2020, our lemon packing costs and expenses were $9.5 million and $8.6 million, respectively. The 11% increase of $0.9 million was primarily due to increased volume of lemons packed at higher average per carton costs.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years 2021 and 2020, lemon packing segment operating income per carton sold was $1.55 and $2.02,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fiscal years 2021 and 2020, the lemon packing segment included $6.7 million and $7.1 million, respectively, of intersegment revenues that were charged to the fresh lemons segment to pack lemons for sale. Such intersegment revenues and expenses are eliminated in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year 2021, our avocados segment had no revenues, compared to $0.2 million in the same period of fiscal year 2020.</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and expenses associated with our avocados segment include harvest and growing costs. For the first quarter of fiscal years 2021 and 2020, our avocados segment costs and expenses were zero and $0.5 million, respectively. The 100% decrease of $0.5 million primarily consisted of growing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quarter of fiscal years 2021 and 2020, our other agribusiness segment total net revenues were $2.9 million and $4.2 million, respectively. The 29% decrease of $1.2 million primarily consisted of the following:</w:t>
      </w:r>
    </w:p>
    <w:p>
      <w:pPr>
        <w:spacing w:after="0" w:line="22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Orange revenues for the first quarter of fiscal year 2021 were $1.2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Specialty citrus and other crops revenues for the first quarter of fiscal year 2021 were similar to the same period of fiscal year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first quarter of fiscal years 2021 and 2020, our other agribusiness costs and expenses were $2.4 million and $3.9 million, respectively. The 40% decrease of $1.6 million primarily consisted of the following:</w:t>
      </w:r>
    </w:p>
    <w:p>
      <w:pPr>
        <w:spacing w:after="0" w:line="26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2021 were $0.2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2021 were $0.5 million lower than the same period of fiscal year 2020.</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Purchased fruit costs for the first quarter of fiscal year 2021 were $0.9 million lower than the same period of fiscal year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first quarter of fiscal year 2021 were $0.1 million lower than the same period of fiscal year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and other operations had revenues of approximately $1.1 million and $1.2 million for the first quarter of fiscal years 2021 and 2020.</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in our corporate and other operations for the first quarter of fiscal years 2021 and 2020 were approximately $6.7 million and $7.3 million, respectively, and include selling, general and administrative costs and expenses not allocated to the operating segments. Depreciation and amortization expenses for the first quarter of fiscal years 2021 and 2020 were similar at approximately $0.3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January 31, 2021 and 2020</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8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Trailing Twelve Months Ended</w:t>
            </w:r>
          </w:p>
        </w:tc>
      </w:tr>
      <w:tr>
        <w:trPr>
          <w:trHeight w:val="230"/>
        </w:trPr>
        <w:tc>
          <w:tcPr>
            <w:tcW w:w="8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40" w:type="dxa"/>
            <w:vAlign w:val="bottom"/>
            <w:tcBorders>
              <w:bottom w:val="single" w:sz="8" w:color="auto"/>
            </w:tcBorders>
          </w:tcPr>
          <w:p>
            <w:pPr>
              <w:spacing w:after="0"/>
              <w:rPr>
                <w:sz w:val="19"/>
                <w:szCs w:val="19"/>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156,591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166,232</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161,178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171,036</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151,676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155,999</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30"/>
        </w:trPr>
        <w:tc>
          <w:tcPr>
            <w:tcW w:w="8600" w:type="dxa"/>
            <w:vAlign w:val="bottom"/>
          </w:tcPr>
          <w:p>
            <w:pPr>
              <w:ind w:left="140"/>
              <w:spacing w:after="0"/>
              <w:rPr>
                <w:sz w:val="20"/>
                <w:szCs w:val="20"/>
                <w:color w:val="auto"/>
              </w:rPr>
            </w:pPr>
            <w:r>
              <w:rPr>
                <w:rFonts w:ascii="Arial" w:cs="Arial" w:eastAsia="Arial" w:hAnsi="Arial"/>
                <w:sz w:val="18"/>
                <w:szCs w:val="18"/>
                <w:color w:val="auto"/>
              </w:rPr>
              <w:t>Loss on sale and disposal of property assets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22,465</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183,065</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Interest expense, net of dividends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(2,619)</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investments, net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r>
      <w:tr>
        <w:trPr>
          <w:trHeight w:val="229"/>
        </w:trPr>
        <w:tc>
          <w:tcPr>
            <w:tcW w:w="8600" w:type="dxa"/>
            <w:vAlign w:val="bottom"/>
          </w:tcPr>
          <w:p>
            <w:pPr>
              <w:ind w:left="140"/>
              <w:spacing w:after="0"/>
              <w:rPr>
                <w:sz w:val="20"/>
                <w:szCs w:val="20"/>
                <w:color w:val="auto"/>
              </w:rPr>
            </w:pPr>
            <w:r>
              <w:rPr>
                <w:rFonts w:ascii="Arial" w:cs="Arial" w:eastAsia="Arial" w:hAnsi="Arial"/>
                <w:sz w:val="18"/>
                <w:szCs w:val="18"/>
                <w:color w:val="auto"/>
              </w:rPr>
              <w:t>Loss on stock in Calavo Growers, Inc.</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Limoneira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79" w:lineRule="exact"/>
        <w:rPr>
          <w:sz w:val="20"/>
          <w:szCs w:val="20"/>
          <w:color w:val="auto"/>
        </w:rPr>
      </w:pPr>
    </w:p>
    <w:p>
      <w:pPr>
        <w:ind w:left="340" w:right="2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revenues decreased $9.9 million in the twelve months ended January 31, 2021 compared to the twelve months ended January 31, 2020 primarily due to decreased agribusiness revenues, particularly decreased lemon sales.</w:t>
      </w:r>
    </w:p>
    <w:p>
      <w:pPr>
        <w:spacing w:after="0" w:line="8"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costs and expenses decreased $5.7 million in the twelve months ended January 31, 2021 compared to the twelve months ended January 31, 2020 primarily due to decreases in our agribusiness costs and selling, general and administrative expenses offset by increase in the loss on sale and disposal of property assets. The decrease in agribusiness costs is associated with decreased agribusiness production and the decrease in selling, general and administrative expenses is primarily attributable to decreased administrative personnel, salaries and benefits, and certain corporate expenses associated with our strategic initiatives.</w:t>
      </w:r>
    </w:p>
    <w:p>
      <w:pPr>
        <w:spacing w:after="0" w:line="2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other expense increased $6.1 million in the twelve months ended January 31, 2021 compared to the twelve months ended January 31, 2020 primarily due to increased loss on stock in Calavo and decreased equity in earnings of investments.</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 benefit increased $4.1 million in the twelve months ended January 31, 2021 compared to the twelve months ended January 31, 2020 primarily due to the increase in pre-tax loss of $10.3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January 31, 2021 and 2020, net cash used in operating activities was $1.8 million and $12.2 million, respectively. The significant components of our cash flows used in operating activities were as follows:</w:t>
      </w:r>
    </w:p>
    <w:p>
      <w:pPr>
        <w:spacing w:after="0" w:line="224" w:lineRule="exact"/>
        <w:rPr>
          <w:sz w:val="20"/>
          <w:szCs w:val="20"/>
          <w:color w:val="auto"/>
        </w:rPr>
      </w:pPr>
    </w:p>
    <w:p>
      <w:pPr>
        <w:jc w:val="both"/>
        <w:ind w:left="340" w:hanging="332"/>
        <w:spacing w:after="0" w:line="286"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loss for the three months ended January 31, 2021 was $3.9 million compared to net loss of $6.9 million for the three months ended January 31, 2020. The components of net loss in the three months ended January 31, 2021 compared to the same period in fiscal year 2020 consist of a decrease in operating loss of $2.8 million, an increase in total other income of $2.1 million and a decrease in income tax benefit of $1.9 million.</w:t>
      </w:r>
    </w:p>
    <w:p>
      <w:pPr>
        <w:spacing w:after="0" w:line="3"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adjustments to reconcile net loss to net cash used in operating activities provided $2.3 million of cash in the three months ended January 31, 2021 compared to providing $2.2 million of cash in the same period in fiscal year 2020, primarily due to significant changes in deferred income taxes, loss on stock in Calavo and equity in earnings of investments.</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changes in operating assets and liabilities used $0.2 million of operating cash in the three months ended January 31, 2021 compared to using $7.5 million of operating cash in the same period in fiscal year 2020, primarily due to significant changes in accounts receivable and receivables/other from related parties, income taxes receivable and accounts payable and growers payable.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three months ended January 31, 2021 and 2020, net cash used in investing activities was $3.6 million and $6.5 million, respectively. Net cash used in investing activities for the three months ended January 31, 2021 was primarily comprised of capital expenditures and investments.</w:t>
      </w:r>
    </w:p>
    <w:p>
      <w:pPr>
        <w:spacing w:after="0" w:line="200" w:lineRule="exact"/>
        <w:rPr>
          <w:sz w:val="20"/>
          <w:szCs w:val="20"/>
          <w:color w:val="auto"/>
        </w:rPr>
      </w:pPr>
    </w:p>
    <w:p>
      <w:pPr>
        <w:ind w:left="340" w:right="2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 expenditures were $3.4 million in the three months ended January 31, 2021, comprised of $3.1 million for property, plant and equipment primarily related to orchard and vineyard development and $0.3 million for real estate development projects.</w:t>
      </w:r>
    </w:p>
    <w:p>
      <w:pPr>
        <w:spacing w:after="0" w:line="8"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Capital expenditures were $3.7 million in the three months ended January 31, 2020, comprised of $3.5 million for property, plant and equipment primarily related to orchard and vineyard development and $0.2 million for real estate development projects. Additionally, in the three months ended January 31, 2020, we contributed $2.8 million to the Joint Venture for the development of our East Area I real estate development project.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January 31, 2021 and 2020, net cash provided by financing activities was $6.7 million and $19.1 million, respectively.</w:t>
      </w:r>
    </w:p>
    <w:p>
      <w:pPr>
        <w:spacing w:after="0" w:line="291" w:lineRule="exact"/>
        <w:rPr>
          <w:sz w:val="20"/>
          <w:szCs w:val="20"/>
          <w:color w:val="auto"/>
        </w:rPr>
      </w:pPr>
    </w:p>
    <w:p>
      <w:pPr>
        <w:ind w:left="34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$6.7 million of cash provided by financing activities during the three months ended January 31, 2021 was primarily comprised of net borrowings of long-term debt in the amount $8.8 million partially offset by common and preferred dividends, in aggregate, of $1.4 million.</w:t>
      </w:r>
    </w:p>
    <w:p>
      <w:pPr>
        <w:spacing w:after="0" w:line="8"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$19.1 million of cash provided by financing activities during the three months ended January 31, 2020 was primarily comprised of net borrowings of long-term debt in the amount $20.7 million partially offset by common and preferred dividends, in aggregate, of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2020, we entered into a Conversion Agreement with Farm Credit West to convert term loans to fixed interest rates effective July 1, 2020. No changes were made to the outstanding principal balances on the term loans and no cash repayments of principal were made by us. The rates were subject to a prepayment restriction period for a portion of the fixed rate term that expired on January 1, 2021, after which we may prepay any amounts without penalty.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 million comprised of $75.0 million under the Revolving Credit Supplement, $40.0 million under the Non-Revolving Credit Supplement and $15.0 million under the RELOC. The borrowing capacity based on collateral value was $130.0 million at January 31, 2021.</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1st of each year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and RELOC with Farm Credit West,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Loan Agreement, we are required to comply with a minimum debt service coverage ratio (as calculated in accordance with the Loan Agreement) of 1.25:1.0 measured as of October 31 each year. In August 2020, Farm Credit West modified the covenant to defer measurement at October 31, 2020 and revert to a debt service coverage ratio of 1.25:1.0 measured as of October 31, 2021. We expect to be in compliance with these covenants in fiscal year 2021.</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2021, we received an annual patronage dividend of $1.2 million from Farm Credit West, of which $0.8 million was recorded as a reduction in interest expense and $0.4 million reduced our real estate development assets in the first quarter of fiscal year 2021.</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which includes the Loan Agreement, Supplements and RELOC. In addition, we have the Farm Credit West term loans, Wells Fargo term loan, Banco de Chile term loan and COVID-19 loans, and a note payable to the sellers of a land parcel. Additional information regarding the Farm Credit West Credit Facility, Farm Credit West term loans, Wells Fargo term loan, Banco de Chile term loan and COVID-19 loans and the note payable can be found in the notes to consolidated financial statements included in this Quarterly Report on Form 10-Q.</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In addition, we have the ability to control a portion of our investing cash flows to the extent necessary based on our liquidity demands.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contractual obligations as disclosed in our fiscal year 2020 Annual Report on Form 10-K, except as follows:</w:t>
      </w: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2018, the Joint Venture entered into a $45.0 million unsecured Line of Credit Loan Agreement and Promissory Note (the “Loan”) with Bank of America, N.A. to fund early development activities. The Loan originally matured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 penalty. The Joint Venture recorded a $17.4 million outstanding loan balance at January 31, 2021 related to this Loan. The obligations under the Loan are guaranteed by certain principals from Lewis and by us. In February 2021, this loan was extended to February 22, 2023 with an option to extend to February 22, 2024, subject to certain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Details of amounts included in long-term debt can be found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7 – Real Estate Development and Note 8 – Equity in Investments of the notes to consolidated financial statements included in our fiscal year 2020 Annual Report on Form 10-K, we have investments in joint ventures and partnerships that are accounted for using the equity method of accounting.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core principle of the guidance is that an entity should recognize revenue to depict the transfer of promised goods or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an amount that reflects the consideration to which the entity expects to be entitled in exchange for those goods or services. To achieve that core principle, an entity should apply the following steps:</w:t>
      </w:r>
    </w:p>
    <w:p>
      <w:pPr>
        <w:spacing w:after="0" w:line="21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determined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We recognize the majority of our revenue at a point in time when we satisfy a performance obligation and transfer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Agribusiness revenue </w:t>
      </w:r>
      <w:r>
        <w:rPr>
          <w:rFonts w:ascii="Arial" w:cs="Arial" w:eastAsia="Arial" w:hAnsi="Arial"/>
          <w:sz w:val="18"/>
          <w:szCs w:val="18"/>
          <w:color w:val="auto"/>
        </w:rPr>
        <w:t>- Revenue from lemon sales is generally recognized at a point in time when the customer takes control of the fruit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avocados, oranges, specialty citrus and other specialty crops are packed and sold by Calavo and other third-party packinghouses. Our arrangements with our third-party packinghouses are such that we are the producer and supplier of the product and the third-party packinghouses are our customers. We control the product until it is delivered to the third-party packinghouses at which time control of the product is transferred to the third-party packinghouses and revenue is recognized.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Rental Operations Revenue </w:t>
      </w:r>
      <w:r>
        <w:rPr>
          <w:rFonts w:ascii="Arial" w:cs="Arial" w:eastAsia="Arial" w:hAnsi="Arial"/>
          <w:sz w:val="18"/>
          <w:szCs w:val="18"/>
          <w:color w:val="auto"/>
        </w:rPr>
        <w:t>- Minimum rental revenues are generally recognized on a straight-line basis over the respective initial lease term.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revenues 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Real Estate Development Costs </w:t>
      </w:r>
      <w:r>
        <w:rPr>
          <w:rFonts w:ascii="Arial" w:cs="Arial" w:eastAsia="Arial" w:hAnsi="Arial"/>
          <w:sz w:val="16"/>
          <w:szCs w:val="16"/>
          <w:color w:val="auto"/>
        </w:rPr>
        <w:t>- We capitalize the planning, entitlement, construction and development costs associated with our various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Financing and payment </w:t>
      </w:r>
      <w:r>
        <w:rPr>
          <w:rFonts w:ascii="Arial" w:cs="Arial" w:eastAsia="Arial" w:hAnsi="Arial"/>
          <w:sz w:val="16"/>
          <w:szCs w:val="16"/>
          <w:color w:val="auto"/>
        </w:rPr>
        <w:t>- Our payment terms vary by the type and location of our customer and the products or services offered. Payment terms differ by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 Taxes collected from customers and remitted to government authorities and that are related to the sales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excluded from revenues.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PDA and San Pablo’s functional currency is the Chilean Peso. Their balance sheets are translated to U.S. dollars at</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7" w:name="page38"/>
    <w:bookmarkEnd w:id="37"/>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Combinations.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circumstances indicate the carrying value of these assets may not be recoverable.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Defined Benefit Retirement Plan </w:t>
      </w:r>
      <w:r>
        <w:rPr>
          <w:rFonts w:ascii="Arial" w:cs="Arial" w:eastAsia="Arial" w:hAnsi="Arial"/>
          <w:sz w:val="16"/>
          <w:szCs w:val="16"/>
          <w:color w:val="auto"/>
        </w:rPr>
        <w:t>- As discussed in the notes to our consolidated financial statements, we sponsor a defined benefit retirement plan that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frozen in June 2004, and no future benefits have accrued subsequent to that time. Ongoing accounting for this plan under FASB ASC 715,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Retirement Benefits</w:t>
      </w:r>
      <w:r>
        <w:rPr>
          <w:rFonts w:ascii="Arial" w:cs="Arial" w:eastAsia="Arial" w:hAnsi="Arial"/>
          <w:sz w:val="16"/>
          <w:szCs w:val="16"/>
          <w:color w:val="auto"/>
        </w:rPr>
        <w:t>, provides guidance as to, among other things, future estimated pension expense, pension liability and minimum funding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information is provided to us by third-party actuarial consultants. In developing this data, certain estimates and assumptions are used, including among other things, discount rate, long-term rate of return on assets and mortality tables. During 2020, the Society of Actuaries (SOA) released a new mortality improvement scale table, referred to as MP-2020, which is believed to better reflect mortality improvements and is to be used in calculating defined benefit pension obligations. In addition, during fiscal year 2020, the assumed discount rate to measure the pension obligation decreased to 2.5%. We used the latest mortality tables released by the SOA through October 2020 to measure our pension obligation as of October 31, 2020 and combined with the assumed discount rate and other demographic assumptions, our pension liability increased by approximately $0.5 million as of October 31, 2020. Further changes in any of these estimates could materially affect the amounts recorded that are related to our defined benefit retirement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2020 as filed with the SEC on January 14,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January 31, 2021,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not effective as of the end of the period covered by this Quarterly Report on Form 10-Q due to the material weakness identified in our internal control over financial reporting described below.</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previously disclosed in our Annual Report on Form 10-K for the fiscal year ended October 31, 2020, although there were no material errors that resulted from control deficiencies, we identified a material weakness in our internal control over financial reporting related to the inadequate design and operating effectiveness of certain controls in the areas of journal entries and agribusiness revenues and expenses related to an acquired foreign subsidiary in the first year the subsidiary was included in management’s evaluation of the effectiveness of the Company’s internal control over financial reporting.</w:t>
      </w:r>
    </w:p>
    <w:p>
      <w:pPr>
        <w:spacing w:after="0" w:line="18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are taking steps to remediate this material weakness, including implementing new policies and procedures to enhance (a) the design of our process level controls over the recording of journal entries and controls over revenues and expenses at the foreign subsidiary where we identified the control deficiencies and (b) management’s review controls over financial information of the foreign subsidiary.</w:t>
      </w:r>
    </w:p>
    <w:p>
      <w:pPr>
        <w:spacing w:after="0" w:line="190" w:lineRule="exact"/>
        <w:rPr>
          <w:sz w:val="20"/>
          <w:szCs w:val="20"/>
          <w:color w:val="auto"/>
        </w:rPr>
      </w:pPr>
    </w:p>
    <w:p>
      <w:pPr>
        <w:jc w:val="both"/>
        <w:ind w:right="20"/>
        <w:spacing w:after="0" w:line="219" w:lineRule="auto"/>
        <w:rPr>
          <w:sz w:val="20"/>
          <w:szCs w:val="20"/>
          <w:color w:val="auto"/>
        </w:rPr>
      </w:pPr>
      <w:r>
        <w:rPr>
          <w:rFonts w:ascii="Arial" w:cs="Arial" w:eastAsia="Arial" w:hAnsi="Arial"/>
          <w:sz w:val="18"/>
          <w:szCs w:val="18"/>
          <w:color w:val="auto"/>
        </w:rPr>
        <w:t>We believe the remediation measures will strengthen our internal control over financial reporting and remediate the material weakness identified. However, as we are still assessing the design and operating effectiveness of these measures, the identified material weakness has not been fully remediated as of January 31, 2021. We will continue to monitor the effectiveness of these remediation measures and will make any changes and take such other actions that we deem appropriate.</w:t>
      </w:r>
    </w:p>
    <w:p>
      <w:pPr>
        <w:spacing w:after="0" w:line="190"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We assessed the impact of the material weakness to the consolidated financial statements to ensure that the Company’s consolidated financial statements were prepared in accordance with generally accepted accounting principles and accurately reflect its financial position and results of operation for the quarter ended January 31, 2021. As a result, notwithstanding the material weakness as described above, management concluded that the consolidated financial statements included in this Form 10-Q present fairly, in all material respects, the Company’s financial position, results of operations and cash flows for the periods presented in conformity with accounting principles generally accepted in the United States of America.</w:t>
      </w:r>
    </w:p>
    <w:p>
      <w:pPr>
        <w:spacing w:after="0" w:line="16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material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this Quarterly Report on Form 10-Q or, to our knowledge, in other factors that have materially affected, or are reasonably likely to materially affect, our internal control over financial reporting, except for the remediation steps taken to address the material weakness in internal control over financial reporting described above.</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changes in the disclosures discussed in the section entitled “Risk Factors” in Part I, Item 1A of our Annual Report on Form 10-K for the fiscal year ended October 31, 2020, as filed with the SEC on January 14,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year 2021, we purchased shares of our common stock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7"/>
              </w:rPr>
              <w:t>Maximum Number (or</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62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4"/>
                <w:szCs w:val="14"/>
                <w:color w:val="auto"/>
              </w:rPr>
            </w:pPr>
          </w:p>
        </w:tc>
        <w:tc>
          <w:tcPr>
            <w:tcW w:w="140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w w:val="90"/>
              </w:rPr>
              <w:t>Weighted Average</w:t>
            </w: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2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2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Purchased Under the Plans or</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Shares Purchased (1)</w:t>
            </w: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3"/>
              </w:rPr>
              <w:t>Price Paid per Share</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(2)</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(2)</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 2020 - November 30, 2020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December 1, 2020 - December 31, 2020</w:t>
            </w:r>
          </w:p>
        </w:tc>
        <w:tc>
          <w:tcPr>
            <w:tcW w:w="1620" w:type="dxa"/>
            <w:vAlign w:val="bottom"/>
          </w:tcPr>
          <w:p>
            <w:pPr>
              <w:jc w:val="right"/>
              <w:spacing w:after="0"/>
              <w:rPr>
                <w:sz w:val="20"/>
                <w:szCs w:val="20"/>
                <w:color w:val="auto"/>
              </w:rPr>
            </w:pPr>
            <w:r>
              <w:rPr>
                <w:rFonts w:ascii="Arial" w:cs="Arial" w:eastAsia="Arial" w:hAnsi="Arial"/>
                <w:sz w:val="18"/>
                <w:szCs w:val="18"/>
                <w:color w:val="auto"/>
              </w:rPr>
              <w:t>46,993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14.90</w:t>
            </w:r>
          </w:p>
        </w:tc>
        <w:tc>
          <w:tcPr>
            <w:tcW w:w="2160" w:type="dxa"/>
            <w:vAlign w:val="bottom"/>
          </w:tcPr>
          <w:p>
            <w:pPr>
              <w:ind w:left="1860"/>
              <w:spacing w:after="0"/>
              <w:rPr>
                <w:sz w:val="20"/>
                <w:szCs w:val="20"/>
                <w:color w:val="auto"/>
              </w:rPr>
            </w:pPr>
            <w:r>
              <w:rPr>
                <w:rFonts w:ascii="Arial" w:cs="Arial" w:eastAsia="Arial" w:hAnsi="Arial"/>
                <w:sz w:val="18"/>
                <w:szCs w:val="18"/>
                <w:color w:val="auto"/>
              </w:rPr>
              <w:t>—</w:t>
            </w:r>
          </w:p>
        </w:tc>
        <w:tc>
          <w:tcPr>
            <w:tcW w:w="2280" w:type="dxa"/>
            <w:vAlign w:val="bottom"/>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46,993</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ind w:left="1860"/>
              <w:spacing w:after="0"/>
              <w:rPr>
                <w:sz w:val="20"/>
                <w:szCs w:val="20"/>
                <w:color w:val="auto"/>
              </w:rPr>
            </w:pPr>
            <w:r>
              <w:rPr>
                <w:rFonts w:ascii="Arial" w:cs="Arial" w:eastAsia="Arial" w:hAnsi="Arial"/>
                <w:sz w:val="18"/>
                <w:szCs w:val="18"/>
                <w:b w:val="1"/>
                <w:bCs w:val="1"/>
                <w:color w:val="auto"/>
              </w:rPr>
              <w:t>—</w:t>
            </w:r>
          </w:p>
        </w:tc>
        <w:tc>
          <w:tcPr>
            <w:tcW w:w="2280" w:type="dxa"/>
            <w:vAlign w:val="bottom"/>
          </w:tcPr>
          <w:p>
            <w:pPr>
              <w:ind w:left="2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ind w:firstLine="8"/>
        <w:spacing w:after="0" w:line="260" w:lineRule="auto"/>
        <w:tabs>
          <w:tab w:leader="none" w:pos="2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were acquired from our employees in accordance with our stock-based compensation plan as a result of share withholdings to pay income tax related to the vesting and distribution of a restricted stock award.</w:t>
      </w:r>
    </w:p>
    <w:p>
      <w:pPr>
        <w:spacing w:after="0" w:line="212" w:lineRule="exact"/>
        <w:rPr>
          <w:rFonts w:ascii="Arial" w:cs="Arial" w:eastAsia="Arial" w:hAnsi="Arial"/>
          <w:sz w:val="18"/>
          <w:szCs w:val="18"/>
          <w:color w:val="auto"/>
        </w:rPr>
      </w:pPr>
    </w:p>
    <w:p>
      <w:pPr>
        <w:jc w:val="both"/>
        <w:ind w:firstLine="8"/>
        <w:spacing w:after="0" w:line="294" w:lineRule="auto"/>
        <w:tabs>
          <w:tab w:leader="none" w:pos="2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March 12, 2020, the Board of Directors of our Company approved a share repurchase program authorizing us to repurchase up to $10.0 million of our outstanding shares of common stock through March 2021. During fiscal year 2020, the Company repurchased 250,977 shares under the share repurchase program for approximately $3.5 million. As of January 31, 2021, the remaining authorization under this plan is approximately $6.5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96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960" w:type="dxa"/>
            <w:vAlign w:val="bottom"/>
            <w:tcBorders>
              <w:bottom w:val="single" w:sz="8" w:color="auto"/>
            </w:tcBorders>
            <w:gridSpan w:val="2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9960" w:type="dxa"/>
            <w:vAlign w:val="bottom"/>
            <w:gridSpan w:val="25"/>
          </w:tcPr>
          <w:p>
            <w:pPr>
              <w:spacing w:after="0" w:line="182" w:lineRule="exact"/>
              <w:rPr>
                <w:rFonts w:ascii="Arial" w:cs="Arial" w:eastAsia="Arial" w:hAnsi="Arial"/>
                <w:sz w:val="18"/>
                <w:szCs w:val="18"/>
                <w:color w:val="0000FF"/>
                <w:w w:val="98"/>
              </w:rPr>
            </w:pPr>
            <w:hyperlink r:id="rId61">
              <w:r>
                <w:rPr>
                  <w:rFonts w:ascii="Arial" w:cs="Arial" w:eastAsia="Arial" w:hAnsi="Arial"/>
                  <w:sz w:val="18"/>
                  <w:szCs w:val="18"/>
                  <w:color w:val="0000FF"/>
                  <w:w w:val="98"/>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9700" w:type="dxa"/>
            <w:vAlign w:val="bottom"/>
            <w:tcBorders>
              <w:top w:val="single" w:sz="8" w:color="0000FF"/>
            </w:tcBorders>
            <w:gridSpan w:val="12"/>
          </w:tcPr>
          <w:p>
            <w:pPr>
              <w:spacing w:after="0"/>
              <w:rPr>
                <w:rFonts w:ascii="Arial" w:cs="Arial" w:eastAsia="Arial" w:hAnsi="Arial"/>
                <w:sz w:val="18"/>
                <w:szCs w:val="18"/>
                <w:u w:val="single" w:color="auto"/>
                <w:color w:val="0000FF"/>
                <w:w w:val="94"/>
              </w:rPr>
            </w:pPr>
            <w:hyperlink r:id="rId61">
              <w:r>
                <w:rPr>
                  <w:rFonts w:ascii="Arial" w:cs="Arial" w:eastAsia="Arial" w:hAnsi="Arial"/>
                  <w:sz w:val="18"/>
                  <w:szCs w:val="18"/>
                  <w:u w:val="single" w:color="auto"/>
                  <w:color w:val="0000FF"/>
                  <w:w w:val="94"/>
                </w:rPr>
                <w:t>Company’s Registration Statement on Form 10, and amendments thereto, declared effective April 13, 2010 (File No. 000-53885))</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9960" w:type="dxa"/>
            <w:vAlign w:val="bottom"/>
            <w:gridSpan w:val="25"/>
          </w:tcPr>
          <w:p>
            <w:pPr>
              <w:spacing w:after="0"/>
              <w:rPr>
                <w:rFonts w:ascii="Arial" w:cs="Arial" w:eastAsia="Arial" w:hAnsi="Arial"/>
                <w:sz w:val="18"/>
                <w:szCs w:val="18"/>
                <w:color w:val="0000FF"/>
                <w:w w:val="98"/>
              </w:rPr>
            </w:pPr>
            <w:hyperlink r:id="rId62">
              <w:r>
                <w:rPr>
                  <w:rFonts w:ascii="Arial" w:cs="Arial" w:eastAsia="Arial" w:hAnsi="Arial"/>
                  <w:sz w:val="18"/>
                  <w:szCs w:val="18"/>
                  <w:color w:val="0000FF"/>
                  <w:w w:val="98"/>
                </w:rPr>
                <w:t>Certificate of Merger of Limoneira Company and The Samuel Edwards Associates into Limoneira Company, dated October 31,</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9800" w:type="dxa"/>
            <w:vAlign w:val="bottom"/>
            <w:tcBorders>
              <w:top w:val="single" w:sz="8" w:color="0000FF"/>
            </w:tcBorders>
            <w:gridSpan w:val="17"/>
          </w:tcPr>
          <w:p>
            <w:pPr>
              <w:spacing w:after="0" w:line="15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1990 (Incorporated by reference to exhibit 3.2 to the Company’s Registration Statement on Form 10, and amendments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6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declared effective April 13, 2010 (File No. 000-53885))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5"/>
          </w:tcPr>
          <w:p>
            <w:pPr>
              <w:spacing w:after="0"/>
              <w:rPr>
                <w:rFonts w:ascii="Arial" w:cs="Arial" w:eastAsia="Arial" w:hAnsi="Arial"/>
                <w:sz w:val="18"/>
                <w:szCs w:val="18"/>
                <w:color w:val="0000FF"/>
                <w:w w:val="98"/>
              </w:rPr>
            </w:pPr>
            <w:hyperlink r:id="rId63">
              <w:r>
                <w:rPr>
                  <w:rFonts w:ascii="Arial" w:cs="Arial" w:eastAsia="Arial" w:hAnsi="Arial"/>
                  <w:sz w:val="18"/>
                  <w:szCs w:val="18"/>
                  <w:color w:val="0000FF"/>
                  <w:w w:val="98"/>
                </w:rPr>
                <w:t>Certificate of Merger of McKevett Corporation into Limoneira Company dated December 31, 1994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992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exhibit 3.3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5"/>
          </w:tcPr>
          <w:p>
            <w:pPr>
              <w:spacing w:after="0"/>
              <w:rPr>
                <w:rFonts w:ascii="Arial" w:cs="Arial" w:eastAsia="Arial" w:hAnsi="Arial"/>
                <w:sz w:val="18"/>
                <w:szCs w:val="18"/>
                <w:color w:val="0000FF"/>
                <w:w w:val="98"/>
              </w:rPr>
            </w:pPr>
            <w:hyperlink r:id="rId64">
              <w:r>
                <w:rPr>
                  <w:rFonts w:ascii="Arial" w:cs="Arial" w:eastAsia="Arial" w:hAnsi="Arial"/>
                  <w:sz w:val="18"/>
                  <w:szCs w:val="18"/>
                  <w:color w:val="0000FF"/>
                  <w:w w:val="98"/>
                </w:rPr>
                <w:t>Agreement of Merger Between Ronald Michaelis Ranches, Inc. and Limoneira Company, dated June 24, 1997 (Incorporated by</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978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64">
              <w:r>
                <w:rPr>
                  <w:rFonts w:ascii="Arial" w:cs="Arial" w:eastAsia="Arial" w:hAnsi="Arial"/>
                  <w:sz w:val="18"/>
                  <w:szCs w:val="18"/>
                  <w:color w:val="0000FF"/>
                  <w:w w:val="93"/>
                </w:rPr>
                <w:t>reference to exhibit 3.6 to the Company’s Registration Statement on Form 10, and amendments thereto, declared effective April 13,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5"/>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3.5</w:t>
            </w:r>
          </w:p>
        </w:tc>
        <w:tc>
          <w:tcPr>
            <w:tcW w:w="98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exhibit 3.7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5"/>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Certificate of Amendment of Certificate of Incorporation of Limoneira Company, dated March 24, 2010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97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exhibit 3.9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000-53885))</w:t>
              </w:r>
            </w:hyperlink>
          </w:p>
        </w:tc>
        <w:tc>
          <w:tcPr>
            <w:tcW w:w="1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3.7</w:t>
            </w:r>
          </w:p>
        </w:tc>
        <w:tc>
          <w:tcPr>
            <w:tcW w:w="9960" w:type="dxa"/>
            <w:vAlign w:val="bottom"/>
            <w:gridSpan w:val="25"/>
          </w:tcPr>
          <w:p>
            <w:pPr>
              <w:spacing w:after="0"/>
              <w:rPr>
                <w:rFonts w:ascii="Arial" w:cs="Arial" w:eastAsia="Arial" w:hAnsi="Arial"/>
                <w:sz w:val="18"/>
                <w:szCs w:val="18"/>
                <w:color w:val="0000FF"/>
                <w:w w:val="94"/>
              </w:rPr>
            </w:pPr>
            <w:hyperlink r:id="rId67">
              <w:r>
                <w:rPr>
                  <w:rFonts w:ascii="Arial" w:cs="Arial" w:eastAsia="Arial" w:hAnsi="Arial"/>
                  <w:sz w:val="18"/>
                  <w:szCs w:val="18"/>
                  <w:color w:val="0000FF"/>
                  <w:w w:val="94"/>
                </w:rPr>
                <w:t>Certificate of Amendment of Certificate of Incorporation of Limoneira Company, dated March 29, 2017 (Incorporated by reference to</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74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exhibit 3.1 to the Company’s Current Report on Form 8-K, filed March 31, 2017 (File No. 001-34755))</w:t>
              </w:r>
            </w:hyperlink>
          </w:p>
        </w:tc>
        <w:tc>
          <w:tcPr>
            <w:tcW w:w="22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w:t>
            </w:r>
          </w:p>
        </w:tc>
        <w:tc>
          <w:tcPr>
            <w:tcW w:w="9960" w:type="dxa"/>
            <w:vAlign w:val="bottom"/>
            <w:gridSpan w:val="25"/>
          </w:tcPr>
          <w:p>
            <w:pPr>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Amended and Restated Bylaws of Limoneira Company (Incorporated by reference to exhibit 3.10 to the Company’s Annual Report</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43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on Form 10-K, filed January 14, 2013 (File No. 001-34755))</w:t>
              </w:r>
            </w:hyperlink>
          </w:p>
        </w:tc>
        <w:tc>
          <w:tcPr>
            <w:tcW w:w="55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3.8.1</w:t>
            </w:r>
          </w:p>
        </w:tc>
        <w:tc>
          <w:tcPr>
            <w:tcW w:w="9960" w:type="dxa"/>
            <w:vAlign w:val="bottom"/>
            <w:gridSpan w:val="25"/>
          </w:tcPr>
          <w:p>
            <w:pPr>
              <w:spacing w:after="0"/>
              <w:rPr>
                <w:rFonts w:ascii="Arial" w:cs="Arial" w:eastAsia="Arial" w:hAnsi="Arial"/>
                <w:sz w:val="18"/>
                <w:szCs w:val="18"/>
                <w:color w:val="0000FF"/>
                <w:w w:val="96"/>
              </w:rPr>
            </w:pPr>
            <w:hyperlink r:id="rId69">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9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Current Report on Form 8-K, filed September 25, 2013 (File No. 001-34755))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3.8.2</w:t>
            </w:r>
          </w:p>
        </w:tc>
        <w:tc>
          <w:tcPr>
            <w:tcW w:w="9960" w:type="dxa"/>
            <w:vAlign w:val="bottom"/>
            <w:gridSpan w:val="25"/>
          </w:tcPr>
          <w:p>
            <w:pPr>
              <w:spacing w:after="0"/>
              <w:rPr>
                <w:rFonts w:ascii="Arial" w:cs="Arial" w:eastAsia="Arial" w:hAnsi="Arial"/>
                <w:sz w:val="18"/>
                <w:szCs w:val="18"/>
                <w:color w:val="0000FF"/>
                <w:w w:val="96"/>
              </w:rPr>
            </w:pPr>
            <w:hyperlink r:id="rId70">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56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Current Report on Form 8-K, filed December 18, 2014 (File No. 001-34755))</w:t>
              </w:r>
            </w:hyperlink>
          </w:p>
        </w:tc>
        <w:tc>
          <w:tcPr>
            <w:tcW w:w="428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3.8.3</w:t>
            </w:r>
          </w:p>
        </w:tc>
        <w:tc>
          <w:tcPr>
            <w:tcW w:w="9960" w:type="dxa"/>
            <w:vAlign w:val="bottom"/>
            <w:gridSpan w:val="25"/>
          </w:tcPr>
          <w:p>
            <w:pPr>
              <w:spacing w:after="0"/>
              <w:rPr>
                <w:rFonts w:ascii="Arial" w:cs="Arial" w:eastAsia="Arial" w:hAnsi="Arial"/>
                <w:sz w:val="18"/>
                <w:szCs w:val="18"/>
                <w:color w:val="0000FF"/>
                <w:w w:val="96"/>
              </w:rPr>
            </w:pPr>
            <w:hyperlink r:id="rId71">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Current Report on Form 8-K, filed January 25, 2017 (File No. 001-34755))</w:t>
              </w:r>
            </w:hyperlink>
          </w:p>
        </w:tc>
        <w:tc>
          <w:tcPr>
            <w:tcW w:w="44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3.8.4</w:t>
            </w:r>
          </w:p>
        </w:tc>
        <w:tc>
          <w:tcPr>
            <w:tcW w:w="9960" w:type="dxa"/>
            <w:vAlign w:val="bottom"/>
            <w:gridSpan w:val="25"/>
          </w:tcPr>
          <w:p>
            <w:pPr>
              <w:spacing w:after="0"/>
              <w:rPr>
                <w:rFonts w:ascii="Arial" w:cs="Arial" w:eastAsia="Arial" w:hAnsi="Arial"/>
                <w:sz w:val="18"/>
                <w:szCs w:val="18"/>
                <w:color w:val="0000FF"/>
                <w:w w:val="96"/>
              </w:rPr>
            </w:pPr>
            <w:hyperlink r:id="rId72">
              <w:r>
                <w:rPr>
                  <w:rFonts w:ascii="Arial" w:cs="Arial" w:eastAsia="Arial" w:hAnsi="Arial"/>
                  <w:sz w:val="18"/>
                  <w:szCs w:val="18"/>
                  <w:color w:val="0000FF"/>
                  <w:w w:val="96"/>
                </w:rPr>
                <w:t>Amendment to Amended and Restated Bylaws of Limoneira Company (Incorporated by reference to exhibit 3.1 to the Company’s</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1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Current Report on Form 8-K, filed July 26, 2017 (File No. 001-34755))</w:t>
              </w:r>
            </w:hyperlink>
          </w:p>
        </w:tc>
        <w:tc>
          <w:tcPr>
            <w:tcW w:w="474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9960" w:type="dxa"/>
            <w:vAlign w:val="bottom"/>
            <w:gridSpan w:val="25"/>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 xml:space="preserve">Specimen Certificate representing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(Incorporated by reference to exhibit 4.1 to the</w:t>
              </w:r>
            </w:hyperlink>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9840" w:type="dxa"/>
            <w:vAlign w:val="bottom"/>
            <w:tcBorders>
              <w:top w:val="single" w:sz="8" w:color="0000FF"/>
            </w:tcBorders>
            <w:gridSpan w:val="19"/>
          </w:tcPr>
          <w:p>
            <w:pPr>
              <w:spacing w:after="0"/>
              <w:rPr>
                <w:rFonts w:ascii="Arial" w:cs="Arial" w:eastAsia="Arial" w:hAnsi="Arial"/>
                <w:sz w:val="18"/>
                <w:szCs w:val="18"/>
                <w:u w:val="single" w:color="auto"/>
                <w:color w:val="0000FF"/>
                <w:w w:val="95"/>
              </w:rPr>
            </w:pPr>
            <w:hyperlink r:id="rId73">
              <w:r>
                <w:rPr>
                  <w:rFonts w:ascii="Arial" w:cs="Arial" w:eastAsia="Arial" w:hAnsi="Arial"/>
                  <w:sz w:val="18"/>
                  <w:szCs w:val="18"/>
                  <w:u w:val="single" w:color="auto"/>
                  <w:color w:val="0000FF"/>
                  <w:w w:val="95"/>
                </w:rPr>
                <w:t>Company’s Registration Statement on Form 10, and amendments thereto, declared effective April 13, 2010 (File No. 000-53885))</w:t>
              </w:r>
            </w:hyperlink>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9960" w:type="dxa"/>
            <w:vAlign w:val="bottom"/>
            <w:gridSpan w:val="25"/>
          </w:tcPr>
          <w:p>
            <w:pPr>
              <w:spacing w:after="0"/>
              <w:rPr>
                <w:rFonts w:ascii="Arial" w:cs="Arial" w:eastAsia="Arial" w:hAnsi="Arial"/>
                <w:sz w:val="18"/>
                <w:szCs w:val="18"/>
                <w:color w:val="0000FF"/>
              </w:rPr>
            </w:pPr>
            <w:hyperlink r:id="rId74">
              <w:r>
                <w:rPr>
                  <w:rFonts w:ascii="Arial" w:cs="Arial" w:eastAsia="Arial" w:hAnsi="Arial"/>
                  <w:sz w:val="18"/>
                  <w:szCs w:val="18"/>
                  <w:color w:val="0000FF"/>
                </w:rPr>
                <w:t>Rights  Agreement  dated  December  20,  2006  between  Limoneira  Company  and  The  Bank  of  New  York,  as  Rights</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982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6"/>
              </w:rPr>
            </w:pPr>
            <w:hyperlink r:id="rId74">
              <w:r>
                <w:rPr>
                  <w:rFonts w:ascii="Arial" w:cs="Arial" w:eastAsia="Arial" w:hAnsi="Arial"/>
                  <w:sz w:val="18"/>
                  <w:szCs w:val="18"/>
                  <w:color w:val="0000FF"/>
                  <w:w w:val="96"/>
                </w:rPr>
                <w:t>Agent (Incorporated by reference to exhibit 4.2 to the Company’s Registration Statement on Form 10, and amendments thereto,</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940" w:type="dxa"/>
            <w:vAlign w:val="bottom"/>
            <w:gridSpan w:val="24"/>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declared effective April 13, 2010 (File No. 000-53885))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960" w:type="dxa"/>
            <w:vAlign w:val="bottom"/>
            <w:gridSpan w:val="25"/>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 xml:space="preserve">Certificate of Designation, Preferences and Rights of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 xml:space="preserve">8.75 Voting Preferred Stock,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100.00 Par Value, Series B of Limoneira</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6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Company, dated May 21, 1997 (Incorporated by reference to exhibit 3.4 to the Company’s Registration Statement on Form 10, and</w:t>
              </w:r>
            </w:hyperlink>
          </w:p>
        </w:tc>
        <w:tc>
          <w:tcPr>
            <w:tcW w:w="80" w:type="dxa"/>
            <w:vAlign w:val="bottom"/>
            <w:tcBorders>
              <w:bottom w:val="single" w:sz="8" w:color="0000FF"/>
            </w:tcBorders>
            <w:gridSpan w:val="4"/>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9760" w:type="dxa"/>
            <w:vAlign w:val="bottom"/>
            <w:gridSpan w:val="15"/>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amendments thereto, declared effective April 13, 2010 (File No. 000-53885))</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35" w:right="7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80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9800" w:type="dxa"/>
            <w:vAlign w:val="bottom"/>
            <w:tcBorders>
              <w:bottom w:val="single" w:sz="8" w:color="auto"/>
            </w:tcBorders>
            <w:gridSpan w:val="1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800" w:type="dxa"/>
            <w:vAlign w:val="bottom"/>
            <w:gridSpan w:val="13"/>
          </w:tcPr>
          <w:p>
            <w:pPr>
              <w:spacing w:after="0" w:line="182"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 xml:space="preserve">Amended Certificate of Designation, Preferences and Rights of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 xml:space="preserve">8.75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 of</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96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Limoneira Company, dated May 21, 1997 (Incorporated by reference to exhibit 3.5 to the Company’s Registration Statement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9720" w:type="dxa"/>
            <w:vAlign w:val="bottom"/>
            <w:gridSpan w:val="9"/>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10, and amendments thereto, declared effective April 13, 2010 (File No. 000-53885))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FF"/>
                <w:w w:val="96"/>
              </w:rPr>
            </w:pPr>
            <w:hyperlink r:id="rId78">
              <w:r>
                <w:rPr>
                  <w:rFonts w:ascii="Arial" w:cs="Arial" w:eastAsia="Arial" w:hAnsi="Arial"/>
                  <w:sz w:val="18"/>
                  <w:szCs w:val="18"/>
                  <w:color w:val="0000FF"/>
                  <w:w w:val="96"/>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6"/>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9780" w:type="dxa"/>
            <w:vAlign w:val="bottom"/>
            <w:tcBorders>
              <w:top w:val="single" w:sz="8" w:color="0000FF"/>
            </w:tcBorders>
            <w:gridSpan w:val="12"/>
          </w:tcPr>
          <w:p>
            <w:pPr>
              <w:spacing w:after="0" w:line="156" w:lineRule="exact"/>
              <w:rPr>
                <w:rFonts w:ascii="Arial" w:cs="Arial" w:eastAsia="Arial" w:hAnsi="Arial"/>
                <w:sz w:val="18"/>
                <w:szCs w:val="18"/>
                <w:color w:val="0000FF"/>
                <w:w w:val="92"/>
              </w:rPr>
            </w:pPr>
            <w:hyperlink r:id="rId78">
              <w:r>
                <w:rPr>
                  <w:rFonts w:ascii="Arial" w:cs="Arial" w:eastAsia="Arial" w:hAnsi="Arial"/>
                  <w:sz w:val="18"/>
                  <w:szCs w:val="18"/>
                  <w:color w:val="0000FF"/>
                  <w:w w:val="92"/>
                </w:rPr>
                <w:t>Company, dated November 21, 2006 (Incorporated by reference to exhibit 3.8 to the Company’s Registration Statement on Form 10,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8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and amendments thereto, declared effective April 13, 2010 (File No. 000-53885))</w:t>
              </w:r>
            </w:hyperlink>
          </w:p>
        </w:tc>
        <w:tc>
          <w:tcPr>
            <w:tcW w:w="382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0" w:type="dxa"/>
            <w:vAlign w:val="bottom"/>
            <w:gridSpan w:val="13"/>
          </w:tcPr>
          <w:p>
            <w:pPr>
              <w:spacing w:after="0"/>
              <w:rPr>
                <w:rFonts w:ascii="Arial" w:cs="Arial" w:eastAsia="Arial" w:hAnsi="Arial"/>
                <w:sz w:val="18"/>
                <w:szCs w:val="18"/>
                <w:color w:val="0000FF"/>
                <w:w w:val="98"/>
              </w:rPr>
            </w:pPr>
            <w:hyperlink r:id="rId79">
              <w:r>
                <w:rPr>
                  <w:rFonts w:ascii="Arial" w:cs="Arial" w:eastAsia="Arial" w:hAnsi="Arial"/>
                  <w:sz w:val="18"/>
                  <w:szCs w:val="18"/>
                  <w:color w:val="0000FF"/>
                  <w:w w:val="98"/>
                </w:rPr>
                <w:t xml:space="preserve">Certificate of Designation, Preferences and Rights of 4% Voting Preferred Stock, </w:t>
              </w:r>
              <w:r>
                <w:rPr>
                  <w:rFonts w:ascii="Arial" w:cs="Arial" w:eastAsia="Arial" w:hAnsi="Arial"/>
                  <w:sz w:val="18"/>
                  <w:szCs w:val="18"/>
                  <w:u w:val="single" w:color="auto"/>
                  <w:color w:val="0000FF"/>
                  <w:w w:val="98"/>
                </w:rPr>
                <w:t>$</w:t>
              </w:r>
              <w:r>
                <w:rPr>
                  <w:rFonts w:ascii="Arial" w:cs="Arial" w:eastAsia="Arial" w:hAnsi="Arial"/>
                  <w:sz w:val="18"/>
                  <w:szCs w:val="18"/>
                  <w:color w:val="0000FF"/>
                  <w:w w:val="98"/>
                </w:rPr>
                <w:t>100.00 Par Value, Series B-2 of Limoneira</w:t>
              </w:r>
            </w:hyperlink>
          </w:p>
        </w:tc>
        <w:tc>
          <w:tcPr>
            <w:tcW w:w="0" w:type="dxa"/>
            <w:vAlign w:val="bottom"/>
          </w:tcPr>
          <w:p>
            <w:pPr>
              <w:spacing w:after="0"/>
              <w:rPr>
                <w:sz w:val="1"/>
                <w:szCs w:val="1"/>
                <w:color w:val="auto"/>
              </w:rPr>
            </w:pPr>
          </w:p>
        </w:tc>
      </w:tr>
      <w:tr>
        <w:trPr>
          <w:trHeight w:val="155"/>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4.6</w:t>
            </w:r>
          </w:p>
        </w:tc>
        <w:tc>
          <w:tcPr>
            <w:tcW w:w="9780" w:type="dxa"/>
            <w:vAlign w:val="bottom"/>
            <w:tcBorders>
              <w:top w:val="single" w:sz="8" w:color="0000FF"/>
            </w:tcBorders>
            <w:gridSpan w:val="12"/>
          </w:tcPr>
          <w:p>
            <w:pPr>
              <w:spacing w:after="0" w:line="156" w:lineRule="exact"/>
              <w:rPr>
                <w:rFonts w:ascii="Arial" w:cs="Arial" w:eastAsia="Arial" w:hAnsi="Arial"/>
                <w:sz w:val="18"/>
                <w:szCs w:val="18"/>
                <w:color w:val="0000FF"/>
                <w:w w:val="97"/>
              </w:rPr>
            </w:pPr>
            <w:hyperlink r:id="rId79">
              <w:r>
                <w:rPr>
                  <w:rFonts w:ascii="Arial" w:cs="Arial" w:eastAsia="Arial" w:hAnsi="Arial"/>
                  <w:sz w:val="18"/>
                  <w:szCs w:val="18"/>
                  <w:color w:val="0000FF"/>
                  <w:w w:val="97"/>
                </w:rPr>
                <w:t>Company, dated March 20, 2014 (Incorporated by reference to exhibit 3.1 to the Company’s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28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March 24, 2014 (File No. 001-34755))</w:t>
              </w:r>
            </w:hyperlink>
          </w:p>
        </w:tc>
        <w:tc>
          <w:tcPr>
            <w:tcW w:w="69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140" w:type="dxa"/>
            <w:vAlign w:val="bottom"/>
          </w:tcPr>
          <w:p>
            <w:pPr>
              <w:ind w:left="20"/>
              <w:spacing w:after="0"/>
              <w:rPr>
                <w:sz w:val="20"/>
                <w:szCs w:val="20"/>
                <w:color w:val="auto"/>
              </w:rPr>
            </w:pPr>
            <w:r>
              <w:rPr>
                <w:rFonts w:ascii="Arial" w:cs="Arial" w:eastAsia="Arial" w:hAnsi="Arial"/>
                <w:sz w:val="18"/>
                <w:szCs w:val="18"/>
                <w:color w:val="auto"/>
              </w:rPr>
              <w:t>31.1*</w:t>
            </w:r>
          </w:p>
        </w:tc>
        <w:tc>
          <w:tcPr>
            <w:tcW w:w="9800" w:type="dxa"/>
            <w:vAlign w:val="bottom"/>
            <w:gridSpan w:val="13"/>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of the Principal Executive Officer pursuant to Exchange Act Rule 13a-14(a) and 15d-14(a)</w:t>
              </w:r>
            </w:hyperlink>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31.2*</w:t>
            </w:r>
          </w:p>
        </w:tc>
        <w:tc>
          <w:tcPr>
            <w:tcW w:w="9800" w:type="dxa"/>
            <w:vAlign w:val="bottom"/>
            <w:gridSpan w:val="13"/>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Certification of the Principal Financial Officer pursuant to Exchange Act Rule 13a-14(a) and 15d-14(a)</w:t>
              </w:r>
            </w:hyperlink>
          </w:p>
        </w:tc>
        <w:tc>
          <w:tcPr>
            <w:tcW w:w="0" w:type="dxa"/>
            <w:vAlign w:val="bottom"/>
          </w:tcPr>
          <w:p>
            <w:pPr>
              <w:spacing w:after="0"/>
              <w:rPr>
                <w:sz w:val="1"/>
                <w:szCs w:val="1"/>
                <w:color w:val="auto"/>
              </w:rPr>
            </w:pPr>
          </w:p>
        </w:tc>
      </w:tr>
      <w:tr>
        <w:trPr>
          <w:trHeight w:val="418"/>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9800" w:type="dxa"/>
            <w:vAlign w:val="bottom"/>
            <w:gridSpan w:val="13"/>
          </w:tcPr>
          <w:p>
            <w:pPr>
              <w:spacing w:after="0"/>
              <w:rPr>
                <w:rFonts w:ascii="Arial" w:cs="Arial" w:eastAsia="Arial" w:hAnsi="Arial"/>
                <w:sz w:val="18"/>
                <w:szCs w:val="18"/>
                <w:color w:val="0000FF"/>
                <w:w w:val="98"/>
              </w:rPr>
            </w:pPr>
            <w:hyperlink w:anchor="page46">
              <w:r>
                <w:rPr>
                  <w:rFonts w:ascii="Arial" w:cs="Arial" w:eastAsia="Arial" w:hAnsi="Arial"/>
                  <w:sz w:val="18"/>
                  <w:szCs w:val="18"/>
                  <w:color w:val="0000FF"/>
                  <w:w w:val="98"/>
                </w:rPr>
                <w:t>Certification of the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2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46">
              <w:r>
                <w:rPr>
                  <w:rFonts w:ascii="Arial" w:cs="Arial" w:eastAsia="Arial" w:hAnsi="Arial"/>
                  <w:sz w:val="18"/>
                  <w:szCs w:val="18"/>
                  <w:color w:val="0000FF"/>
                  <w:w w:val="91"/>
                </w:rPr>
                <w:t>Sarbanes-Oxley Act of 2002</w:t>
              </w:r>
            </w:hyperlink>
          </w:p>
        </w:tc>
        <w:tc>
          <w:tcPr>
            <w:tcW w:w="76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9800" w:type="dxa"/>
            <w:vAlign w:val="bottom"/>
            <w:gridSpan w:val="13"/>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 of the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Sarbanes-Oxley Act of 2002</w:t>
              </w:r>
            </w:hyperlink>
          </w:p>
        </w:tc>
        <w:tc>
          <w:tcPr>
            <w:tcW w:w="7600" w:type="dxa"/>
            <w:vAlign w:val="bottom"/>
            <w:tcBorders>
              <w:top w:val="single" w:sz="8" w:color="0000FF"/>
            </w:tcBorders>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140" w:type="dxa"/>
            <w:vAlign w:val="bottom"/>
          </w:tcPr>
          <w:p>
            <w:pPr>
              <w:ind w:left="20"/>
              <w:spacing w:after="0"/>
              <w:rPr>
                <w:sz w:val="20"/>
                <w:szCs w:val="20"/>
                <w:color w:val="auto"/>
              </w:rPr>
            </w:pPr>
            <w:r>
              <w:rPr>
                <w:rFonts w:ascii="Arial" w:cs="Arial" w:eastAsia="Arial" w:hAnsi="Arial"/>
                <w:sz w:val="18"/>
                <w:szCs w:val="18"/>
                <w:color w:val="auto"/>
              </w:rPr>
              <w:t>101.INS*</w:t>
            </w:r>
          </w:p>
        </w:tc>
        <w:tc>
          <w:tcPr>
            <w:tcW w:w="980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101.SCH*</w:t>
            </w:r>
          </w:p>
        </w:tc>
        <w:tc>
          <w:tcPr>
            <w:tcW w:w="98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101.CAL*</w:t>
            </w:r>
          </w:p>
        </w:tc>
        <w:tc>
          <w:tcPr>
            <w:tcW w:w="98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101.DEF*</w:t>
            </w:r>
          </w:p>
        </w:tc>
        <w:tc>
          <w:tcPr>
            <w:tcW w:w="98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101.LAB*</w:t>
            </w:r>
          </w:p>
        </w:tc>
        <w:tc>
          <w:tcPr>
            <w:tcW w:w="980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59"/>
        </w:trPr>
        <w:tc>
          <w:tcPr>
            <w:tcW w:w="1140" w:type="dxa"/>
            <w:vAlign w:val="bottom"/>
          </w:tcPr>
          <w:p>
            <w:pPr>
              <w:ind w:left="20"/>
              <w:spacing w:after="0"/>
              <w:rPr>
                <w:sz w:val="20"/>
                <w:szCs w:val="20"/>
                <w:color w:val="auto"/>
              </w:rPr>
            </w:pPr>
            <w:r>
              <w:rPr>
                <w:rFonts w:ascii="Arial" w:cs="Arial" w:eastAsia="Arial" w:hAnsi="Arial"/>
                <w:sz w:val="18"/>
                <w:szCs w:val="18"/>
                <w:color w:val="auto"/>
              </w:rPr>
              <w:t>101.PRE*</w:t>
            </w:r>
          </w:p>
        </w:tc>
        <w:tc>
          <w:tcPr>
            <w:tcW w:w="98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40" w:right="20" w:hanging="1114"/>
        <w:spacing w:after="0" w:line="235"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January 31, 2021, has been formatted in Inline XBRL.</w:t>
      </w:r>
    </w:p>
    <w:p>
      <w:pPr>
        <w:spacing w:after="0" w:line="10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252" w:lineRule="exact"/>
        <w:rPr>
          <w:rFonts w:ascii="Arial" w:cs="Arial" w:eastAsia="Arial" w:hAnsi="Arial"/>
          <w:sz w:val="18"/>
          <w:szCs w:val="18"/>
          <w:color w:val="auto"/>
        </w:rPr>
      </w:pPr>
    </w:p>
    <w:p>
      <w:pPr>
        <w:jc w:val="both"/>
        <w:ind w:left="1140"/>
        <w:spacing w:after="0" w:line="214"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040" w:right="7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0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LIMONEIRA COMPANY</w:t>
      </w:r>
    </w:p>
    <w:p>
      <w:pPr>
        <w:spacing w:after="0" w:line="252"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March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tabs>
          <w:tab w:leader="none" w:pos="5320" w:val="left"/>
          <w:tab w:leader="none" w:pos="5820" w:val="left"/>
        </w:tabs>
        <w:rPr>
          <w:sz w:val="20"/>
          <w:szCs w:val="20"/>
          <w:color w:val="auto"/>
        </w:rPr>
      </w:pPr>
      <w:r>
        <w:rPr>
          <w:rFonts w:ascii="Arial" w:cs="Arial" w:eastAsia="Arial" w:hAnsi="Arial"/>
          <w:sz w:val="18"/>
          <w:szCs w:val="18"/>
          <w:color w:val="auto"/>
        </w:rPr>
        <w:t>March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Mark Palamountain</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ind w:left="5840"/>
        <w:spacing w:after="0"/>
        <w:rPr>
          <w:sz w:val="20"/>
          <w:szCs w:val="20"/>
          <w:color w:val="auto"/>
        </w:rPr>
      </w:pPr>
      <w:r>
        <w:rPr>
          <w:rFonts w:ascii="Arial" w:cs="Arial" w:eastAsia="Arial" w:hAnsi="Arial"/>
          <w:sz w:val="18"/>
          <w:szCs w:val="18"/>
          <w:color w:val="auto"/>
        </w:rPr>
        <w:t>Treasurer and Corporate Secretary</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6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63" w:lineRule="auto"/>
        <w:tabs>
          <w:tab w:leader="none" w:pos="8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right="20" w:hanging="412"/>
        <w:spacing w:after="0" w:line="308" w:lineRule="auto"/>
        <w:tabs>
          <w:tab w:leader="none" w:pos="37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March 10, 2021</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55" w:lineRule="auto"/>
        <w:tabs>
          <w:tab w:leader="none" w:pos="8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60" w:right="20" w:hanging="412"/>
        <w:spacing w:after="0" w:line="290" w:lineRule="auto"/>
        <w:tabs>
          <w:tab w:leader="none" w:pos="37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March 10, 2021</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66040</wp:posOffset>
            </wp:positionV>
            <wp:extent cx="3385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2021 (the “Report”) of Limoneira Company (the “Registrant”), as filed with the Securities and Exchange Commission on the date hereof, I, Harold S. Edwards, hereby certify that:</w:t>
      </w:r>
    </w:p>
    <w:p>
      <w:pPr>
        <w:spacing w:after="0" w:line="49" w:lineRule="exact"/>
        <w:rPr>
          <w:sz w:val="20"/>
          <w:szCs w:val="20"/>
          <w:color w:val="auto"/>
        </w:rPr>
      </w:pPr>
    </w:p>
    <w:p>
      <w:pPr>
        <w:ind w:left="880" w:hanging="386"/>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March 10, 2021</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2021 (the “Report”) of Limoneira Company (the “Registrant”), as filed with the Securities and Exchange Commission on the date hereof, I, Mark Palamountain, hereby certify that:</w:t>
      </w:r>
    </w:p>
    <w:p>
      <w:pPr>
        <w:spacing w:after="0" w:line="49" w:lineRule="exact"/>
        <w:rPr>
          <w:sz w:val="20"/>
          <w:szCs w:val="20"/>
          <w:color w:val="auto"/>
        </w:rPr>
      </w:pPr>
    </w:p>
    <w:p>
      <w:pPr>
        <w:ind w:left="880" w:hanging="386"/>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140" w:val="left"/>
        </w:tabs>
        <w:rPr>
          <w:sz w:val="20"/>
          <w:szCs w:val="20"/>
          <w:color w:val="auto"/>
        </w:rPr>
      </w:pPr>
      <w:r>
        <w:rPr>
          <w:rFonts w:ascii="Arial" w:cs="Arial" w:eastAsia="Arial" w:hAnsi="Arial"/>
          <w:sz w:val="18"/>
          <w:szCs w:val="18"/>
          <w:color w:val="auto"/>
        </w:rPr>
        <w:t>March 10, 2021</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66040</wp:posOffset>
            </wp:positionV>
            <wp:extent cx="32404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17"/>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lvl w:ilvl="1">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6"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61" Type="http://schemas.openxmlformats.org/officeDocument/2006/relationships/hyperlink" Target="http://www.sec.gov/Archives/edgar/data/1342423/000114420410007241/v173157_ex3-1.htm" TargetMode="External"/><Relationship Id="rId62" Type="http://schemas.openxmlformats.org/officeDocument/2006/relationships/hyperlink" Target="http://www.sec.gov/Archives/edgar/data/1342423/000114420410007241/v173157_ex3-2.htm" TargetMode="External"/><Relationship Id="rId63" Type="http://schemas.openxmlformats.org/officeDocument/2006/relationships/hyperlink" Target="http://www.sec.gov/Archives/edgar/data/1342423/000114420410007241/v173157_ex3-3.htm" TargetMode="External"/><Relationship Id="rId64" Type="http://schemas.openxmlformats.org/officeDocument/2006/relationships/hyperlink" Target="http://www.sec.gov/Archives/edgar/data/1342423/000114420410007241/v173157_ex3-6.htm" TargetMode="External"/><Relationship Id="rId65" Type="http://schemas.openxmlformats.org/officeDocument/2006/relationships/hyperlink" Target="http://www.sec.gov/Archives/edgar/data/1342423/000114420410007241/v173157_ex3-7.htm" TargetMode="External"/><Relationship Id="rId66" Type="http://schemas.openxmlformats.org/officeDocument/2006/relationships/hyperlink" Target="http://www.sec.gov/Archives/edgar/data/1342423/000114420410017415/v178900_ex3-9.htm" TargetMode="External"/><Relationship Id="rId67" Type="http://schemas.openxmlformats.org/officeDocument/2006/relationships/hyperlink" Target="http://www.sec.gov/Archives/edgar/data/1342423/000114420417018212/v463210_ex3-1.htm" TargetMode="External"/><Relationship Id="rId68" Type="http://schemas.openxmlformats.org/officeDocument/2006/relationships/hyperlink" Target="http://www.sec.gov/Archives/edgar/data/1342423/000114420413002202/v330368_ex3-10.htm" TargetMode="External"/><Relationship Id="rId69" Type="http://schemas.openxmlformats.org/officeDocument/2006/relationships/hyperlink" Target="http://www.sec.gov/Archives/edgar/data/1342423/000114420413052234/v354983_ex3-1.htm" TargetMode="External"/><Relationship Id="rId70" Type="http://schemas.openxmlformats.org/officeDocument/2006/relationships/hyperlink" Target="http://www.sec.gov/Archives/edgar/data/1342423/000114420414074732/v396904_ex3-1.htm" TargetMode="External"/><Relationship Id="rId71" Type="http://schemas.openxmlformats.org/officeDocument/2006/relationships/hyperlink" Target="http://www.sec.gov/Archives/edgar/data/1342423/000114420417003812/v457525_ex3-1.htm" TargetMode="External"/><Relationship Id="rId72" Type="http://schemas.openxmlformats.org/officeDocument/2006/relationships/hyperlink" Target="http://www.sec.gov/Archives/edgar/data/1342423/000114420417038316/v471546_ex3-1.htm" TargetMode="External"/><Relationship Id="rId73" Type="http://schemas.openxmlformats.org/officeDocument/2006/relationships/hyperlink" Target="http://www.sec.gov/Archives/edgar/data/1342423/000114420410007241/v173157_ex4-1.htm" TargetMode="External"/><Relationship Id="rId74" Type="http://schemas.openxmlformats.org/officeDocument/2006/relationships/hyperlink" Target="http://www.sec.gov/Archives/edgar/data/1342423/000114420410007241/v173157_ex4-2.htm" TargetMode="External"/><Relationship Id="rId75" Type="http://schemas.openxmlformats.org/officeDocument/2006/relationships/hyperlink" Target="http://www.sec.gov/Archives/edgar/data/1342423/000114420410007241/v173157_ex3-4.htm" TargetMode="External"/><Relationship Id="rId77" Type="http://schemas.openxmlformats.org/officeDocument/2006/relationships/hyperlink" Target="http://www.sec.gov/Archives/edgar/data/1342423/000114420410007241/v173157_ex3-5.htm" TargetMode="External"/><Relationship Id="rId78" Type="http://schemas.openxmlformats.org/officeDocument/2006/relationships/hyperlink" Target="http://www.sec.gov/Archives/edgar/data/1342423/000114420410007241/v173157_ex3-8.htm" TargetMode="External"/><Relationship Id="rId79"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2021-03-10T15:30:53Z</dcterms:created>
  <dcterms:modified xsi:type="dcterms:W3CDTF">2021-03-10T15:30:53Z</dcterms:modified>
</cp:coreProperties>
</file>