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 No. 333-217622</w:t>
      </w:r>
    </w:p>
    <w:p>
      <w:pPr>
        <w:spacing w:after="0" w:line="9" w:lineRule="exact"/>
        <w:rPr>
          <w:sz w:val="24"/>
          <w:szCs w:val="24"/>
          <w:color w:val="auto"/>
        </w:rPr>
      </w:pPr>
    </w:p>
    <w:p>
      <w:pPr>
        <w:jc w:val="both"/>
        <w:ind w:left="1600" w:right="419"/>
        <w:spacing w:after="0" w:line="249" w:lineRule="auto"/>
        <w:rPr>
          <w:sz w:val="20"/>
          <w:szCs w:val="20"/>
          <w:color w:val="auto"/>
        </w:rPr>
      </w:pPr>
      <w:r>
        <w:rPr>
          <w:rFonts w:ascii="Arial" w:cs="Arial" w:eastAsia="Arial" w:hAnsi="Arial"/>
          <w:sz w:val="14"/>
          <w:szCs w:val="14"/>
          <w:b w:val="1"/>
          <w:bCs w:val="1"/>
          <w:color w:val="FC0014"/>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64"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FC0014"/>
        </w:rPr>
        <w:t>SUBJECT TO COMPLETION, DATED JUNE 20, 2018</w:t>
      </w:r>
    </w:p>
    <w:p>
      <w:pPr>
        <w:spacing w:after="0" w:line="198"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PRELIMINARY PROSPECTUS SUPPLEMENT</w:t>
      </w:r>
    </w:p>
    <w:p>
      <w:pPr>
        <w:spacing w:after="0" w:line="2"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(To Prospectus dated May 11, 2017)</w:t>
      </w:r>
    </w:p>
    <w:p>
      <w:pPr>
        <w:spacing w:after="0" w:line="228" w:lineRule="exact"/>
        <w:rPr>
          <w:sz w:val="24"/>
          <w:szCs w:val="24"/>
          <w:color w:val="auto"/>
        </w:rPr>
      </w:pPr>
    </w:p>
    <w:p>
      <w:pPr>
        <w:ind w:left="5060"/>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97790</wp:posOffset>
            </wp:positionV>
            <wp:extent cx="291592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592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80"/>
        <w:spacing w:after="0"/>
        <w:rPr>
          <w:sz w:val="20"/>
          <w:szCs w:val="20"/>
          <w:color w:val="auto"/>
        </w:rPr>
      </w:pPr>
      <w:r>
        <w:rPr>
          <w:rFonts w:ascii="Arial" w:cs="Arial" w:eastAsia="Arial" w:hAnsi="Arial"/>
          <w:sz w:val="25"/>
          <w:szCs w:val="25"/>
          <w:b w:val="1"/>
          <w:bCs w:val="1"/>
          <w:color w:val="auto"/>
        </w:rPr>
        <w:t>Limoneira Company</w:t>
      </w:r>
    </w:p>
    <w:p>
      <w:pPr>
        <w:spacing w:after="0" w:line="145" w:lineRule="exact"/>
        <w:rPr>
          <w:sz w:val="24"/>
          <w:szCs w:val="24"/>
          <w:color w:val="auto"/>
        </w:rPr>
      </w:pPr>
    </w:p>
    <w:p>
      <w:pPr>
        <w:jc w:val="center"/>
        <w:ind w:right="-1180"/>
        <w:spacing w:after="0"/>
        <w:rPr>
          <w:sz w:val="20"/>
          <w:szCs w:val="20"/>
          <w:color w:val="auto"/>
        </w:rPr>
      </w:pPr>
      <w:r>
        <w:rPr>
          <w:rFonts w:ascii="Arial" w:cs="Arial" w:eastAsia="Arial" w:hAnsi="Arial"/>
          <w:sz w:val="25"/>
          <w:szCs w:val="25"/>
          <w:b w:val="1"/>
          <w:bCs w:val="1"/>
          <w:color w:val="auto"/>
        </w:rPr>
        <w:t>Common Stock</w:t>
      </w:r>
    </w:p>
    <w:p>
      <w:pPr>
        <w:spacing w:after="0" w:line="221" w:lineRule="exact"/>
        <w:rPr>
          <w:sz w:val="24"/>
          <w:szCs w:val="24"/>
          <w:color w:val="auto"/>
        </w:rPr>
      </w:pPr>
    </w:p>
    <w:p>
      <w:pPr>
        <w:ind w:left="1600" w:right="519" w:firstLine="360"/>
        <w:spacing w:after="0" w:line="259" w:lineRule="auto"/>
        <w:rPr>
          <w:sz w:val="20"/>
          <w:szCs w:val="20"/>
          <w:color w:val="auto"/>
        </w:rPr>
      </w:pPr>
      <w:r>
        <w:rPr>
          <w:rFonts w:ascii="Arial" w:cs="Arial" w:eastAsia="Arial" w:hAnsi="Arial"/>
          <w:sz w:val="18"/>
          <w:szCs w:val="18"/>
          <w:color w:val="auto"/>
        </w:rPr>
        <w:t>We are offering $50,000,000 of shares of our common stock pursuant to this prospectus supplement and the accompanying prospectus. Our common stock is listed on the NASDAQ Global Market (“NASDAQ”) under the symbol “LMNR.” The closing price of our common stock on the NASDAQ on June 19, 2018 was $26.02 per share.</w:t>
      </w:r>
    </w:p>
    <w:p>
      <w:pPr>
        <w:spacing w:after="0" w:line="129" w:lineRule="exact"/>
        <w:rPr>
          <w:sz w:val="24"/>
          <w:szCs w:val="24"/>
          <w:color w:val="auto"/>
        </w:rPr>
      </w:pPr>
    </w:p>
    <w:p>
      <w:pPr>
        <w:ind w:left="1600" w:right="659" w:firstLine="36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should read this prospectus supplement and the accompanying prospectus carefully before you invest in our common stock. Investing in our common stock involves a high degree of risk. See “Risk Factors” beginning on page </w:t>
      </w:r>
      <w:hyperlink w:anchor="page15">
        <w:r>
          <w:rPr>
            <w:rFonts w:ascii="Arial" w:cs="Arial" w:eastAsia="Arial" w:hAnsi="Arial"/>
            <w:sz w:val="18"/>
            <w:szCs w:val="18"/>
            <w:b w:val="1"/>
            <w:bCs w:val="1"/>
            <w:u w:val="single" w:color="auto"/>
            <w:color w:val="0000EE"/>
          </w:rPr>
          <w:t>S-10</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of this prospectus supplement, page </w:t>
      </w:r>
      <w:hyperlink w:anchor="page31">
        <w:r>
          <w:rPr>
            <w:rFonts w:ascii="Arial" w:cs="Arial" w:eastAsia="Arial" w:hAnsi="Arial"/>
            <w:sz w:val="18"/>
            <w:szCs w:val="18"/>
            <w:b w:val="1"/>
            <w:bCs w:val="1"/>
            <w:u w:val="single" w:color="auto"/>
            <w:color w:val="0000EE"/>
          </w:rPr>
          <w:t>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the accompanying prospectus and the documents incorporated by reference into this prospectus supplement and the accompanying prospectus.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 Share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29"/>
        </w:trPr>
        <w:tc>
          <w:tcPr>
            <w:tcW w:w="380" w:type="dxa"/>
            <w:vAlign w:val="bottom"/>
          </w:tcPr>
          <w:p>
            <w:pPr>
              <w:spacing w:after="0"/>
              <w:rPr>
                <w:sz w:val="19"/>
                <w:szCs w:val="19"/>
                <w:color w:val="auto"/>
              </w:rPr>
            </w:pPr>
          </w:p>
        </w:tc>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6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r>
      <w:tr>
        <w:trPr>
          <w:trHeight w:val="257"/>
        </w:trPr>
        <w:tc>
          <w:tcPr>
            <w:tcW w:w="380" w:type="dxa"/>
            <w:vAlign w:val="bottom"/>
          </w:tcPr>
          <w:p>
            <w:pPr>
              <w:spacing w:after="0"/>
              <w:rPr>
                <w:sz w:val="22"/>
                <w:szCs w:val="22"/>
                <w:color w:val="auto"/>
              </w:rPr>
            </w:pPr>
          </w:p>
        </w:tc>
        <w:tc>
          <w:tcPr>
            <w:tcW w:w="4980" w:type="dxa"/>
            <w:vAlign w:val="bottom"/>
            <w:gridSpan w:val="2"/>
          </w:tcPr>
          <w:p>
            <w:pPr>
              <w:spacing w:after="0" w:line="257"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7"/>
                <w:szCs w:val="27"/>
                <w:color w:val="auto"/>
                <w:vertAlign w:val="superscript"/>
              </w:rPr>
              <w:t>(1)</w:t>
            </w:r>
          </w:p>
        </w:tc>
        <w:tc>
          <w:tcPr>
            <w:tcW w:w="106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20" w:type="dxa"/>
            <w:vAlign w:val="bottom"/>
          </w:tcPr>
          <w:p>
            <w:pPr>
              <w:jc w:val="right"/>
              <w:ind w:right="714"/>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Pr>
          <w:p>
            <w:pPr>
              <w:spacing w:after="0"/>
              <w:rPr>
                <w:sz w:val="21"/>
                <w:szCs w:val="21"/>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-633730</wp:posOffset>
            </wp:positionV>
            <wp:extent cx="3978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55" w:lineRule="exact"/>
        <w:rPr>
          <w:sz w:val="20"/>
          <w:szCs w:val="20"/>
          <w:color w:val="auto"/>
        </w:rPr>
      </w:pPr>
    </w:p>
    <w:p>
      <w:pPr>
        <w:ind w:left="1960" w:right="499" w:hanging="367"/>
        <w:spacing w:after="0" w:line="277"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underwriting discount, we have agreed to reimburse the underwriters for certain expenses. See “Underwriting” for additional information regarding underwriter compensation.</w:t>
      </w:r>
    </w:p>
    <w:p>
      <w:pPr>
        <w:spacing w:after="0" w:line="116" w:lineRule="exact"/>
        <w:rPr>
          <w:sz w:val="20"/>
          <w:szCs w:val="20"/>
          <w:color w:val="auto"/>
        </w:rPr>
      </w:pPr>
    </w:p>
    <w:p>
      <w:pPr>
        <w:jc w:val="both"/>
        <w:ind w:left="1600" w:right="579" w:firstLine="360"/>
        <w:spacing w:after="0" w:line="312" w:lineRule="auto"/>
        <w:rPr>
          <w:sz w:val="20"/>
          <w:szCs w:val="20"/>
          <w:color w:val="auto"/>
        </w:rPr>
      </w:pPr>
      <w:r>
        <w:rPr>
          <w:rFonts w:ascii="Arial" w:cs="Arial" w:eastAsia="Arial" w:hAnsi="Arial"/>
          <w:sz w:val="16"/>
          <w:szCs w:val="16"/>
          <w:color w:val="auto"/>
        </w:rPr>
        <w:t>The underwriters may also purchase additional shares of common stock up to 15% of the number of shares offered hereby from us at the public offering price, less the underwriting discount, within 30 days of the date of this prospectus supplement to cover over-allotments, if any. See “Underwriting” for more information.</w:t>
      </w:r>
    </w:p>
    <w:p>
      <w:pPr>
        <w:spacing w:after="0" w:line="89" w:lineRule="exact"/>
        <w:rPr>
          <w:sz w:val="20"/>
          <w:szCs w:val="20"/>
          <w:color w:val="auto"/>
        </w:rPr>
      </w:pPr>
    </w:p>
    <w:p>
      <w:pPr>
        <w:ind w:left="1600" w:right="439" w:firstLine="360"/>
        <w:spacing w:after="0" w:line="314"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2" w:lineRule="exact"/>
        <w:rPr>
          <w:sz w:val="20"/>
          <w:szCs w:val="20"/>
          <w:color w:val="auto"/>
        </w:rPr>
      </w:pPr>
    </w:p>
    <w:p>
      <w:pPr>
        <w:ind w:left="1960"/>
        <w:spacing w:after="0"/>
        <w:tabs>
          <w:tab w:leader="none" w:pos="9080" w:val="left"/>
        </w:tabs>
        <w:rPr>
          <w:sz w:val="20"/>
          <w:szCs w:val="20"/>
          <w:color w:val="auto"/>
        </w:rPr>
      </w:pPr>
      <w:r>
        <w:rPr>
          <w:rFonts w:ascii="Arial" w:cs="Arial" w:eastAsia="Arial" w:hAnsi="Arial"/>
          <w:sz w:val="17"/>
          <w:szCs w:val="17"/>
          <w:color w:val="auto"/>
        </w:rPr>
        <w:t>The underwriters expect to deliver the shares of common stock to the investors on or about June</w:t>
      </w:r>
      <w:r>
        <w:rPr>
          <w:sz w:val="20"/>
          <w:szCs w:val="20"/>
          <w:color w:val="auto"/>
        </w:rPr>
        <w:tab/>
      </w:r>
      <w:r>
        <w:rPr>
          <w:rFonts w:ascii="Arial" w:cs="Arial" w:eastAsia="Arial" w:hAnsi="Arial"/>
          <w:sz w:val="16"/>
          <w:szCs w:val="16"/>
          <w:color w:val="auto"/>
        </w:rPr>
        <w:t>, 2018,</w:t>
      </w:r>
    </w:p>
    <w:p>
      <w:pPr>
        <w:spacing w:after="0" w:line="35"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w w:val="91"/>
              </w:rPr>
              <w:t>subject to customary closing conditions.</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9"/>
        </w:trPr>
        <w:tc>
          <w:tcPr>
            <w:tcW w:w="2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1860" w:type="dxa"/>
            <w:vAlign w:val="bottom"/>
          </w:tcPr>
          <w:p>
            <w:pPr>
              <w:spacing w:after="0"/>
              <w:rPr>
                <w:sz w:val="23"/>
                <w:szCs w:val="23"/>
                <w:color w:val="auto"/>
              </w:rPr>
            </w:pPr>
          </w:p>
        </w:tc>
      </w:tr>
      <w:tr>
        <w:trPr>
          <w:trHeight w:val="520"/>
        </w:trPr>
        <w:tc>
          <w:tcPr>
            <w:tcW w:w="2920" w:type="dxa"/>
            <w:vAlign w:val="bottom"/>
          </w:tcPr>
          <w:p>
            <w:pPr>
              <w:spacing w:after="0"/>
              <w:rPr>
                <w:sz w:val="24"/>
                <w:szCs w:val="24"/>
                <w:color w:val="auto"/>
              </w:rPr>
            </w:pPr>
          </w:p>
        </w:tc>
        <w:tc>
          <w:tcPr>
            <w:tcW w:w="4000" w:type="dxa"/>
            <w:vAlign w:val="bottom"/>
            <w:gridSpan w:val="3"/>
          </w:tcPr>
          <w:p>
            <w:pPr>
              <w:jc w:val="center"/>
              <w:ind w:right="1514"/>
              <w:spacing w:after="0"/>
              <w:rPr>
                <w:sz w:val="20"/>
                <w:szCs w:val="20"/>
                <w:color w:val="auto"/>
              </w:rPr>
            </w:pPr>
            <w:r>
              <w:rPr>
                <w:rFonts w:ascii="Arial" w:cs="Arial" w:eastAsia="Arial" w:hAnsi="Arial"/>
                <w:sz w:val="18"/>
                <w:szCs w:val="18"/>
                <w:b w:val="1"/>
                <w:bCs w:val="1"/>
                <w:i w:val="1"/>
                <w:iCs w:val="1"/>
                <w:color w:val="auto"/>
                <w:w w:val="89"/>
              </w:rPr>
              <w:t>Lead Book-Running Managers</w:t>
            </w:r>
          </w:p>
        </w:tc>
      </w:tr>
      <w:tr>
        <w:trPr>
          <w:trHeight w:val="414"/>
        </w:trPr>
        <w:tc>
          <w:tcPr>
            <w:tcW w:w="2920" w:type="dxa"/>
            <w:vAlign w:val="bottom"/>
          </w:tcPr>
          <w:p>
            <w:pPr>
              <w:ind w:left="840"/>
              <w:spacing w:after="0"/>
              <w:rPr>
                <w:sz w:val="20"/>
                <w:szCs w:val="20"/>
                <w:color w:val="auto"/>
              </w:rPr>
            </w:pPr>
            <w:r>
              <w:rPr>
                <w:rFonts w:ascii="Arial" w:cs="Arial" w:eastAsia="Arial" w:hAnsi="Arial"/>
                <w:sz w:val="25"/>
                <w:szCs w:val="25"/>
                <w:b w:val="1"/>
                <w:bCs w:val="1"/>
                <w:color w:val="auto"/>
              </w:rPr>
              <w:t>Stephens Inc.</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60" w:type="dxa"/>
            <w:vAlign w:val="bottom"/>
          </w:tcPr>
          <w:p>
            <w:pPr>
              <w:ind w:left="1300"/>
              <w:spacing w:after="0"/>
              <w:rPr>
                <w:sz w:val="20"/>
                <w:szCs w:val="20"/>
                <w:color w:val="auto"/>
              </w:rPr>
            </w:pPr>
            <w:r>
              <w:rPr>
                <w:rFonts w:ascii="Arial" w:cs="Arial" w:eastAsia="Arial" w:hAnsi="Arial"/>
                <w:sz w:val="25"/>
                <w:szCs w:val="25"/>
                <w:b w:val="1"/>
                <w:bCs w:val="1"/>
                <w:color w:val="auto"/>
                <w:w w:val="88"/>
              </w:rPr>
              <w:t>Stifel</w:t>
            </w:r>
          </w:p>
        </w:tc>
      </w:tr>
      <w:tr>
        <w:trPr>
          <w:trHeight w:val="450"/>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gridSpan w:val="2"/>
          </w:tcPr>
          <w:p>
            <w:pPr>
              <w:jc w:val="center"/>
              <w:ind w:right="1774"/>
              <w:spacing w:after="0"/>
              <w:rPr>
                <w:sz w:val="20"/>
                <w:szCs w:val="20"/>
                <w:color w:val="auto"/>
              </w:rPr>
            </w:pPr>
            <w:r>
              <w:rPr>
                <w:rFonts w:ascii="Arial" w:cs="Arial" w:eastAsia="Arial" w:hAnsi="Arial"/>
                <w:sz w:val="18"/>
                <w:szCs w:val="18"/>
                <w:b w:val="1"/>
                <w:bCs w:val="1"/>
                <w:i w:val="1"/>
                <w:iCs w:val="1"/>
                <w:color w:val="auto"/>
                <w:w w:val="90"/>
              </w:rPr>
              <w:t>Lead Manager</w:t>
            </w:r>
          </w:p>
        </w:tc>
      </w:tr>
      <w:tr>
        <w:trPr>
          <w:trHeight w:val="281"/>
        </w:trPr>
        <w:tc>
          <w:tcPr>
            <w:tcW w:w="2920" w:type="dxa"/>
            <w:vAlign w:val="bottom"/>
          </w:tcPr>
          <w:p>
            <w:pPr>
              <w:spacing w:after="0"/>
              <w:rPr>
                <w:sz w:val="24"/>
                <w:szCs w:val="24"/>
                <w:color w:val="auto"/>
              </w:rPr>
            </w:pPr>
          </w:p>
        </w:tc>
        <w:tc>
          <w:tcPr>
            <w:tcW w:w="4000" w:type="dxa"/>
            <w:vAlign w:val="bottom"/>
            <w:gridSpan w:val="3"/>
          </w:tcPr>
          <w:p>
            <w:pPr>
              <w:jc w:val="center"/>
              <w:ind w:right="1514"/>
              <w:spacing w:after="0"/>
              <w:rPr>
                <w:sz w:val="20"/>
                <w:szCs w:val="20"/>
                <w:color w:val="auto"/>
              </w:rPr>
            </w:pPr>
            <w:r>
              <w:rPr>
                <w:rFonts w:ascii="Arial" w:cs="Arial" w:eastAsia="Arial" w:hAnsi="Arial"/>
                <w:sz w:val="22"/>
                <w:szCs w:val="22"/>
                <w:b w:val="1"/>
                <w:bCs w:val="1"/>
                <w:color w:val="auto"/>
                <w:w w:val="90"/>
              </w:rPr>
              <w:t>Roth Capital Partners</w:t>
            </w:r>
          </w:p>
        </w:tc>
      </w:tr>
    </w:tbl>
    <w:p>
      <w:pPr>
        <w:spacing w:after="0" w:line="9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i w:val="1"/>
          <w:iCs w:val="1"/>
          <w:color w:val="auto"/>
        </w:rPr>
        <w:t>Co-Manager</w:t>
      </w:r>
    </w:p>
    <w:p>
      <w:pPr>
        <w:spacing w:after="0" w:line="20"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Lake Street Capital Markets</w:t>
      </w:r>
    </w:p>
    <w:p>
      <w:pPr>
        <w:sectPr>
          <w:pgSz w:w="11900" w:h="16838" w:orient="portrait"/>
          <w:cols w:equalWidth="0" w:num="1">
            <w:col w:w="10219"/>
          </w:cols>
          <w:pgMar w:left="240" w:top="239" w:right="1440" w:bottom="1440" w:gutter="0" w:footer="0" w:header="0"/>
        </w:sectPr>
      </w:pPr>
    </w:p>
    <w:p>
      <w:pPr>
        <w:spacing w:after="0" w:line="272" w:lineRule="exact"/>
        <w:rPr>
          <w:sz w:val="20"/>
          <w:szCs w:val="20"/>
          <w:color w:val="auto"/>
        </w:rPr>
      </w:pPr>
    </w:p>
    <w:p>
      <w:pPr>
        <w:ind w:left="3540"/>
        <w:spacing w:after="0"/>
        <w:tabs>
          <w:tab w:leader="none" w:pos="7340" w:val="left"/>
        </w:tabs>
        <w:rPr>
          <w:sz w:val="20"/>
          <w:szCs w:val="20"/>
          <w:color w:val="auto"/>
        </w:rPr>
      </w:pPr>
      <w:r>
        <w:rPr>
          <w:rFonts w:ascii="Arial" w:cs="Arial" w:eastAsia="Arial" w:hAnsi="Arial"/>
          <w:sz w:val="18"/>
          <w:szCs w:val="18"/>
          <w:b w:val="1"/>
          <w:bCs w:val="1"/>
          <w:color w:val="auto"/>
        </w:rPr>
        <w:t>The date of this prospectus supplement is June</w:t>
      </w:r>
      <w:r>
        <w:rPr>
          <w:sz w:val="20"/>
          <w:szCs w:val="20"/>
          <w:color w:val="auto"/>
        </w:rPr>
        <w:tab/>
      </w:r>
      <w:r>
        <w:rPr>
          <w:rFonts w:ascii="Arial" w:cs="Arial" w:eastAsia="Arial" w:hAnsi="Arial"/>
          <w:sz w:val="15"/>
          <w:szCs w:val="1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Prospectus Supplement</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39"/>
        </w:trPr>
        <w:tc>
          <w:tcPr>
            <w:tcW w:w="5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20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37"/>
        </w:trPr>
        <w:tc>
          <w:tcPr>
            <w:tcW w:w="2500" w:type="dxa"/>
            <w:vAlign w:val="bottom"/>
            <w:gridSpan w:val="14"/>
            <w:shd w:val="clear" w:color="auto" w:fill="CCEEFF"/>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About this Prospectus Supplement</w:t>
              </w:r>
            </w:hyperlink>
          </w:p>
        </w:tc>
        <w:tc>
          <w:tcPr>
            <w:tcW w:w="5360" w:type="dxa"/>
            <w:vAlign w:val="bottom"/>
            <w:gridSpan w:val="4"/>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S-ii</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6"/>
          </w:tcPr>
          <w:p>
            <w:pPr>
              <w:jc w:val="right"/>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S-iii</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7860" w:type="dxa"/>
            <w:vAlign w:val="bottom"/>
            <w:gridSpan w:val="18"/>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Incorporation by Reference</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S-iv</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4"/>
          </w:tcPr>
          <w:p>
            <w:pPr>
              <w:jc w:val="right"/>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S-v</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64"/>
        </w:trPr>
        <w:tc>
          <w:tcPr>
            <w:tcW w:w="244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5420" w:type="dxa"/>
            <w:vAlign w:val="bottom"/>
            <w:tcBorders>
              <w:bottom w:val="single" w:sz="8" w:color="CCEEFF"/>
            </w:tcBorders>
            <w:gridSpan w:val="5"/>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S-1</w:t>
              </w:r>
            </w:hyperlink>
          </w:p>
        </w:tc>
      </w:tr>
      <w:tr>
        <w:trPr>
          <w:trHeight w:val="243"/>
        </w:trPr>
        <w:tc>
          <w:tcPr>
            <w:tcW w:w="786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The Offering</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4"/>
          </w:tcPr>
          <w:p>
            <w:pPr>
              <w:jc w:val="right"/>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S-9</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920" w:type="dxa"/>
            <w:vAlign w:val="bottom"/>
            <w:gridSpan w:val="3"/>
            <w:shd w:val="clear" w:color="auto" w:fill="CCEEFF"/>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6940" w:type="dxa"/>
            <w:vAlign w:val="bottom"/>
            <w:gridSpan w:val="15"/>
            <w:shd w:val="clear" w:color="auto" w:fill="CCEEFF"/>
          </w:tcPr>
          <w:p>
            <w:pPr>
              <w:spacing w:after="0"/>
              <w:rPr>
                <w:sz w:val="21"/>
                <w:szCs w:val="21"/>
                <w:color w:val="auto"/>
              </w:rPr>
            </w:pPr>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S-10</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360" w:type="dxa"/>
            <w:vAlign w:val="bottom"/>
            <w:gridSpan w:val="8"/>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S-13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7860" w:type="dxa"/>
            <w:vAlign w:val="bottom"/>
            <w:gridSpan w:val="18"/>
            <w:shd w:val="clear" w:color="auto" w:fill="CCEEFF"/>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Dilution</w:t>
              </w:r>
            </w:hyperlink>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Certain U.S. Federal Income Tax Consequences to Non-U.S. Holders of Common Stock</w:t>
              </w:r>
            </w:hyperlink>
          </w:p>
        </w:tc>
        <w:tc>
          <w:tcPr>
            <w:tcW w:w="360" w:type="dxa"/>
            <w:vAlign w:val="bottom"/>
            <w:gridSpan w:val="8"/>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S-15</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980" w:type="dxa"/>
            <w:vAlign w:val="bottom"/>
            <w:gridSpan w:val="5"/>
            <w:shd w:val="clear" w:color="auto" w:fill="CCEEFF"/>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Underwriting</w:t>
              </w:r>
            </w:hyperlink>
          </w:p>
        </w:tc>
        <w:tc>
          <w:tcPr>
            <w:tcW w:w="6880" w:type="dxa"/>
            <w:vAlign w:val="bottom"/>
            <w:gridSpan w:val="13"/>
            <w:shd w:val="clear" w:color="auto" w:fill="CCEEFF"/>
          </w:tcPr>
          <w:p>
            <w:pPr>
              <w:spacing w:after="0"/>
              <w:rPr>
                <w:sz w:val="21"/>
                <w:szCs w:val="21"/>
                <w:color w:val="auto"/>
              </w:rPr>
            </w:pPr>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S-19</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360" w:type="dxa"/>
            <w:vAlign w:val="bottom"/>
            <w:gridSpan w:val="8"/>
          </w:tcPr>
          <w:p>
            <w:pPr>
              <w:jc w:val="right"/>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S-23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64"/>
        </w:trPr>
        <w:tc>
          <w:tcPr>
            <w:tcW w:w="7860" w:type="dxa"/>
            <w:vAlign w:val="bottom"/>
            <w:gridSpan w:val="18"/>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S-23</w:t>
              </w:r>
            </w:hyperlink>
          </w:p>
        </w:tc>
      </w:tr>
      <w:tr>
        <w:trPr>
          <w:trHeight w:val="608"/>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980" w:type="dxa"/>
            <w:vAlign w:val="bottom"/>
            <w:tcBorders>
              <w:top w:val="single" w:sz="8" w:color="CCEEFF"/>
            </w:tcBorders>
            <w:gridSpan w:val="3"/>
          </w:tcPr>
          <w:p>
            <w:pPr>
              <w:ind w:left="820"/>
              <w:spacing w:after="0"/>
              <w:rPr>
                <w:sz w:val="20"/>
                <w:szCs w:val="20"/>
                <w:color w:val="auto"/>
              </w:rPr>
            </w:pPr>
            <w:r>
              <w:rPr>
                <w:rFonts w:ascii="Arial" w:cs="Arial" w:eastAsia="Arial" w:hAnsi="Arial"/>
                <w:sz w:val="18"/>
                <w:szCs w:val="18"/>
                <w:b w:val="1"/>
                <w:bCs w:val="1"/>
                <w:color w:val="auto"/>
              </w:rPr>
              <w:t>Prospectus</w:t>
            </w: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272"/>
        </w:trPr>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6"/>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5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20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7860" w:type="dxa"/>
            <w:vAlign w:val="bottom"/>
            <w:gridSpan w:val="18"/>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360" w:type="dxa"/>
            <w:vAlign w:val="bottom"/>
            <w:gridSpan w:val="8"/>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w:t>
              </w:r>
            </w:hyperlink>
          </w:p>
        </w:tc>
      </w:tr>
      <w:tr>
        <w:trPr>
          <w:trHeight w:val="243"/>
        </w:trPr>
        <w:tc>
          <w:tcPr>
            <w:tcW w:w="158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280" w:type="dxa"/>
            <w:vAlign w:val="bottom"/>
            <w:tcBorders>
              <w:top w:val="single" w:sz="8" w:color="CCEEFF"/>
            </w:tcBorders>
            <w:gridSpan w:val="9"/>
          </w:tcPr>
          <w:p>
            <w:pPr>
              <w:spacing w:after="0"/>
              <w:rPr>
                <w:sz w:val="21"/>
                <w:szCs w:val="21"/>
                <w:color w:val="auto"/>
              </w:rPr>
            </w:pPr>
          </w:p>
        </w:tc>
        <w:tc>
          <w:tcPr>
            <w:tcW w:w="200" w:type="dxa"/>
            <w:vAlign w:val="bottom"/>
            <w:tcBorders>
              <w:top w:val="single" w:sz="8" w:color="CCEEFF"/>
            </w:tcBorders>
            <w:gridSpan w:val="6"/>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60" w:type="dxa"/>
            <w:vAlign w:val="bottom"/>
            <w:tcBorders>
              <w:top w:val="single" w:sz="8" w:color="CCEEFF"/>
            </w:tcBorders>
          </w:tcPr>
          <w:p>
            <w:pPr>
              <w:spacing w:after="0"/>
              <w:rPr>
                <w:sz w:val="21"/>
                <w:szCs w:val="2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88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Where You Can Find More Information</w:t>
              </w:r>
            </w:hyperlink>
          </w:p>
        </w:tc>
        <w:tc>
          <w:tcPr>
            <w:tcW w:w="4980" w:type="dxa"/>
            <w:vAlign w:val="bottom"/>
            <w:tcBorders>
              <w:bottom w:val="single" w:sz="8" w:color="CCEEFF"/>
            </w:tcBorders>
            <w:gridSpan w:val="3"/>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Incorporation by Reference</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2</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16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Cautionary Note Regarding Forward-Looking Statements</w:t>
              </w:r>
            </w:hyperlink>
          </w:p>
        </w:tc>
        <w:tc>
          <w:tcPr>
            <w:tcW w:w="370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Limoneira Company</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18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Use of Proceeds</w:t>
              </w:r>
            </w:hyperlink>
          </w:p>
        </w:tc>
        <w:tc>
          <w:tcPr>
            <w:tcW w:w="6680" w:type="dxa"/>
            <w:vAlign w:val="bottom"/>
            <w:tcBorders>
              <w:bottom w:val="single" w:sz="8" w:color="CCEEFF"/>
            </w:tcBorders>
            <w:gridSpan w:val="11"/>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4</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Capital Stock</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44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Plan of Distribution</w:t>
              </w:r>
            </w:hyperlink>
          </w:p>
        </w:tc>
        <w:tc>
          <w:tcPr>
            <w:tcW w:w="6420" w:type="dxa"/>
            <w:vAlign w:val="bottom"/>
            <w:tcBorders>
              <w:bottom w:val="single" w:sz="8" w:color="CCEEFF"/>
            </w:tcBorders>
            <w:gridSpan w:val="10"/>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860" w:type="dxa"/>
            <w:vAlign w:val="bottom"/>
            <w:gridSpan w:val="18"/>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360" w:type="dxa"/>
            <w:vAlign w:val="bottom"/>
            <w:gridSpan w:val="8"/>
            <w:shd w:val="clear" w:color="auto" w:fill="CCEEFF"/>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-4921885</wp:posOffset>
            </wp:positionV>
            <wp:extent cx="4982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-1988820</wp:posOffset>
            </wp:positionV>
            <wp:extent cx="50171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ABOUT THIS PROSPECTUS SUPPLEMENT</w:t>
      </w:r>
    </w:p>
    <w:p>
      <w:pPr>
        <w:spacing w:after="0" w:line="108"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6"/>
          <w:szCs w:val="16"/>
          <w:color w:val="auto"/>
        </w:rPr>
        <w:t>We provide information to you about our common stock in two separate documents: (1) this prospectus supplement, which describes the specific terms of this offering of our common stock and adds to and updates the information contained in the accompanying prospectus and the documents incorporated by reference in the accompanying prospectus, and (2) the accompanying prospectus dated May 11, 2017, which provides general information about our Company and common stock we may offer from time to time. If the information in this prospectus supplement is inconsistent with the accompanying prospectus, you should rely on this prospectus supplement. You should read both this prospectus supplement and the accompanying prospectus, together with additional information described under the heading “Incorporation by Reference.”</w:t>
      </w:r>
    </w:p>
    <w:p>
      <w:pPr>
        <w:spacing w:after="0" w:line="58"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In making your investment decision, you should rely only on the information contained or incorporated by reference in this prospectus supplement and the accompanying prospectus. This prospectus supplement and the accompanying prospectus may be used only for the purpose for which they have been prepared. We have not authorized anyone to provide you with any other information. If you receive any information not authorized by us, you should not rely on it.</w:t>
      </w:r>
    </w:p>
    <w:p>
      <w:pPr>
        <w:spacing w:after="0" w:line="8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Our common stock is being offered for sale only in places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87"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You should not assume that the information contained or incorporated by reference in this prospectus supplement or the accompanying prospectus is accurate as of any date other than its respective date. Neither the delivery of this prospectus supplement and the accompanying prospectus nor any sale made hereunder shall under any circumstances imply that the information herein is correct as of any date subsequent to the date on the cover of this prospectus supplement.</w:t>
      </w:r>
    </w:p>
    <w:p>
      <w:pPr>
        <w:spacing w:after="0" w:line="80" w:lineRule="exact"/>
        <w:rPr>
          <w:sz w:val="20"/>
          <w:szCs w:val="20"/>
          <w:color w:val="auto"/>
        </w:rPr>
      </w:pPr>
    </w:p>
    <w:p>
      <w:pPr>
        <w:ind w:left="1260" w:right="1199" w:firstLine="360"/>
        <w:spacing w:after="0" w:line="308" w:lineRule="auto"/>
        <w:rPr>
          <w:sz w:val="20"/>
          <w:szCs w:val="20"/>
          <w:color w:val="auto"/>
        </w:rPr>
      </w:pPr>
      <w:r>
        <w:rPr>
          <w:rFonts w:ascii="Arial" w:cs="Arial" w:eastAsia="Arial" w:hAnsi="Arial"/>
          <w:sz w:val="17"/>
          <w:szCs w:val="17"/>
          <w:color w:val="auto"/>
        </w:rPr>
        <w:t>All references to “we,” “us,” “our,” “our Company,” “the Company” or “Limoneira” in this prospectus supplement mean Limoneira Company, a Delaware corporation, and its wholly-owned subsidiaries.</w:t>
      </w:r>
    </w:p>
    <w:p>
      <w:pPr>
        <w:spacing w:after="0" w:line="38" w:lineRule="exact"/>
        <w:rPr>
          <w:sz w:val="20"/>
          <w:szCs w:val="20"/>
          <w:color w:val="auto"/>
        </w:rPr>
      </w:pPr>
    </w:p>
    <w:p>
      <w:pPr>
        <w:ind w:left="1260" w:right="999" w:firstLine="360"/>
        <w:spacing w:after="0" w:line="279" w:lineRule="auto"/>
        <w:rPr>
          <w:sz w:val="20"/>
          <w:szCs w:val="20"/>
          <w:color w:val="auto"/>
        </w:rPr>
      </w:pPr>
      <w:r>
        <w:rPr>
          <w:rFonts w:ascii="Arial" w:cs="Arial" w:eastAsia="Arial" w:hAnsi="Arial"/>
          <w:sz w:val="17"/>
          <w:szCs w:val="17"/>
          <w:color w:val="auto"/>
        </w:rPr>
        <w:t>This prospectus supplement, the accompanying prospectus and the information incorporated herein and therein by reference includes trademarks, servicemarks and tradenames owned by us or other companies. All trademarks, servicemarks and tradenames included or incorporated by reference in this prospectus supplement and the accompanying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Our SEC filings are available to the public over the Internet at the SEC’s website at http://www.sec.gov. Copies of certain information filed by us with the SEC are also available on our website at http://www.limoneira.com. Our website is not a part of this prospectus supplement or the accompanying prospectus and you should not consider information contained on our website to be part of this prospectus supplement. You may also read and copy any document we file at the SEC’s Public Reference Room, 100 F Street, N.E., Washington, D.C. 20549. Please call the SEC at 1-800-SEC-0330 for further information on the operation of the Public Reference Room.</w:t>
      </w:r>
    </w:p>
    <w:p>
      <w:pPr>
        <w:spacing w:after="0" w:line="71"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supplement and the accompanying prospectus are part of a registration statement on Form S-3 (File No. 333-217622) we filed with the SEC under the Securities Act of 1933, as amended (the “Securities Act”). This prospectus supplement and the accompanying prospectus omit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are considered to be part of this prospectus supplement and the accompanying prospectus. Because we are incorporating by reference future filings with the SEC, this prospectus supplement and the accompanying prospectus are continually updated and those future filings may modify or supersede some of the information included or incorporated herein. This means that you must look at all of the SEC filings that we incorporate by reference to determine if any of the statements in this prospectus supplement and the accompanying prospectus or in any document previously incorporated by reference have been modified or superseded. Other than those documents or the portions of those documents not deemed to be filed, this prospectus supplement incorporates by reference the documents listed below (Commission File No. 001-34755) and any future filings we make with the SEC under Sections 13(a), 13(c), 14 or 15(d) of the Securities Exchange Act of 1934, as amended (the “Exchange Act”), after the date of this prospectus supplement and prior to the termination of the offering of the common stock covered by this prospectus supplement:</w:t>
      </w:r>
    </w:p>
    <w:p>
      <w:pPr>
        <w:spacing w:after="0" w:line="145" w:lineRule="exact"/>
        <w:rPr>
          <w:sz w:val="20"/>
          <w:szCs w:val="20"/>
          <w:color w:val="auto"/>
        </w:rPr>
      </w:pPr>
    </w:p>
    <w:p>
      <w:pPr>
        <w:ind w:left="1980" w:hanging="352"/>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October 31, 2017;</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Quarterly Reports on Form 10-Q for the fiscal quarters ended January 31, 2018 and April 30, 2018;</w:t>
      </w:r>
    </w:p>
    <w:p>
      <w:pPr>
        <w:spacing w:after="0" w:line="196" w:lineRule="exact"/>
        <w:rPr>
          <w:rFonts w:ascii="Arial" w:cs="Arial" w:eastAsia="Arial" w:hAnsi="Arial"/>
          <w:sz w:val="17"/>
          <w:szCs w:val="17"/>
          <w:color w:val="auto"/>
        </w:rPr>
      </w:pPr>
    </w:p>
    <w:p>
      <w:pPr>
        <w:ind w:left="1980" w:right="95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December 5, 2017, January 29, 2018, February 1, 2018, March 2, 2018, March 30, 2018, April 11, 2018 and May 17, 2018; and</w:t>
      </w:r>
    </w:p>
    <w:p>
      <w:pPr>
        <w:spacing w:after="0" w:line="143"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and rights agreement contained in our Registration Statement on Form 8-A filed on May 25, 2010, including any amendments or reports filed for the purpose of updating such description.</w:t>
      </w:r>
    </w:p>
    <w:p>
      <w:pPr>
        <w:spacing w:after="0" w:line="73"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to whom this prospectus supplement is delivered, upon written or oral request, a copy of any or all of the foregoing documents incorporated herein by reference (other than exhibits, unless such exhibits are specifically incorporated by reference in such documents). Requests for such documents should be directed to:</w:t>
      </w:r>
    </w:p>
    <w:p>
      <w:pPr>
        <w:spacing w:after="0" w:line="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Limoneira Company</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1141 Cummings Road</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Santa Paula, California 93060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(Telephone: (805) 525-5541)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or deemed to be incorporated by reference herein and therein may contain forward-looking statements within the meaning of Section 27A of the Securities Act and Section 21E of the Exchange Act.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 potential risks and uncertainties that could cause our actual financial condition, results of operations and future performance to differ materially from those expressed or implied in this prospectus supplement, the accompanying prospectus and the documents incorporated or deemed to be incorporated by reference herein or therein include:</w:t>
      </w:r>
    </w:p>
    <w:p>
      <w:pPr>
        <w:spacing w:after="0" w:line="38" w:lineRule="exact"/>
        <w:rPr>
          <w:sz w:val="20"/>
          <w:szCs w:val="20"/>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63"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and droughts, that affect the production, transportation, storage, import and export of fresh produce;</w:t>
      </w:r>
    </w:p>
    <w:p>
      <w:pPr>
        <w:spacing w:after="0" w:line="32"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and currency exchange rates;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delayed or cancelled acquisitions or comsummated acquisitions not delivering the expected benefits;</w:t>
      </w:r>
    </w:p>
    <w:p>
      <w:pPr>
        <w:spacing w:after="0" w:line="86" w:lineRule="exact"/>
        <w:rPr>
          <w:rFonts w:ascii="Arial" w:cs="Arial" w:eastAsia="Arial" w:hAnsi="Arial"/>
          <w:sz w:val="16"/>
          <w:szCs w:val="16"/>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our public filings with the SEC.</w:t>
      </w:r>
    </w:p>
    <w:p>
      <w:pPr>
        <w:spacing w:after="0" w:line="11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prospectus supplement, the accompanying prospectus and the documents incorporated or deemed to be incorporated by reference herein and therein, including those described in the section entitled “Risk Factors” in this prospectus supplement, the accompany prospectus and in our most recent Annual Report on Form 10-K and subsequent Quarterly Reports on Form 10-Q,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prospectus supplement, the accompanying prospectus and the documents incorporated or deemed to be incorporated by reference herein or therein as a representation by us that our plans and objectives will be achieved, and you should not place undue reliance on such forward-looking statements. We undertake no obligation to publicly update any forward-looking statements, whether as a result of new information, future events or otherwise, except as required by law.</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PROSPECTUS SUPPLEMENT SUMMARY</w:t>
      </w:r>
    </w:p>
    <w:p>
      <w:pPr>
        <w:spacing w:after="0" w:line="108" w:lineRule="exact"/>
        <w:rPr>
          <w:sz w:val="20"/>
          <w:szCs w:val="20"/>
          <w:color w:val="auto"/>
        </w:rPr>
      </w:pPr>
    </w:p>
    <w:p>
      <w:pPr>
        <w:ind w:left="1280" w:right="819" w:firstLine="360"/>
        <w:spacing w:after="0" w:line="269" w:lineRule="auto"/>
        <w:rPr>
          <w:sz w:val="20"/>
          <w:szCs w:val="20"/>
          <w:color w:val="auto"/>
        </w:rPr>
      </w:pPr>
      <w:r>
        <w:rPr>
          <w:rFonts w:ascii="Arial" w:cs="Arial" w:eastAsia="Arial" w:hAnsi="Arial"/>
          <w:sz w:val="17"/>
          <w:szCs w:val="17"/>
          <w:i w:val="1"/>
          <w:iCs w:val="1"/>
          <w:color w:val="auto"/>
        </w:rPr>
        <w:t>This prospectus supplement summary highlights information contained elsewhere in this prospectus supplement, the accompanying prospectus and the documents we file with the SEC that are incorporated herein and therein by reference. This summary is not complete and does not contain all of the information that you should consider before investing in our common stock. You should read carefully this prospectus supplement, the accompanying prospectus and the information incorporated by reference in this prospectus supplement and accompanying prospectus, including “Risk Factors” included below and our consolidated financial statements and related notes included in our most recently filed Annual Report on Form 10-K, in each case as updated or supplemented by subsequent periodic reports that we file with the SEC, before making an investment decision. Further, unless the context otherwise indicates, numbers in this prospectus supplement have been rounded and are, therefore, approximate. Except as otherwise noted, all information in this prospectus supplement and the accompanying prospectus assumes no exercise of the underwriters’ option to purchase additional shares of our common stock.</w:t>
      </w:r>
    </w:p>
    <w:p>
      <w:pPr>
        <w:spacing w:after="0" w:line="16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Limoneira Company</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879" w:firstLine="360"/>
        <w:spacing w:after="0" w:line="276" w:lineRule="auto"/>
        <w:rPr>
          <w:sz w:val="20"/>
          <w:szCs w:val="20"/>
          <w:color w:val="auto"/>
        </w:rPr>
      </w:pPr>
      <w:r>
        <w:rPr>
          <w:rFonts w:ascii="Arial" w:cs="Arial" w:eastAsia="Arial" w:hAnsi="Arial"/>
          <w:sz w:val="17"/>
          <w:szCs w:val="17"/>
          <w:color w:val="auto"/>
        </w:rPr>
        <w:t>Limoneira Company was incorporated in Delaware in 1990 as the successor to several businesses with operations in California since 1893. We are a diversified citrus packing, sales and marketing company with related agribusiness activities and real estate development operations founded and based in Santa Paula, California. We are committed to responsibly using and managing our approximately 11,200 acres of land, water resources and other assets to generate profits and maximize long-term stockholder value.</w:t>
      </w:r>
    </w:p>
    <w:p>
      <w:pPr>
        <w:spacing w:after="0" w:line="64"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are one of California’s oldest citrus growers. We believe we are one of the largest growers and marketers of lemons in the United States and, according to the California Avocado Commission, one of the largest growers of avocados in the United States. In addition to growing lemons and avocados, we grow oranges, a variety of specialty citrus, wine grapes and other crops. We also operate our own packinghouses in Santa Paula, California and Yuma, Arizona, where we process, pack and sell lemons that we grow, as well as lemons grown by others. We have a 47% interest in Rosales S.A. (“Rosales”), a citrus packing, marketing and sales business and a 90% interest in Fruticola Pan de Azucar S.A. (“PDA”), a lemon and orange orchard, both located near La Serena, Chile. Our One World of Citrus platform provides customers a year-round supply of lemons and oranges, and allows us to source and market fruit on a global basis.</w:t>
      </w:r>
    </w:p>
    <w:p>
      <w:pPr>
        <w:spacing w:after="0" w:line="74" w:lineRule="exact"/>
        <w:rPr>
          <w:sz w:val="20"/>
          <w:szCs w:val="20"/>
          <w:color w:val="auto"/>
        </w:rPr>
      </w:pPr>
    </w:p>
    <w:p>
      <w:pPr>
        <w:ind w:left="1280" w:right="839" w:firstLine="360"/>
        <w:spacing w:after="0" w:line="277" w:lineRule="auto"/>
        <w:rPr>
          <w:sz w:val="20"/>
          <w:szCs w:val="20"/>
          <w:color w:val="auto"/>
        </w:rPr>
      </w:pPr>
      <w:r>
        <w:rPr>
          <w:rFonts w:ascii="Arial" w:cs="Arial" w:eastAsia="Arial" w:hAnsi="Arial"/>
          <w:sz w:val="18"/>
          <w:szCs w:val="18"/>
          <w:color w:val="auto"/>
        </w:rPr>
        <w:t>Our principal executive offices are located at 1141 Cummings Road, Santa Paula, California 93060 and our telephone number is (805) 525-5541.</w:t>
      </w:r>
    </w:p>
    <w:p>
      <w:pPr>
        <w:spacing w:after="0" w:line="62" w:lineRule="exact"/>
        <w:rPr>
          <w:sz w:val="20"/>
          <w:szCs w:val="20"/>
          <w:color w:val="auto"/>
        </w:rPr>
      </w:pPr>
    </w:p>
    <w:p>
      <w:pPr>
        <w:ind w:left="1280" w:right="1099" w:firstLine="360"/>
        <w:spacing w:after="0" w:line="277" w:lineRule="auto"/>
        <w:rPr>
          <w:sz w:val="20"/>
          <w:szCs w:val="20"/>
          <w:color w:val="auto"/>
        </w:rPr>
      </w:pPr>
      <w:r>
        <w:rPr>
          <w:rFonts w:ascii="Arial" w:cs="Arial" w:eastAsia="Arial" w:hAnsi="Arial"/>
          <w:sz w:val="18"/>
          <w:szCs w:val="18"/>
          <w:color w:val="auto"/>
        </w:rPr>
        <w:t>Limoneira is a registered trademark of Limoneira Company. The Limoneira logo is a registered stylized trademark of Limoneira Company.</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Divisions</w:t>
      </w:r>
    </w:p>
    <w:p>
      <w:pPr>
        <w:spacing w:after="0" w:line="108"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have three business divisions: agribusiness (our primary business), rental operations and real estate development. The agribusiness division is comprised of four reportable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our most recently filed Annual Report on Form 10-K, which is incorporated herein by reference.</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Agribusiness Division</w:t>
      </w:r>
    </w:p>
    <w:p>
      <w:pPr>
        <w:spacing w:after="0" w:line="108" w:lineRule="exact"/>
        <w:rPr>
          <w:sz w:val="20"/>
          <w:szCs w:val="20"/>
          <w:color w:val="auto"/>
        </w:rPr>
      </w:pPr>
    </w:p>
    <w:p>
      <w:pPr>
        <w:ind w:left="1280" w:right="919" w:firstLine="360"/>
        <w:spacing w:after="0" w:line="302" w:lineRule="auto"/>
        <w:rPr>
          <w:sz w:val="20"/>
          <w:szCs w:val="20"/>
          <w:color w:val="auto"/>
        </w:rPr>
      </w:pPr>
      <w:r>
        <w:rPr>
          <w:rFonts w:ascii="Arial" w:cs="Arial" w:eastAsia="Arial" w:hAnsi="Arial"/>
          <w:sz w:val="16"/>
          <w:szCs w:val="16"/>
          <w:color w:val="auto"/>
        </w:rPr>
        <w:t>The agribusiness division is comprised of four of our reportable segments: fresh lemons, lemon packing, avocados and other agribusiness, which represented approximately 96%, 95% and 95% of our fiscal year 2017, 2016 and 2015 consolidated revenues, respectively, of which fresh lemons and lemon packing combined represented 78%, 76% and 79% of our fiscal year 2017, 2016 and 2015 consolidated revenues, respectively.</w:t>
      </w:r>
    </w:p>
    <w:p>
      <w:pPr>
        <w:spacing w:after="0" w:line="141"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Farming</w:t>
      </w:r>
    </w:p>
    <w:p>
      <w:pPr>
        <w:spacing w:after="0" w:line="104" w:lineRule="exact"/>
        <w:rPr>
          <w:sz w:val="20"/>
          <w:szCs w:val="20"/>
          <w:color w:val="auto"/>
        </w:rPr>
      </w:pPr>
    </w:p>
    <w:p>
      <w:pPr>
        <w:ind w:left="1280" w:right="779" w:firstLine="360"/>
        <w:spacing w:after="0" w:line="290" w:lineRule="auto"/>
        <w:rPr>
          <w:sz w:val="20"/>
          <w:szCs w:val="20"/>
          <w:color w:val="auto"/>
        </w:rPr>
      </w:pPr>
      <w:r>
        <w:rPr>
          <w:rFonts w:ascii="Arial" w:cs="Arial" w:eastAsia="Arial" w:hAnsi="Arial"/>
          <w:sz w:val="16"/>
          <w:szCs w:val="16"/>
          <w:color w:val="auto"/>
        </w:rPr>
        <w:t>We are one of California’s oldest citrus growers and one of the largest growers of lemons and avocados in the United States. In addition to growing lemons and avocados, we grow oranges and a variety of specialty citrus and other crops. We have agricultural plantings throughout Ventura, Tulare, San Bernardino and San Luis Obispo Counties in California, Yuma County in Arizona and La Serena, Chile, which collectively consist of approximately 4,800 acres of lemons, 900 acres of avocados, 1,500 acres of oranges and 1,000 acres of specialty citrus and other crops. With the acquisition of PDA, we have approximately 200 acres of lemon and oranges plantings in Chile. We also operate our own packinghouses in Santa Paula, California and Yuma, Arizona, where we process, pack and sell lemons we grow as well as lemons grown by others.</w:t>
      </w:r>
    </w:p>
    <w:p>
      <w:pPr>
        <w:spacing w:after="0" w:line="58" w:lineRule="exact"/>
        <w:rPr>
          <w:sz w:val="20"/>
          <w:szCs w:val="20"/>
          <w:color w:val="auto"/>
        </w:rPr>
      </w:pPr>
    </w:p>
    <w:p>
      <w:pPr>
        <w:ind w:left="1280" w:right="739" w:firstLine="360"/>
        <w:spacing w:after="0" w:line="288" w:lineRule="auto"/>
        <w:rPr>
          <w:sz w:val="20"/>
          <w:szCs w:val="20"/>
          <w:color w:val="auto"/>
        </w:rPr>
      </w:pPr>
      <w:r>
        <w:rPr>
          <w:rFonts w:ascii="Arial" w:cs="Arial" w:eastAsia="Arial" w:hAnsi="Arial"/>
          <w:sz w:val="16"/>
          <w:szCs w:val="16"/>
          <w:i w:val="1"/>
          <w:iCs w:val="1"/>
          <w:color w:val="auto"/>
        </w:rPr>
        <w:t xml:space="preserve">Lemons. </w:t>
      </w:r>
      <w:r>
        <w:rPr>
          <w:rFonts w:ascii="Arial" w:cs="Arial" w:eastAsia="Arial" w:hAnsi="Arial"/>
          <w:sz w:val="16"/>
          <w:szCs w:val="16"/>
          <w:color w:val="auto"/>
        </w:rPr>
        <w:t>Our lemon farming is included in our “fresh lemons” and “lemon packing” reportable segments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our financial statements. We market and sell lemons directly to food service, wholesale and retail customers throughout the United States, Canada, Asia, Australia and certain other international markets. We are one of the largest lemon growers in the United States with approximately 4,800 acres of lemons planted primarily in Ventura, Tulare and San Bernardino Counties in California and in Yuma County, Arizona. In California, the lemon growing area stretches from the Coachella Valley to Fresno and Monterey Counties, with the majority of the growing areas being located in the coastal areas from Ventura County to Monterey County. Ventura County is California’s top lemon producing county. Approximately 35% of our lemons are grown in Ventura County, 25% are grown in Tulare County, 25% are grown in Yuma County, Arizona and 15% are grown in San Bernardino County, California. We also grow lemons on approximately 100 acres near La Serena, Chile.</w:t>
      </w:r>
    </w:p>
    <w:p>
      <w:pPr>
        <w:spacing w:after="0" w:line="61" w:lineRule="exact"/>
        <w:rPr>
          <w:sz w:val="20"/>
          <w:szCs w:val="20"/>
          <w:color w:val="auto"/>
        </w:rPr>
      </w:pPr>
    </w:p>
    <w:p>
      <w:pPr>
        <w:ind w:left="1280" w:right="759" w:firstLine="360"/>
        <w:spacing w:after="0" w:line="255" w:lineRule="auto"/>
        <w:rPr>
          <w:sz w:val="20"/>
          <w:szCs w:val="20"/>
          <w:color w:val="auto"/>
        </w:rPr>
      </w:pPr>
      <w:r>
        <w:rPr>
          <w:rFonts w:ascii="Arial" w:cs="Arial" w:eastAsia="Arial" w:hAnsi="Arial"/>
          <w:sz w:val="18"/>
          <w:szCs w:val="18"/>
          <w:color w:val="auto"/>
        </w:rPr>
        <w:t>There are over fifty varieties of lemons, with the Lisbon, Eureka and Genoa being the predominant varieties marketed on a worldwide basis. California-grown lemons are available throughout the year, with peak production periods occurring from January through August. Approximately 90% of our lemon plantings are of the Lisbon and Eureka varieties and approximately 10% are of other varieties such as sweet Meyer lemons, proprietary seedless lemons and pink variegated lemons. The storage life of fresh lemons generally ranges from 1 to 18 weeks, depending upon the maturity of the fruit, the growing methods used and the handling conditions in the distribution chain.</w:t>
      </w:r>
    </w:p>
    <w:p>
      <w:pPr>
        <w:spacing w:after="0" w:line="81" w:lineRule="exact"/>
        <w:rPr>
          <w:sz w:val="20"/>
          <w:szCs w:val="20"/>
          <w:color w:val="auto"/>
        </w:rPr>
      </w:pPr>
    </w:p>
    <w:p>
      <w:pPr>
        <w:ind w:left="1280" w:right="879" w:firstLine="360"/>
        <w:spacing w:after="0" w:line="272" w:lineRule="auto"/>
        <w:rPr>
          <w:sz w:val="20"/>
          <w:szCs w:val="20"/>
          <w:color w:val="auto"/>
        </w:rPr>
      </w:pPr>
      <w:r>
        <w:rPr>
          <w:rFonts w:ascii="Arial" w:cs="Arial" w:eastAsia="Arial" w:hAnsi="Arial"/>
          <w:sz w:val="17"/>
          <w:szCs w:val="17"/>
          <w:color w:val="auto"/>
        </w:rPr>
        <w:t>With an average annual production of approximately 750,000 tons of lemons, California accounts for approximately 90% of the United States lemon crop, with Arizona producing the majority of the rest. Between 50% and 70% of the United States lemon crop is utilized in the fresh market, with the remainder going to the processed market for products such as juice, oils and essences. Most lemons are consumed as either a cooking ingredient, a garnish, or as juice in lemonade or carbonated beverages or other drinks. Demand for lemons is typically highest in the summer, although California producers through various geographical zones are typically able to harvest lemons year-round.</w:t>
      </w:r>
    </w:p>
    <w:p>
      <w:pPr>
        <w:spacing w:after="0" w:line="70" w:lineRule="exact"/>
        <w:rPr>
          <w:sz w:val="20"/>
          <w:szCs w:val="20"/>
          <w:color w:val="auto"/>
        </w:rPr>
      </w:pPr>
    </w:p>
    <w:p>
      <w:pPr>
        <w:ind w:left="1280" w:right="859" w:firstLine="360"/>
        <w:spacing w:after="0" w:line="257" w:lineRule="auto"/>
        <w:rPr>
          <w:sz w:val="20"/>
          <w:szCs w:val="20"/>
          <w:color w:val="auto"/>
        </w:rPr>
      </w:pPr>
      <w:r>
        <w:rPr>
          <w:rFonts w:ascii="Arial" w:cs="Arial" w:eastAsia="Arial" w:hAnsi="Arial"/>
          <w:sz w:val="18"/>
          <w:szCs w:val="18"/>
          <w:i w:val="1"/>
          <w:iCs w:val="1"/>
          <w:color w:val="auto"/>
        </w:rPr>
        <w:t xml:space="preserve">Avocados. </w:t>
      </w:r>
      <w:r>
        <w:rPr>
          <w:rFonts w:ascii="Arial" w:cs="Arial" w:eastAsia="Arial" w:hAnsi="Arial"/>
          <w:sz w:val="18"/>
          <w:szCs w:val="18"/>
          <w:color w:val="auto"/>
        </w:rPr>
        <w:t>Our avocado farming is included in our “avocados” reportable segment within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We are one of the largest avocado growers in the United States with approximately 900 acres of avocados planted throughout Ventura County. In California, the avocado growing area stretches from San Diego County to Monterey County, with the majority of the growing areas located approximately 100 miles north and south of Los Angeles County.</w:t>
      </w:r>
    </w:p>
    <w:p>
      <w:pPr>
        <w:spacing w:after="0" w:line="80" w:lineRule="exact"/>
        <w:rPr>
          <w:sz w:val="20"/>
          <w:szCs w:val="20"/>
          <w:color w:val="auto"/>
        </w:rPr>
      </w:pPr>
    </w:p>
    <w:p>
      <w:pPr>
        <w:ind w:left="1280" w:right="939" w:firstLine="360"/>
        <w:spacing w:after="0" w:line="302" w:lineRule="auto"/>
        <w:rPr>
          <w:sz w:val="20"/>
          <w:szCs w:val="20"/>
          <w:color w:val="auto"/>
        </w:rPr>
      </w:pPr>
      <w:r>
        <w:rPr>
          <w:rFonts w:ascii="Arial" w:cs="Arial" w:eastAsia="Arial" w:hAnsi="Arial"/>
          <w:sz w:val="16"/>
          <w:szCs w:val="16"/>
          <w:color w:val="auto"/>
        </w:rPr>
        <w:t>Over the last 75 years, the avocado has transitioned from a single specialty fruit to an array of 10 varieties ranging from the green-skinned Zutanos to the black-skinned Hass, which is the predominant avocado variety marketed on a worldwide basis. California-grown avocados are available year-round, with peak production periods occurring between February and September. Other avocado varieties have a more</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57" w:lineRule="auto"/>
        <w:rPr>
          <w:sz w:val="20"/>
          <w:szCs w:val="20"/>
          <w:color w:val="auto"/>
        </w:rPr>
      </w:pPr>
      <w:r>
        <w:rPr>
          <w:rFonts w:ascii="Arial" w:cs="Arial" w:eastAsia="Arial" w:hAnsi="Arial"/>
          <w:sz w:val="18"/>
          <w:szCs w:val="18"/>
          <w:color w:val="auto"/>
        </w:rPr>
        <w:t>limited picking season and typically command a lower price. Because of superior eating quality, the Hass avocado has contributed greatly to the avocado’s growing popularity through its retail, restaurant and other food service uses. Approximately 98% of our avocado plantings are of the Hass variety. The storage life of fresh avocados generally ranges from 1 to 4 weeks, depending upon the maturity of the fruit, the growing methods used and the handling conditions in the distribution chain.</w:t>
      </w:r>
    </w:p>
    <w:p>
      <w:pPr>
        <w:spacing w:after="0" w:line="80" w:lineRule="exact"/>
        <w:rPr>
          <w:sz w:val="20"/>
          <w:szCs w:val="20"/>
          <w:color w:val="auto"/>
        </w:rPr>
      </w:pPr>
    </w:p>
    <w:p>
      <w:pPr>
        <w:ind w:left="1280" w:right="759" w:firstLine="360"/>
        <w:spacing w:after="0" w:line="272" w:lineRule="auto"/>
        <w:rPr>
          <w:sz w:val="20"/>
          <w:szCs w:val="20"/>
          <w:color w:val="auto"/>
        </w:rPr>
      </w:pPr>
      <w:r>
        <w:rPr>
          <w:rFonts w:ascii="Arial" w:cs="Arial" w:eastAsia="Arial" w:hAnsi="Arial"/>
          <w:sz w:val="17"/>
          <w:szCs w:val="17"/>
          <w:color w:val="auto"/>
        </w:rPr>
        <w:t>We provide all of our avocado production to Calavo Growers, Inc. (“Calavo”), a packing and marketing company listed on the NASDAQ Global Select Market under the symbol CVGW. Calavo’s customers include many of the largest retail and food service companies in the United States and Canada. Our marketing relationship with Calavo dates back to 2003. Calavo receives fruit from our orchards at its packinghouse located in Santa Paula, California. Calavo’s proximity to our agricultural operations enables us to keep transportation and handling costs to a minimum. Our avocados are packed by Calavo and sold and distributed under its own brands to its customers primarily in the United States and Canada.</w:t>
      </w:r>
    </w:p>
    <w:p>
      <w:pPr>
        <w:spacing w:after="0" w:line="70" w:lineRule="exact"/>
        <w:rPr>
          <w:sz w:val="20"/>
          <w:szCs w:val="20"/>
          <w:color w:val="auto"/>
        </w:rPr>
      </w:pPr>
    </w:p>
    <w:p>
      <w:pPr>
        <w:ind w:left="1280" w:right="879" w:firstLine="360"/>
        <w:spacing w:after="0" w:line="255" w:lineRule="auto"/>
        <w:rPr>
          <w:sz w:val="20"/>
          <w:szCs w:val="20"/>
          <w:color w:val="auto"/>
        </w:rPr>
      </w:pPr>
      <w:r>
        <w:rPr>
          <w:rFonts w:ascii="Arial" w:cs="Arial" w:eastAsia="Arial" w:hAnsi="Arial"/>
          <w:sz w:val="18"/>
          <w:szCs w:val="18"/>
          <w:color w:val="auto"/>
        </w:rPr>
        <w:t>Primarily due to differing soil conditions, the care of avocado trees is intensive and during our 75-year history of growing avocados, growing techniques have changed dramatically.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85" w:lineRule="exact"/>
        <w:rPr>
          <w:sz w:val="20"/>
          <w:szCs w:val="20"/>
          <w:color w:val="auto"/>
        </w:rPr>
      </w:pPr>
    </w:p>
    <w:p>
      <w:pPr>
        <w:ind w:left="1280" w:right="799" w:firstLine="360"/>
        <w:spacing w:after="0" w:line="269" w:lineRule="auto"/>
        <w:rPr>
          <w:sz w:val="20"/>
          <w:szCs w:val="20"/>
          <w:color w:val="auto"/>
        </w:rPr>
      </w:pPr>
      <w:r>
        <w:rPr>
          <w:rFonts w:ascii="Arial" w:cs="Arial" w:eastAsia="Arial" w:hAnsi="Arial"/>
          <w:sz w:val="17"/>
          <w:szCs w:val="17"/>
          <w:i w:val="1"/>
          <w:iCs w:val="1"/>
          <w:color w:val="auto"/>
        </w:rPr>
        <w:t xml:space="preserve">Oranges. </w:t>
      </w:r>
      <w:r>
        <w:rPr>
          <w:rFonts w:ascii="Arial" w:cs="Arial" w:eastAsia="Arial" w:hAnsi="Arial"/>
          <w:sz w:val="17"/>
          <w:szCs w:val="17"/>
          <w:color w:val="auto"/>
        </w:rPr>
        <w:t>Our orange farming is included in our “other agribusiness” reportable segment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While we are primarily known for our high-quality lemons, we also grow oranges. We have approximately 1,500 acres of oranges planted primarily in Tulare County, California. In California, the growing area for oranges stretches from Imperial County to Yolo County. For many decades, the Valencia variety of oranges was grown in Ventura County primarily for export to the Pacific Rim. Throughout the late twentieth century, developing countries began producing the larger, seedless Navel variety of oranges that successfully competed against the smaller Valencia variety. California-grown Navel oranges are available from October to June, with peak production periods occurring between January and April. California-grown Valencia oranges are available from March to October, with peak production periods occurring between June and September. Approximately 95% of our orange plantings are of the Navel variety and approximately 5% are of the Valencia variety.</w:t>
      </w:r>
    </w:p>
    <w:p>
      <w:pPr>
        <w:spacing w:after="0" w:line="75" w:lineRule="exact"/>
        <w:rPr>
          <w:sz w:val="20"/>
          <w:szCs w:val="20"/>
          <w:color w:val="auto"/>
        </w:rPr>
      </w:pPr>
    </w:p>
    <w:p>
      <w:pPr>
        <w:ind w:left="1280" w:right="779" w:firstLine="360"/>
        <w:spacing w:after="0" w:line="297" w:lineRule="auto"/>
        <w:rPr>
          <w:sz w:val="20"/>
          <w:szCs w:val="20"/>
          <w:color w:val="auto"/>
        </w:rPr>
      </w:pPr>
      <w:r>
        <w:rPr>
          <w:rFonts w:ascii="Arial" w:cs="Arial" w:eastAsia="Arial" w:hAnsi="Arial"/>
          <w:sz w:val="16"/>
          <w:szCs w:val="16"/>
          <w:color w:val="auto"/>
        </w:rPr>
        <w:t>Navel oranges comprise most of California’s orange crop, accounting for approximately 75% over the past three growing seasons. Valencia oranges account for a vast majority of the remainder of California’s orange crop. While California produces approximately 25% of the nation’s oranges, its crop accounts for approximately 80% of those going to the fresh market. The share of California’s crop going to fresh market, as opposed to the processed market (i.e., juices, oils and essences) varies by season, depending on the quality of the crop.</w:t>
      </w:r>
    </w:p>
    <w:p>
      <w:pPr>
        <w:spacing w:after="0" w:line="50" w:lineRule="exact"/>
        <w:rPr>
          <w:sz w:val="20"/>
          <w:szCs w:val="20"/>
          <w:color w:val="auto"/>
        </w:rPr>
      </w:pPr>
    </w:p>
    <w:p>
      <w:pPr>
        <w:ind w:left="1280" w:right="799" w:firstLine="360"/>
        <w:spacing w:after="0" w:line="277" w:lineRule="auto"/>
        <w:rPr>
          <w:sz w:val="20"/>
          <w:szCs w:val="20"/>
          <w:color w:val="auto"/>
        </w:rPr>
      </w:pPr>
      <w:r>
        <w:rPr>
          <w:rFonts w:ascii="Arial" w:cs="Arial" w:eastAsia="Arial" w:hAnsi="Arial"/>
          <w:sz w:val="18"/>
          <w:szCs w:val="18"/>
          <w:color w:val="auto"/>
        </w:rPr>
        <w:t>We estimate approximately 70% of our oranges are sold to retail customers and approximately 30% are sold to wholesale customers.</w:t>
      </w:r>
    </w:p>
    <w:p>
      <w:pPr>
        <w:spacing w:after="0" w:line="62" w:lineRule="exact"/>
        <w:rPr>
          <w:sz w:val="20"/>
          <w:szCs w:val="20"/>
          <w:color w:val="auto"/>
        </w:rPr>
      </w:pPr>
    </w:p>
    <w:p>
      <w:pPr>
        <w:ind w:left="1280" w:right="879" w:firstLine="360"/>
        <w:spacing w:after="0" w:line="255" w:lineRule="auto"/>
        <w:rPr>
          <w:sz w:val="20"/>
          <w:szCs w:val="20"/>
          <w:color w:val="auto"/>
        </w:rPr>
      </w:pPr>
      <w:r>
        <w:rPr>
          <w:rFonts w:ascii="Arial" w:cs="Arial" w:eastAsia="Arial" w:hAnsi="Arial"/>
          <w:sz w:val="18"/>
          <w:szCs w:val="18"/>
          <w:i w:val="1"/>
          <w:iCs w:val="1"/>
          <w:color w:val="auto"/>
        </w:rPr>
        <w:t xml:space="preserve">Specialty Citrus and Other Crops. </w:t>
      </w:r>
      <w:r>
        <w:rPr>
          <w:rFonts w:ascii="Arial" w:cs="Arial" w:eastAsia="Arial" w:hAnsi="Arial"/>
          <w:sz w:val="18"/>
          <w:szCs w:val="18"/>
          <w:color w:val="auto"/>
        </w:rPr>
        <w:t>Our specialty citrus and other crop farming is included in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agribusiness” reportable segment within our financial statements. A few decades ago, we began growing specialty citrus varieties and other crops that we believed would appeal to changing North American and worldwide demand. As a result, we currently have approximately 1,000 acres of specialty citrus and other crops planted such as Moro blood oranges, Cara Cara oranges, Minneola tangelos, Star Ruby grapefruit, pummelos, pistachios and wine grapes.</w:t>
      </w:r>
    </w:p>
    <w:p>
      <w:pPr>
        <w:spacing w:after="0" w:line="85" w:lineRule="exact"/>
        <w:rPr>
          <w:sz w:val="20"/>
          <w:szCs w:val="20"/>
          <w:color w:val="auto"/>
        </w:rPr>
      </w:pPr>
    </w:p>
    <w:p>
      <w:pPr>
        <w:jc w:val="both"/>
        <w:ind w:left="1280" w:right="1039" w:firstLine="360"/>
        <w:spacing w:after="0" w:line="286" w:lineRule="auto"/>
        <w:rPr>
          <w:sz w:val="20"/>
          <w:szCs w:val="20"/>
          <w:color w:val="auto"/>
        </w:rPr>
      </w:pPr>
      <w:r>
        <w:rPr>
          <w:rFonts w:ascii="Arial" w:cs="Arial" w:eastAsia="Arial" w:hAnsi="Arial"/>
          <w:sz w:val="17"/>
          <w:szCs w:val="17"/>
          <w:color w:val="auto"/>
        </w:rPr>
        <w:t>Acreage devoted to specialty citrus and other crops in California has been growing significantly over the past few decades, especially with the popularity of the Clementine, a type of mandarin orange. Similar to our oranges, we utilize third-party packinghouses to process and pack our specialty citrus.</w:t>
      </w:r>
    </w:p>
    <w:p>
      <w:pPr>
        <w:spacing w:after="0" w:line="57" w:lineRule="exact"/>
        <w:rPr>
          <w:sz w:val="20"/>
          <w:szCs w:val="20"/>
          <w:color w:val="auto"/>
        </w:rPr>
      </w:pPr>
    </w:p>
    <w:p>
      <w:pPr>
        <w:jc w:val="both"/>
        <w:ind w:left="1280" w:right="859" w:firstLine="360"/>
        <w:spacing w:after="0" w:line="264" w:lineRule="auto"/>
        <w:rPr>
          <w:sz w:val="20"/>
          <w:szCs w:val="20"/>
          <w:color w:val="auto"/>
        </w:rPr>
      </w:pPr>
      <w:r>
        <w:rPr>
          <w:rFonts w:ascii="Arial" w:cs="Arial" w:eastAsia="Arial" w:hAnsi="Arial"/>
          <w:sz w:val="18"/>
          <w:szCs w:val="18"/>
          <w:color w:val="auto"/>
        </w:rPr>
        <w:t>We currently market our other crops, such as pistachios and wine grapes, utilizing processors which are not members of agricultural cooperatives. Our pistachios are harvested and sold to a roaster, packager and marketer of nuts, and our wine grapes are sold to various wine producers.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Plantings</w:t>
      </w:r>
    </w:p>
    <w:p>
      <w:pPr>
        <w:spacing w:after="0" w:line="104" w:lineRule="exact"/>
        <w:rPr>
          <w:sz w:val="20"/>
          <w:szCs w:val="20"/>
          <w:color w:val="auto"/>
        </w:rPr>
      </w:pPr>
    </w:p>
    <w:p>
      <w:pPr>
        <w:ind w:left="1280" w:right="859" w:firstLine="360"/>
        <w:spacing w:after="0" w:line="264" w:lineRule="auto"/>
        <w:rPr>
          <w:sz w:val="20"/>
          <w:szCs w:val="20"/>
          <w:color w:val="auto"/>
        </w:rPr>
      </w:pPr>
      <w:r>
        <w:rPr>
          <w:rFonts w:ascii="Arial" w:cs="Arial" w:eastAsia="Arial" w:hAnsi="Arial"/>
          <w:sz w:val="18"/>
          <w:szCs w:val="18"/>
          <w:color w:val="auto"/>
        </w:rPr>
        <w:t>We have agricultural plantings on properties located in Ventura, Tulare, San Bernardino and San Luis Obispo Counties in California and in Yuma, Arizona and La Serena, Chile. The following is a description of our agriculture properties:</w:t>
      </w:r>
    </w:p>
    <w:p>
      <w:pPr>
        <w:spacing w:after="0" w:line="10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7"/>
              </w:rPr>
              <w:t>Specialty</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Ranch Name</w:t>
            </w:r>
          </w:p>
        </w:tc>
        <w:tc>
          <w:tcPr>
            <w:tcW w:w="18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County/State</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Acres</w:t>
            </w: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78"/>
              </w:rPr>
              <w:t>Lemons</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Avocados</w:t>
            </w:r>
          </w:p>
        </w:tc>
        <w:tc>
          <w:tcPr>
            <w:tcW w:w="9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Oranges</w:t>
            </w:r>
          </w:p>
        </w:tc>
        <w:tc>
          <w:tcPr>
            <w:tcW w:w="100" w:type="dxa"/>
            <w:vAlign w:val="bottom"/>
          </w:tcPr>
          <w:p>
            <w:pPr>
              <w:spacing w:after="0"/>
              <w:rPr>
                <w:sz w:val="16"/>
                <w:szCs w:val="16"/>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Crops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Limoneira/Olivelands</w:t>
            </w:r>
          </w:p>
        </w:tc>
        <w:tc>
          <w:tcPr>
            <w:tcW w:w="1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Ventura, CA</w:t>
            </w: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1,700</w:t>
            </w: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700</w:t>
            </w: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500</w:t>
            </w:r>
          </w:p>
        </w:tc>
        <w:tc>
          <w:tcPr>
            <w:tcW w:w="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Orchard Farm</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tcPr>
          <w:p>
            <w:pPr>
              <w:jc w:val="right"/>
              <w:spacing w:after="0"/>
              <w:rPr>
                <w:sz w:val="20"/>
                <w:szCs w:val="20"/>
                <w:color w:val="auto"/>
              </w:rPr>
            </w:pPr>
            <w:r>
              <w:rPr>
                <w:rFonts w:ascii="Arial" w:cs="Arial" w:eastAsia="Arial" w:hAnsi="Arial"/>
                <w:sz w:val="16"/>
                <w:szCs w:val="16"/>
                <w:color w:val="auto"/>
              </w:rPr>
              <w:t>1,100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Teague McKevett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La Campana</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tcPr>
          <w:p>
            <w:pPr>
              <w:jc w:val="right"/>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Rancho La Cuesta</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Limco Del Mar</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Porterville Ranches</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Ducor Ranches</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Windfall Farms</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San Luis Obispo,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6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Sheldon Ranches</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Lemons 400</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Cadiz</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San Bernardino, CA</w:t>
            </w:r>
          </w:p>
        </w:tc>
        <w:tc>
          <w:tcPr>
            <w:tcW w:w="460" w:type="dxa"/>
            <w:vAlign w:val="bottom"/>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Associated Citrus Packers</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Yuma, AZ</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Fruticola Pan de Azucar</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La Serena, Chile</w:t>
            </w:r>
          </w:p>
        </w:tc>
        <w:tc>
          <w:tcPr>
            <w:tcW w:w="46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Other agribusiness land</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Various counties,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11,200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4,800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900</w:t>
            </w:r>
          </w:p>
        </w:tc>
        <w:tc>
          <w:tcPr>
            <w:tcW w:w="1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3,000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tcPr>
          <w:p>
            <w:pPr>
              <w:spacing w:after="0"/>
              <w:rPr>
                <w:sz w:val="20"/>
                <w:szCs w:val="20"/>
                <w:color w:val="auto"/>
              </w:rPr>
            </w:pPr>
            <w:r>
              <w:rPr>
                <w:rFonts w:ascii="Arial" w:cs="Arial" w:eastAsia="Arial" w:hAnsi="Arial"/>
                <w:sz w:val="16"/>
                <w:szCs w:val="16"/>
                <w:color w:val="auto"/>
              </w:rPr>
              <w:t>Percentage of Total</w:t>
            </w: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43%</w:t>
            </w:r>
          </w:p>
        </w:tc>
        <w:tc>
          <w:tcPr>
            <w:tcW w:w="600" w:type="dxa"/>
            <w:vAlign w:val="bottom"/>
            <w:gridSpan w:val="3"/>
          </w:tcPr>
          <w:p>
            <w:pPr>
              <w:jc w:val="right"/>
              <w:ind w:right="40"/>
              <w:spacing w:after="0"/>
              <w:rPr>
                <w:sz w:val="20"/>
                <w:szCs w:val="20"/>
                <w:color w:val="auto"/>
              </w:rPr>
            </w:pPr>
            <w:r>
              <w:rPr>
                <w:rFonts w:ascii="Arial" w:cs="Arial" w:eastAsia="Arial" w:hAnsi="Arial"/>
                <w:sz w:val="16"/>
                <w:szCs w:val="16"/>
                <w:color w:val="auto"/>
              </w:rPr>
              <w:t>8%</w:t>
            </w:r>
          </w:p>
        </w:tc>
        <w:tc>
          <w:tcPr>
            <w:tcW w:w="960" w:type="dxa"/>
            <w:vAlign w:val="bottom"/>
            <w:gridSpan w:val="5"/>
          </w:tcPr>
          <w:p>
            <w:pPr>
              <w:jc w:val="right"/>
              <w:ind w:right="160"/>
              <w:spacing w:after="0"/>
              <w:rPr>
                <w:sz w:val="20"/>
                <w:szCs w:val="20"/>
                <w:color w:val="auto"/>
              </w:rPr>
            </w:pPr>
            <w:r>
              <w:rPr>
                <w:rFonts w:ascii="Arial" w:cs="Arial" w:eastAsia="Arial" w:hAnsi="Arial"/>
                <w:sz w:val="16"/>
                <w:szCs w:val="16"/>
                <w:color w:val="auto"/>
              </w:rPr>
              <w:t>13%</w:t>
            </w:r>
          </w:p>
        </w:tc>
        <w:tc>
          <w:tcPr>
            <w:tcW w:w="840" w:type="dxa"/>
            <w:vAlign w:val="bottom"/>
            <w:gridSpan w:val="4"/>
          </w:tcPr>
          <w:p>
            <w:pPr>
              <w:jc w:val="right"/>
              <w:ind w:right="200"/>
              <w:spacing w:after="0"/>
              <w:rPr>
                <w:sz w:val="20"/>
                <w:szCs w:val="20"/>
                <w:color w:val="auto"/>
              </w:rPr>
            </w:pPr>
            <w:r>
              <w:rPr>
                <w:rFonts w:ascii="Arial" w:cs="Arial" w:eastAsia="Arial" w:hAnsi="Arial"/>
                <w:sz w:val="16"/>
                <w:szCs w:val="16"/>
                <w:color w:val="auto"/>
              </w:rPr>
              <w:t>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80" w:right="1139" w:firstLine="36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Limoneira/Olivelands Ranch</w:t>
      </w:r>
      <w:r>
        <w:rPr>
          <w:rFonts w:ascii="Arial" w:cs="Arial" w:eastAsia="Arial" w:hAnsi="Arial"/>
          <w:sz w:val="18"/>
          <w:szCs w:val="18"/>
          <w:color w:val="auto"/>
        </w:rPr>
        <w:t xml:space="preserve"> is the original site of our Company. Our headquarters, lemon packing operations and storage facilities are located on this property.</w:t>
      </w:r>
    </w:p>
    <w:p>
      <w:pPr>
        <w:spacing w:after="0" w:line="62" w:lineRule="exact"/>
        <w:rPr>
          <w:sz w:val="20"/>
          <w:szCs w:val="20"/>
          <w:color w:val="auto"/>
        </w:rPr>
      </w:pPr>
    </w:p>
    <w:p>
      <w:pPr>
        <w:ind w:left="1280" w:right="1119" w:firstLine="36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Teague McKevett Ranch</w:t>
      </w:r>
      <w:r>
        <w:rPr>
          <w:rFonts w:ascii="Arial" w:cs="Arial" w:eastAsia="Arial" w:hAnsi="Arial"/>
          <w:sz w:val="18"/>
          <w:szCs w:val="18"/>
          <w:color w:val="auto"/>
        </w:rPr>
        <w:t xml:space="preserve"> is the site of our real estate development project known as East Area I and described below under the “Real Estate Development Division” heading.</w:t>
      </w:r>
    </w:p>
    <w:p>
      <w:pPr>
        <w:spacing w:after="0" w:line="62" w:lineRule="exact"/>
        <w:rPr>
          <w:sz w:val="20"/>
          <w:szCs w:val="20"/>
          <w:color w:val="auto"/>
        </w:rPr>
      </w:pPr>
    </w:p>
    <w:p>
      <w:pPr>
        <w:ind w:left="1280" w:right="819" w:firstLine="360"/>
        <w:spacing w:after="0" w:line="291" w:lineRule="auto"/>
        <w:rPr>
          <w:sz w:val="20"/>
          <w:szCs w:val="20"/>
          <w:color w:val="auto"/>
        </w:rPr>
      </w:pPr>
      <w:r>
        <w:rPr>
          <w:rFonts w:ascii="Arial" w:cs="Arial" w:eastAsia="Arial" w:hAnsi="Arial"/>
          <w:sz w:val="16"/>
          <w:szCs w:val="16"/>
          <w:i w:val="1"/>
          <w:iCs w:val="1"/>
          <w:color w:val="auto"/>
        </w:rPr>
        <w:t xml:space="preserve">Windfall Farms — Creston, California. </w:t>
      </w:r>
      <w:r>
        <w:rPr>
          <w:rFonts w:ascii="Arial" w:cs="Arial" w:eastAsia="Arial" w:hAnsi="Arial"/>
          <w:sz w:val="16"/>
          <w:szCs w:val="16"/>
          <w:color w:val="auto"/>
        </w:rPr>
        <w:t>Windfall Farms is an approximately 700-acre former thoroughbred</w:t>
      </w:r>
      <w:r>
        <w:rPr>
          <w:rFonts w:ascii="Arial" w:cs="Arial" w:eastAsia="Arial" w:hAnsi="Arial"/>
          <w:sz w:val="16"/>
          <w:szCs w:val="16"/>
          <w:i w:val="1"/>
          <w:iCs w:val="1"/>
          <w:color w:val="auto"/>
        </w:rPr>
        <w:t xml:space="preserve"> </w:t>
      </w:r>
      <w:r>
        <w:rPr>
          <w:rFonts w:ascii="Arial" w:cs="Arial" w:eastAsia="Arial" w:hAnsi="Arial"/>
          <w:sz w:val="16"/>
          <w:szCs w:val="16"/>
          <w:color w:val="auto"/>
        </w:rPr>
        <w:t>breeding farm and equestrian facility located in Creston, California, near Paso Robles, California. During</w:t>
      </w:r>
    </w:p>
    <w:p>
      <w:pPr>
        <w:ind w:left="1280" w:right="719"/>
        <w:spacing w:after="0" w:line="252" w:lineRule="auto"/>
        <w:rPr>
          <w:sz w:val="20"/>
          <w:szCs w:val="20"/>
          <w:color w:val="auto"/>
        </w:rPr>
      </w:pPr>
      <w:r>
        <w:rPr>
          <w:rFonts w:ascii="Arial" w:cs="Arial" w:eastAsia="Arial" w:hAnsi="Arial"/>
          <w:sz w:val="18"/>
          <w:szCs w:val="18"/>
          <w:color w:val="auto"/>
        </w:rPr>
        <w:t>fiscal years 2014 and 2015, we planted approximately 200 acres of vineyards and an additional 100 acres in 2017. Vineyards are generally productive after four years. During the fourth quarter of 2017, the vineyards produced their second harvest from the 2014 planting and their first harvest from the 2015 planting, generating approximately 800 tons of grapes and $1.2 million of revenue. We expect to sell vineyard production by the ton to various wineries with current per ton prices of approximately $1,500 depending on the grape variety and other factors.</w:t>
      </w:r>
    </w:p>
    <w:p>
      <w:pPr>
        <w:spacing w:after="0" w:line="86" w:lineRule="exact"/>
        <w:rPr>
          <w:sz w:val="20"/>
          <w:szCs w:val="20"/>
          <w:color w:val="auto"/>
        </w:rPr>
      </w:pPr>
    </w:p>
    <w:p>
      <w:pPr>
        <w:ind w:left="1280" w:right="779" w:firstLine="360"/>
        <w:spacing w:after="0" w:line="308" w:lineRule="auto"/>
        <w:rPr>
          <w:sz w:val="20"/>
          <w:szCs w:val="20"/>
          <w:color w:val="auto"/>
        </w:rPr>
      </w:pPr>
      <w:r>
        <w:rPr>
          <w:rFonts w:ascii="Arial" w:cs="Arial" w:eastAsia="Arial" w:hAnsi="Arial"/>
          <w:sz w:val="17"/>
          <w:szCs w:val="17"/>
          <w:i w:val="1"/>
          <w:iCs w:val="1"/>
          <w:color w:val="auto"/>
        </w:rPr>
        <w:t xml:space="preserve">Limco Del Mar </w:t>
      </w:r>
      <w:r>
        <w:rPr>
          <w:rFonts w:ascii="Arial" w:cs="Arial" w:eastAsia="Arial" w:hAnsi="Arial"/>
          <w:sz w:val="17"/>
          <w:szCs w:val="17"/>
          <w:color w:val="auto"/>
        </w:rPr>
        <w:t>is owned by a limited partnership of which we are the general partner and own an interest of</w:t>
      </w:r>
      <w:r>
        <w:rPr>
          <w:rFonts w:ascii="Arial" w:cs="Arial" w:eastAsia="Arial" w:hAnsi="Arial"/>
          <w:sz w:val="17"/>
          <w:szCs w:val="17"/>
          <w:i w:val="1"/>
          <w:iCs w:val="1"/>
          <w:color w:val="auto"/>
        </w:rPr>
        <w:t xml:space="preserve"> </w:t>
      </w:r>
      <w:r>
        <w:rPr>
          <w:rFonts w:ascii="Arial" w:cs="Arial" w:eastAsia="Arial" w:hAnsi="Arial"/>
          <w:sz w:val="17"/>
          <w:szCs w:val="17"/>
          <w:color w:val="auto"/>
        </w:rPr>
        <w:t>28.1%, which is comprised of a 1.3% general partner interest and a 26.8% limited partner interest.</w:t>
      </w:r>
    </w:p>
    <w:p>
      <w:pPr>
        <w:spacing w:after="0" w:line="38" w:lineRule="exact"/>
        <w:rPr>
          <w:sz w:val="20"/>
          <w:szCs w:val="20"/>
          <w:color w:val="auto"/>
        </w:rPr>
      </w:pPr>
    </w:p>
    <w:p>
      <w:pPr>
        <w:ind w:left="1280" w:right="1019" w:firstLine="360"/>
        <w:spacing w:after="0" w:line="286" w:lineRule="auto"/>
        <w:rPr>
          <w:sz w:val="20"/>
          <w:szCs w:val="20"/>
          <w:color w:val="auto"/>
        </w:rPr>
      </w:pPr>
      <w:r>
        <w:rPr>
          <w:rFonts w:ascii="Arial" w:cs="Arial" w:eastAsia="Arial" w:hAnsi="Arial"/>
          <w:sz w:val="17"/>
          <w:szCs w:val="17"/>
          <w:color w:val="auto"/>
        </w:rPr>
        <w:t xml:space="preserve">We manage the </w:t>
      </w:r>
      <w:r>
        <w:rPr>
          <w:rFonts w:ascii="Arial" w:cs="Arial" w:eastAsia="Arial" w:hAnsi="Arial"/>
          <w:sz w:val="17"/>
          <w:szCs w:val="17"/>
          <w:i w:val="1"/>
          <w:iCs w:val="1"/>
          <w:color w:val="auto"/>
        </w:rPr>
        <w:t>Cadiz Ranches</w:t>
      </w:r>
      <w:r>
        <w:rPr>
          <w:rFonts w:ascii="Arial" w:cs="Arial" w:eastAsia="Arial" w:hAnsi="Arial"/>
          <w:sz w:val="17"/>
          <w:szCs w:val="17"/>
          <w:color w:val="auto"/>
        </w:rPr>
        <w:t xml:space="preserve"> under operating lease arrangements. We purchased substantially all of the </w:t>
      </w:r>
      <w:r>
        <w:rPr>
          <w:rFonts w:ascii="Arial" w:cs="Arial" w:eastAsia="Arial" w:hAnsi="Arial"/>
          <w:sz w:val="17"/>
          <w:szCs w:val="17"/>
          <w:i w:val="1"/>
          <w:iCs w:val="1"/>
          <w:color w:val="auto"/>
        </w:rPr>
        <w:t xml:space="preserve">Sheldon Ranches </w:t>
      </w:r>
      <w:r>
        <w:rPr>
          <w:rFonts w:ascii="Arial" w:cs="Arial" w:eastAsia="Arial" w:hAnsi="Arial"/>
          <w:sz w:val="17"/>
          <w:szCs w:val="17"/>
          <w:color w:val="auto"/>
        </w:rPr>
        <w:t>property in two separate transactions, which closed in September and December 2015.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previously managed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under operating lease arrangements.</w:t>
      </w:r>
    </w:p>
    <w:p>
      <w:pPr>
        <w:spacing w:after="0" w:line="57" w:lineRule="exact"/>
        <w:rPr>
          <w:sz w:val="20"/>
          <w:szCs w:val="20"/>
          <w:color w:val="auto"/>
        </w:rPr>
      </w:pPr>
    </w:p>
    <w:p>
      <w:pPr>
        <w:ind w:left="1280" w:right="739" w:firstLine="360"/>
        <w:spacing w:after="0" w:line="277" w:lineRule="auto"/>
        <w:rPr>
          <w:sz w:val="20"/>
          <w:szCs w:val="20"/>
          <w:color w:val="auto"/>
        </w:rPr>
      </w:pPr>
      <w:r>
        <w:rPr>
          <w:rFonts w:ascii="Arial" w:cs="Arial" w:eastAsia="Arial" w:hAnsi="Arial"/>
          <w:sz w:val="18"/>
          <w:szCs w:val="18"/>
          <w:color w:val="auto"/>
        </w:rPr>
        <w:t>The other agribusiness land in the table above includes corporate and lemon packing facilities, land leased to other agricultural businesses, rental units, roads, creeks, hillsides and other open land.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79" w:firstLine="360"/>
        <w:spacing w:after="0" w:line="289" w:lineRule="auto"/>
        <w:rPr>
          <w:sz w:val="20"/>
          <w:szCs w:val="20"/>
          <w:color w:val="auto"/>
        </w:rPr>
      </w:pPr>
      <w:r>
        <w:rPr>
          <w:rFonts w:ascii="Arial" w:cs="Arial" w:eastAsia="Arial" w:hAnsi="Arial"/>
          <w:sz w:val="16"/>
          <w:szCs w:val="16"/>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years after planting. Currently, we have 1,600 acres of lemons, 100 acres of oranges and 500 acres of specialty citrus and other crops that are under development. Orchards may continue producing fruit longer than their depreciable lives. The following table presents the number of acres planted by fruit variety and approximate age of our orchards:</w:t>
      </w:r>
    </w:p>
    <w:p>
      <w:pPr>
        <w:spacing w:after="0" w:line="77"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Age of Orchards</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County, State, Fruit Variety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0 – 4 Years</w:t>
            </w: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rPr>
              <w:t>5 – 25 Years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Over 25 Years</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29"/>
        </w:trPr>
        <w:tc>
          <w:tcPr>
            <w:tcW w:w="20" w:type="dxa"/>
            <w:vAlign w:val="bottom"/>
          </w:tcPr>
          <w:p>
            <w:pPr>
              <w:spacing w:after="0"/>
              <w:rPr>
                <w:sz w:val="19"/>
                <w:szCs w:val="19"/>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Ventura, CA</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1,700</w:t>
            </w:r>
          </w:p>
        </w:tc>
        <w:tc>
          <w:tcPr>
            <w:tcW w:w="3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Avocados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Ventura, CA</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2,600</w:t>
            </w:r>
          </w:p>
        </w:tc>
        <w:tc>
          <w:tcPr>
            <w:tcW w:w="30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Tulare, CA</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3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Oranges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1,400</w:t>
            </w:r>
          </w:p>
        </w:tc>
        <w:tc>
          <w:tcPr>
            <w:tcW w:w="30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Specialty citrus and other</w:t>
            </w:r>
          </w:p>
        </w:tc>
        <w:tc>
          <w:tcPr>
            <w:tcW w:w="420" w:type="dxa"/>
            <w:vAlign w:val="bottom"/>
            <w:tcBorders>
              <w:bottom w:val="single" w:sz="8" w:color="CCEEFF"/>
            </w:tcBorders>
            <w:gridSpan w:val="3"/>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Borders>
              <w:bottom w:val="single" w:sz="8" w:color="CCEEFF"/>
            </w:tcBorders>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Tulare, CA</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3,300</w:t>
            </w:r>
          </w:p>
        </w:tc>
        <w:tc>
          <w:tcPr>
            <w:tcW w:w="300" w:type="dxa"/>
            <w:vAlign w:val="bottom"/>
            <w:shd w:val="clear" w:color="auto" w:fill="CCEEFF"/>
          </w:tcPr>
          <w:p>
            <w:pPr>
              <w:spacing w:after="0"/>
              <w:rPr>
                <w:sz w:val="19"/>
                <w:szCs w:val="19"/>
                <w:color w:val="auto"/>
              </w:rPr>
            </w:pP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San Bernardino, CA – 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San Luis Obispo, CA – Wine Grapes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21"/>
                <w:szCs w:val="21"/>
                <w:color w:val="auto"/>
              </w:rPr>
            </w:pP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Yuma, AZ – 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3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La Serena, Chile</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Lemons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Oranges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rPr>
              <w:t>Total La Serena, Chile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8,200</w:t>
            </w:r>
          </w:p>
        </w:tc>
        <w:tc>
          <w:tcPr>
            <w:tcW w:w="3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r>
        <w:trPr>
          <w:trHeight w:val="264"/>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Total</w:t>
            </w: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2"/>
                <w:szCs w:val="2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2"/>
                <w:szCs w:val="2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r>
      <w:tr>
        <w:trPr>
          <w:trHeight w:val="318"/>
        </w:trPr>
        <w:tc>
          <w:tcPr>
            <w:tcW w:w="20" w:type="dxa"/>
            <w:vAlign w:val="bottom"/>
          </w:tcPr>
          <w:p>
            <w:pPr>
              <w:spacing w:after="0"/>
              <w:rPr>
                <w:sz w:val="24"/>
                <w:szCs w:val="24"/>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Summary by Crop</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Lemons</w:t>
            </w:r>
          </w:p>
        </w:tc>
        <w:tc>
          <w:tcPr>
            <w:tcW w:w="80" w:type="dxa"/>
            <w:vAlign w:val="bottom"/>
            <w:tcBorders>
              <w:top w:val="single" w:sz="8" w:color="CCEEFF"/>
            </w:tcBorders>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4,800</w:t>
            </w:r>
          </w:p>
        </w:tc>
        <w:tc>
          <w:tcPr>
            <w:tcW w:w="3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Avocados</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Oranges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30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citrus and other</w:t>
            </w:r>
          </w:p>
        </w:tc>
        <w:tc>
          <w:tcPr>
            <w:tcW w:w="420" w:type="dxa"/>
            <w:vAlign w:val="bottom"/>
            <w:tcBorders>
              <w:bottom w:val="single" w:sz="8" w:color="CCEEFF"/>
            </w:tcBorders>
            <w:gridSpan w:val="3"/>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50"/>
        </w:trPr>
        <w:tc>
          <w:tcPr>
            <w:tcW w:w="3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2,200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8,200</w:t>
            </w:r>
          </w:p>
        </w:tc>
        <w:tc>
          <w:tcPr>
            <w:tcW w:w="3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Lemon Packing and Sales</w:t>
      </w:r>
    </w:p>
    <w:p>
      <w:pPr>
        <w:spacing w:after="0" w:line="104" w:lineRule="exact"/>
        <w:rPr>
          <w:sz w:val="20"/>
          <w:szCs w:val="20"/>
          <w:color w:val="auto"/>
        </w:rPr>
      </w:pPr>
    </w:p>
    <w:p>
      <w:pPr>
        <w:ind w:left="1280" w:right="739" w:firstLine="360"/>
        <w:spacing w:after="0" w:line="255" w:lineRule="auto"/>
        <w:rPr>
          <w:sz w:val="20"/>
          <w:szCs w:val="20"/>
          <w:color w:val="auto"/>
        </w:rPr>
      </w:pPr>
      <w:r>
        <w:rPr>
          <w:rFonts w:ascii="Arial" w:cs="Arial" w:eastAsia="Arial" w:hAnsi="Arial"/>
          <w:sz w:val="18"/>
          <w:szCs w:val="18"/>
          <w:color w:val="auto"/>
        </w:rPr>
        <w:t>We are the oldest continuous lemon packing operation in North America. We pack and sell lemons grown by us as well as lemons grown by others, which operations are included in our financial statements under the lemon packing segment. Lemons delivered to our packinghouses in Santa Paula,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85" w:lineRule="exact"/>
        <w:rPr>
          <w:sz w:val="20"/>
          <w:szCs w:val="20"/>
          <w:color w:val="auto"/>
        </w:rPr>
      </w:pPr>
    </w:p>
    <w:p>
      <w:pPr>
        <w:ind w:left="1280" w:right="899" w:firstLine="360"/>
        <w:spacing w:after="0" w:line="312" w:lineRule="auto"/>
        <w:rPr>
          <w:sz w:val="20"/>
          <w:szCs w:val="20"/>
          <w:color w:val="auto"/>
        </w:rPr>
      </w:pPr>
      <w:r>
        <w:rPr>
          <w:rFonts w:ascii="Arial" w:cs="Arial" w:eastAsia="Arial" w:hAnsi="Arial"/>
          <w:sz w:val="16"/>
          <w:szCs w:val="16"/>
          <w:color w:val="auto"/>
        </w:rPr>
        <w:t>A significant portion of the costs related to our lemon packing operation is fixed. Our strategy for growing the profitability of our lemon packing operations calls for optimizing the percentage of a crop that goes to the fresh market, or fresh utilization, and procuring a larger percentage of the California and Arizona lemon crop.</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302" w:lineRule="auto"/>
        <w:rPr>
          <w:sz w:val="20"/>
          <w:szCs w:val="20"/>
          <w:color w:val="auto"/>
        </w:rPr>
      </w:pPr>
      <w:r>
        <w:rPr>
          <w:rFonts w:ascii="Arial" w:cs="Arial" w:eastAsia="Arial" w:hAnsi="Arial"/>
          <w:sz w:val="16"/>
          <w:szCs w:val="16"/>
          <w:color w:val="auto"/>
        </w:rPr>
        <w:t>We invest considerable time and research into refining and improving our lemon packing through innovation and are continuously in search of new techniques to refine how premium lemons are delivered to our consumers. In the second quarter of fiscal year 2016, our new lemon packing facility became operational, which is expected to double our lemon packing capacity and has increased the efficiency and financial results of these operations.</w:t>
      </w:r>
    </w:p>
    <w:p>
      <w:pPr>
        <w:spacing w:after="0" w:line="13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Rental Operations Division</w:t>
      </w:r>
    </w:p>
    <w:p>
      <w:pPr>
        <w:spacing w:after="0" w:line="108" w:lineRule="exact"/>
        <w:rPr>
          <w:sz w:val="20"/>
          <w:szCs w:val="20"/>
          <w:color w:val="auto"/>
        </w:rPr>
      </w:pPr>
    </w:p>
    <w:p>
      <w:pPr>
        <w:ind w:left="1280" w:right="879" w:firstLine="360"/>
        <w:spacing w:after="0" w:line="259" w:lineRule="auto"/>
        <w:rPr>
          <w:sz w:val="20"/>
          <w:szCs w:val="20"/>
          <w:color w:val="auto"/>
        </w:rPr>
      </w:pPr>
      <w:r>
        <w:rPr>
          <w:rFonts w:ascii="Arial" w:cs="Arial" w:eastAsia="Arial" w:hAnsi="Arial"/>
          <w:sz w:val="18"/>
          <w:szCs w:val="18"/>
          <w:color w:val="auto"/>
        </w:rPr>
        <w:t>Our rental operations division is provided for in our financial statements as its own reportable segment and includes our residential and commercial rentals, leased land operations and organic recycling. The rental operations division represented approximately 4%, 5% and 5% of our fiscal year 2017, 2016 and 2015 consolidated revenues, respectively.</w:t>
      </w:r>
    </w:p>
    <w:p>
      <w:pPr>
        <w:spacing w:after="0" w:line="173"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Residential</w:t>
      </w:r>
    </w:p>
    <w:p>
      <w:pPr>
        <w:spacing w:after="0" w:line="104" w:lineRule="exact"/>
        <w:rPr>
          <w:sz w:val="20"/>
          <w:szCs w:val="20"/>
          <w:color w:val="auto"/>
        </w:rPr>
      </w:pPr>
    </w:p>
    <w:p>
      <w:pPr>
        <w:ind w:left="1280" w:right="759" w:firstLine="360"/>
        <w:spacing w:after="0" w:line="293" w:lineRule="auto"/>
        <w:rPr>
          <w:sz w:val="20"/>
          <w:szCs w:val="20"/>
          <w:color w:val="auto"/>
        </w:rPr>
      </w:pPr>
      <w:r>
        <w:rPr>
          <w:rFonts w:ascii="Arial" w:cs="Arial" w:eastAsia="Arial" w:hAnsi="Arial"/>
          <w:sz w:val="16"/>
          <w:szCs w:val="16"/>
          <w:color w:val="auto"/>
        </w:rPr>
        <w:t>We own and maintain approximately 245 residential housing units located in Ventura and Tulare Counties in California that we lease to employees, former employees and non-employees. The December 2017 Southern California wildfires destroyed 14 mobile homes, which we estimate to cost approximately $60,000 per unit to replace. In fiscal year 2015, we added 65 new agriculture workforce housing units in Santa Paula, California. These properties generate reliable cash flows which we use to partially fund the operating costs of our business and provide affordable housing for many of our employees and the community.</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Commercial</w:t>
      </w:r>
    </w:p>
    <w:p>
      <w:pPr>
        <w:spacing w:after="0" w:line="117" w:lineRule="exact"/>
        <w:rPr>
          <w:sz w:val="20"/>
          <w:szCs w:val="20"/>
          <w:color w:val="auto"/>
        </w:rPr>
      </w:pPr>
    </w:p>
    <w:p>
      <w:pPr>
        <w:jc w:val="both"/>
        <w:ind w:left="1280" w:right="759" w:firstLine="360"/>
        <w:spacing w:after="0" w:line="286" w:lineRule="auto"/>
        <w:rPr>
          <w:sz w:val="20"/>
          <w:szCs w:val="20"/>
          <w:color w:val="auto"/>
        </w:rPr>
      </w:pPr>
      <w:r>
        <w:rPr>
          <w:rFonts w:ascii="Arial" w:cs="Arial" w:eastAsia="Arial" w:hAnsi="Arial"/>
          <w:sz w:val="17"/>
          <w:szCs w:val="17"/>
          <w:color w:val="auto"/>
        </w:rPr>
        <w:t>We own several commercial office buildings and a multi-use facility consisting of a retail convenience store, gas station, car wash, and quick-serve restaurant. As with our residential housing units, these properties generate reliable cash flows which we use to partially fund the operating costs of our business.</w:t>
      </w:r>
    </w:p>
    <w:p>
      <w:pPr>
        <w:spacing w:after="0" w:line="152"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Leased Land</w:t>
      </w:r>
    </w:p>
    <w:p>
      <w:pPr>
        <w:spacing w:after="0" w:line="104" w:lineRule="exact"/>
        <w:rPr>
          <w:sz w:val="20"/>
          <w:szCs w:val="20"/>
          <w:color w:val="auto"/>
        </w:rPr>
      </w:pPr>
    </w:p>
    <w:p>
      <w:pPr>
        <w:ind w:left="1280" w:right="859" w:firstLine="360"/>
        <w:spacing w:after="0" w:line="264" w:lineRule="auto"/>
        <w:rPr>
          <w:sz w:val="20"/>
          <w:szCs w:val="20"/>
          <w:color w:val="auto"/>
        </w:rPr>
      </w:pPr>
      <w:r>
        <w:rPr>
          <w:rFonts w:ascii="Arial" w:cs="Arial" w:eastAsia="Arial" w:hAnsi="Arial"/>
          <w:sz w:val="18"/>
          <w:szCs w:val="18"/>
          <w:color w:val="auto"/>
        </w:rPr>
        <w:t>As of October 31, 2017, we leased approximately 500 acres of our land to third-party agricultural tenants who grow a variety of row crops such as strawberries, raspberries, celery and cabbage. Our leased land business provides us with a profitable method to diversify the use of our land.</w:t>
      </w:r>
    </w:p>
    <w:p>
      <w:pPr>
        <w:spacing w:after="0" w:line="168"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Organic Recycling</w:t>
      </w:r>
    </w:p>
    <w:p>
      <w:pPr>
        <w:spacing w:after="0" w:line="104" w:lineRule="exact"/>
        <w:rPr>
          <w:sz w:val="20"/>
          <w:szCs w:val="20"/>
          <w:color w:val="auto"/>
        </w:rPr>
      </w:pPr>
    </w:p>
    <w:p>
      <w:pPr>
        <w:ind w:left="1280" w:right="719" w:firstLine="360"/>
        <w:spacing w:after="0" w:line="271" w:lineRule="auto"/>
        <w:rPr>
          <w:sz w:val="20"/>
          <w:szCs w:val="20"/>
          <w:color w:val="auto"/>
        </w:rPr>
      </w:pPr>
      <w:r>
        <w:rPr>
          <w:rFonts w:ascii="Arial" w:cs="Arial" w:eastAsia="Arial" w:hAnsi="Arial"/>
          <w:sz w:val="17"/>
          <w:szCs w:val="17"/>
          <w:color w:val="auto"/>
        </w:rPr>
        <w:t>With the help of one of our tenants, Agromin, Inc. (“Agromin”), a processor of premium soil products and a green waste recycler located in Oxnard, California, we have implemented an organic recycling program. Agromin provides green waste recycling for cities in Santa Barbara, Los Angeles and Ventura Counties. We worked with Agromin to develop an organic recycling facility on our land in Ventura County, to receive green materials (lawn clipping, leaves, bark and other plant materials) and convert such material into mulch that we spread throughout our agricultural properties to help curb erosion, improve water efficiency, reduce weeds and moderate soil temperatures. We receive a percentage of the gate fees Agromin collects from regional waste haulers and enjoy the benefits of the organic material.</w:t>
      </w:r>
    </w:p>
    <w:p>
      <w:pPr>
        <w:spacing w:after="0" w:line="161"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Real Estate Development Division</w:t>
      </w:r>
    </w:p>
    <w:p>
      <w:pPr>
        <w:spacing w:after="0" w:line="108" w:lineRule="exact"/>
        <w:rPr>
          <w:sz w:val="20"/>
          <w:szCs w:val="20"/>
          <w:color w:val="auto"/>
        </w:rPr>
      </w:pPr>
    </w:p>
    <w:p>
      <w:pPr>
        <w:ind w:left="1280" w:right="1059" w:firstLine="360"/>
        <w:spacing w:after="0" w:line="259" w:lineRule="auto"/>
        <w:rPr>
          <w:sz w:val="20"/>
          <w:szCs w:val="20"/>
          <w:color w:val="auto"/>
        </w:rPr>
      </w:pPr>
      <w:r>
        <w:rPr>
          <w:rFonts w:ascii="Arial" w:cs="Arial" w:eastAsia="Arial" w:hAnsi="Arial"/>
          <w:sz w:val="18"/>
          <w:szCs w:val="18"/>
          <w:color w:val="auto"/>
        </w:rPr>
        <w:t>Our real estate development division is provided for in our financial statements as its own reportable segment and includes our real estate development operations. The real estate development division had no significant revenues in fiscal years 2017 and 2016 and represented 1% of consolidated revenues in fiscal year 2015.</w:t>
      </w:r>
    </w:p>
    <w:p>
      <w:pPr>
        <w:spacing w:after="0" w:line="79"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1,700 units in various stages of planning and development. The following is a summary of each of the strategic agricultural and development real estate investment properties in which we own an interest: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90" w:lineRule="auto"/>
        <w:rPr>
          <w:sz w:val="20"/>
          <w:szCs w:val="20"/>
          <w:color w:val="auto"/>
        </w:rPr>
      </w:pPr>
      <w:r>
        <w:rPr>
          <w:rFonts w:ascii="Arial" w:cs="Arial" w:eastAsia="Arial" w:hAnsi="Arial"/>
          <w:sz w:val="16"/>
          <w:szCs w:val="16"/>
          <w:i w:val="1"/>
          <w:iCs w:val="1"/>
          <w:color w:val="auto"/>
        </w:rPr>
        <w:t xml:space="preserve">East Area I — Santa Paula, California. </w:t>
      </w:r>
      <w:r>
        <w:rPr>
          <w:rFonts w:ascii="Arial" w:cs="Arial" w:eastAsia="Arial" w:hAnsi="Arial"/>
          <w:sz w:val="16"/>
          <w:szCs w:val="16"/>
          <w:color w:val="auto"/>
        </w:rPr>
        <w:t>East Area I consists of 523 acres that we have used as agricultural</w:t>
      </w:r>
      <w:r>
        <w:rPr>
          <w:rFonts w:ascii="Arial" w:cs="Arial" w:eastAsia="Arial" w:hAnsi="Arial"/>
          <w:sz w:val="16"/>
          <w:szCs w:val="16"/>
          <w:i w:val="1"/>
          <w:iCs w:val="1"/>
          <w:color w:val="auto"/>
        </w:rPr>
        <w:t xml:space="preserve"> </w:t>
      </w:r>
      <w:r>
        <w:rPr>
          <w:rFonts w:ascii="Arial" w:cs="Arial" w:eastAsia="Arial" w:hAnsi="Arial"/>
          <w:sz w:val="16"/>
          <w:szCs w:val="16"/>
          <w:color w:val="auto"/>
        </w:rPr>
        <w:t>land and is located in Santa Paula approximately ten miles from the City of Ventura and the Pacific Ocean. This property is also known as our Teague McKevett Ranch. We believe East Area I is an ideal location for a master planned community of commercial and residential properties designed to satisfy expected demand in a region that we believe will have few other developments in this coming decade. In 2008, after we completed a process of community planning and environmental review, the citizens of Santa Paula voted to approve the annexation of East Area I into Santa Paula. This vote was a requirement of the Save Open-Space and Agricultural Resources (“SOAR”), ordinance that mandates a public vote of the City of Santa Paula for land use conversion.</w:t>
      </w:r>
    </w:p>
    <w:p>
      <w:pPr>
        <w:spacing w:after="0" w:line="58" w:lineRule="exact"/>
        <w:rPr>
          <w:sz w:val="20"/>
          <w:szCs w:val="20"/>
          <w:color w:val="auto"/>
        </w:rPr>
      </w:pPr>
    </w:p>
    <w:p>
      <w:pPr>
        <w:ind w:left="1280" w:right="759" w:firstLine="360"/>
        <w:spacing w:after="0" w:line="287" w:lineRule="auto"/>
        <w:rPr>
          <w:sz w:val="20"/>
          <w:szCs w:val="20"/>
          <w:color w:val="auto"/>
        </w:rPr>
      </w:pPr>
      <w:r>
        <w:rPr>
          <w:rFonts w:ascii="Arial" w:cs="Arial" w:eastAsia="Arial" w:hAnsi="Arial"/>
          <w:sz w:val="16"/>
          <w:szCs w:val="16"/>
          <w:color w:val="auto"/>
        </w:rPr>
        <w:t>On November 10, 2015, we entered into a joint venture with The Lewis Group of Companies (“Lewis”) for the residential development of our East Area I real estate development project. To consummate the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$100.0 million from the Joint Venture over the estimated 7 to 10-year life of the project. We also entered into a lease agreement with the Joint Venture to lease back a portion of the contributed property, which allows us to continue farming the property during the phased build-out of the project. We are planning approximately 632 units in Phase 1 of the project. Grading began in November 2017 and we anticipate Phase 1 site improvements during the winter of this year. The lot sale process with home builders has begun and initial closings of lots sales are anticipated to begin in the first quarter of fiscal year 2019.</w:t>
      </w:r>
    </w:p>
    <w:p>
      <w:pPr>
        <w:spacing w:after="0" w:line="65" w:lineRule="exact"/>
        <w:rPr>
          <w:sz w:val="20"/>
          <w:szCs w:val="20"/>
          <w:color w:val="auto"/>
        </w:rPr>
      </w:pPr>
    </w:p>
    <w:p>
      <w:pPr>
        <w:ind w:left="1280" w:right="919" w:firstLine="360"/>
        <w:spacing w:after="0" w:line="293" w:lineRule="auto"/>
        <w:rPr>
          <w:sz w:val="20"/>
          <w:szCs w:val="20"/>
          <w:color w:val="auto"/>
        </w:rPr>
      </w:pPr>
      <w:r>
        <w:rPr>
          <w:rFonts w:ascii="Arial" w:cs="Arial" w:eastAsia="Arial" w:hAnsi="Arial"/>
          <w:sz w:val="16"/>
          <w:szCs w:val="16"/>
          <w:i w:val="1"/>
          <w:iCs w:val="1"/>
          <w:color w:val="auto"/>
        </w:rPr>
        <w:t xml:space="preserve">East Area II — Santa Paula, California. </w:t>
      </w:r>
      <w:r>
        <w:rPr>
          <w:rFonts w:ascii="Arial" w:cs="Arial" w:eastAsia="Arial" w:hAnsi="Arial"/>
          <w:sz w:val="16"/>
          <w:szCs w:val="16"/>
          <w:color w:val="auto"/>
        </w:rPr>
        <w:t>We and our design associates are in the process of formulating</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East Area II, a parcel of approximately 30 acres adjacent to East Area I, also a part of our Teague McKevett Ranch, that we believe is suited to commercial and/or industrial development along the south side of California Highway 126, a heavily traveled corridor that connects Highway 101 at Ventura on the west with Interstate 5 at Santa Clarita on the east. When completed, we expect that the development will contribute to the economic vitality of the region and allow residents to work and shop within close proximity to their homes.</w:t>
      </w:r>
    </w:p>
    <w:p>
      <w:pPr>
        <w:spacing w:after="0" w:line="57"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The successful development of East Area II will be partly dependent on the success of East Area I described above. We expect that East Area II could accommodate large retailers, a medium or large employer, a complex of mixed business and retail, or some combination of the foregoing. We are actively cultivating prospects to buy land in or become future tenants in East Area II and expect that development will closely follow the build-out of East Area I. In February 2013, we entered into an option agreement for the purchase of a seven-acre parcel adjacent to our East Area II commercial real estate development project. In February 2018, we exercised our option and purchased the property for $3,145,000. This property is located along the south side of California Highway 126, directly across from Harvest at Limoneira, and is suited for commercial and/or industrial development. This property provides essential freeway access to the project and we expect that development of East Area II will closely follow the build-out of Harvest at Limoneira.</w:t>
      </w:r>
    </w:p>
    <w:p>
      <w:pPr>
        <w:spacing w:after="0" w:line="70" w:lineRule="exact"/>
        <w:rPr>
          <w:sz w:val="20"/>
          <w:szCs w:val="20"/>
          <w:color w:val="auto"/>
        </w:rPr>
      </w:pPr>
    </w:p>
    <w:p>
      <w:pPr>
        <w:ind w:left="1280" w:right="899" w:firstLine="360"/>
        <w:spacing w:after="0" w:line="259" w:lineRule="auto"/>
        <w:rPr>
          <w:sz w:val="20"/>
          <w:szCs w:val="20"/>
          <w:color w:val="auto"/>
        </w:rPr>
      </w:pPr>
      <w:r>
        <w:rPr>
          <w:rFonts w:ascii="Arial" w:cs="Arial" w:eastAsia="Arial" w:hAnsi="Arial"/>
          <w:sz w:val="18"/>
          <w:szCs w:val="18"/>
          <w:i w:val="1"/>
          <w:iCs w:val="1"/>
          <w:color w:val="auto"/>
        </w:rPr>
        <w:t xml:space="preserve">Santa Maria — Santa Barbara County, California. </w:t>
      </w:r>
      <w:r>
        <w:rPr>
          <w:rFonts w:ascii="Arial" w:cs="Arial" w:eastAsia="Arial" w:hAnsi="Arial"/>
          <w:sz w:val="18"/>
          <w:szCs w:val="18"/>
          <w:color w:val="auto"/>
        </w:rPr>
        <w:t>As of October 31, 2017, we were invested in three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development parcels in Santa Barbara County, California, a county that, in our experience, entitles very few parcels. Located in Santa Maria, each of these parcels offers a residential and/or commercial development opportunity. A brief description of each parcel follows:</w:t>
      </w:r>
    </w:p>
    <w:p>
      <w:pPr>
        <w:spacing w:after="0" w:line="106" w:lineRule="exact"/>
        <w:rPr>
          <w:sz w:val="20"/>
          <w:szCs w:val="20"/>
          <w:color w:val="auto"/>
        </w:rPr>
      </w:pPr>
    </w:p>
    <w:p>
      <w:pPr>
        <w:ind w:left="2000" w:right="93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Centennial Square has been approved for 138 apartments on 6 acres and is close to medical facilities, shopping and transportation. We sold Centennial Square in December 2017.</w:t>
      </w:r>
    </w:p>
    <w:p>
      <w:pPr>
        <w:spacing w:after="0" w:line="65" w:lineRule="exact"/>
        <w:rPr>
          <w:rFonts w:ascii="Arial" w:cs="Arial" w:eastAsia="Arial" w:hAnsi="Arial"/>
          <w:sz w:val="17"/>
          <w:szCs w:val="17"/>
          <w:color w:val="auto"/>
        </w:rPr>
      </w:pPr>
    </w:p>
    <w:p>
      <w:pPr>
        <w:jc w:val="both"/>
        <w:ind w:left="2000" w:right="1079" w:hanging="354"/>
        <w:spacing w:after="0" w:line="264"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Terraces at Pacific Crest is an approximately 8-acre parcel approved for 112 attached-housing units. In December 2017, we entered an agreement to sell our Terraces at Pacific Crest property for $3.5 million.</w:t>
      </w:r>
    </w:p>
    <w:p>
      <w:pPr>
        <w:spacing w:after="0" w:line="113" w:lineRule="exact"/>
        <w:rPr>
          <w:rFonts w:ascii="Arial" w:cs="Arial" w:eastAsia="Arial" w:hAnsi="Arial"/>
          <w:sz w:val="18"/>
          <w:szCs w:val="18"/>
          <w:color w:val="auto"/>
        </w:rPr>
      </w:pPr>
    </w:p>
    <w:p>
      <w:pPr>
        <w:ind w:left="2000" w:right="799" w:hanging="354"/>
        <w:spacing w:after="0" w:line="264"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Sevilla is approved for 69 single-family homes adjacent to shopping, transportation, schools, parks and medical facilities, with a parcel of approximately 3 acres zoned for commercial use. We sold the commercial portion of Sevilla in November 2017.</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Acquisition Activities</w:t>
      </w:r>
    </w:p>
    <w:p>
      <w:pPr>
        <w:spacing w:after="0" w:line="108" w:lineRule="exact"/>
        <w:rPr>
          <w:sz w:val="20"/>
          <w:szCs w:val="20"/>
          <w:color w:val="auto"/>
        </w:rPr>
      </w:pPr>
    </w:p>
    <w:p>
      <w:pPr>
        <w:ind w:left="1280" w:right="759" w:firstLine="360"/>
        <w:spacing w:after="0" w:line="287" w:lineRule="auto"/>
        <w:rPr>
          <w:sz w:val="20"/>
          <w:szCs w:val="20"/>
          <w:color w:val="auto"/>
        </w:rPr>
      </w:pPr>
      <w:r>
        <w:rPr>
          <w:rFonts w:ascii="Arial" w:cs="Arial" w:eastAsia="Arial" w:hAnsi="Arial"/>
          <w:sz w:val="16"/>
          <w:szCs w:val="16"/>
          <w:color w:val="auto"/>
        </w:rPr>
        <w:t>On June 18, 2018, the Company entered into an agreement, in the form of a binding memorandum of understanding, to acquire a ranch and related assets of Fruticola San Pablo S.A. (“San Pablo”) in La Serena, Chile, for $13 million, subject to satisfactory due diligence to be further conducted by the Company (the “San Pablo Acquisition”). The San Pablo ranch consists of 3,317 total acres on two parcels, including 247 acres producing lemons, 61 acres producing oranges, the opportunity to immediately plant 120 acres for lemon production, as well as the potential for approximately 500 acres of avocado production. It is expected that San Pablo’s results of operations will be included in the Company’s consolidated results of operations from the date of closing. The Company expects to invest an additional $2.8 million in fiscal years 2018 and 2019 for new citrus plantings and enhanced water infrastucture to expand citrus production to 650,000 cartons of lemons and 85,000 cartons of oranges annually upon maturity of the San Pablo parcel at peak production. The San Pablo Acquisition is expected to close in July 2018. The Company expects the San Pablo Acquisition to add $0.02 to $0.03 in earnings per diluted share in fiscal year 2018, and $0.06 to $0.08 in fiscal year 2019.</w:t>
      </w:r>
    </w:p>
    <w:p>
      <w:pPr>
        <w:spacing w:after="0" w:line="61" w:lineRule="exact"/>
        <w:rPr>
          <w:sz w:val="20"/>
          <w:szCs w:val="20"/>
          <w:color w:val="auto"/>
        </w:rPr>
      </w:pPr>
    </w:p>
    <w:p>
      <w:pPr>
        <w:ind w:left="1280" w:right="759" w:firstLine="360"/>
        <w:spacing w:after="0" w:line="253" w:lineRule="auto"/>
        <w:rPr>
          <w:sz w:val="20"/>
          <w:szCs w:val="20"/>
          <w:color w:val="auto"/>
        </w:rPr>
      </w:pPr>
      <w:r>
        <w:rPr>
          <w:rFonts w:ascii="Arial" w:cs="Arial" w:eastAsia="Arial" w:hAnsi="Arial"/>
          <w:sz w:val="18"/>
          <w:szCs w:val="18"/>
          <w:color w:val="auto"/>
        </w:rPr>
        <w:t>In addition to the above San Pablo Acquisition, we are actively pursuing additional acquisition opportunities with a focus on properties in agribusiness, including current negotiations and discussions relating to more than one acquisition (the “Possible Acquisitions”). We have not, however, entered into preliminary or definitive agreements in connection with the Possible Acquisitions. If agreements are ultimately reached, we may, depending on the size of any such Possible Acquisitions, fund all or a portion of any such Possible Acquisitions with a portion of the net proceeds from this offering. There can be no assurances that an agreement for any of the Possible Acquisitions will be reached or that any Possible Acquisition or any other acquisition will be consummated. This offering is not conditioned on the consummation of the San Pablo Acquisition, the Possible Acquisitions or any other acquisition. Please see “Risk Factors — We may not consummate the San Pablo Acquisition or any Possible Acquisition, and this offering is not conditioned on the consummation of an acquisition.”</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left="1280" w:right="919" w:firstLine="360"/>
        <w:spacing w:after="0" w:line="264" w:lineRule="auto"/>
        <w:rPr>
          <w:sz w:val="20"/>
          <w:szCs w:val="20"/>
          <w:color w:val="auto"/>
        </w:rPr>
      </w:pPr>
      <w:r>
        <w:rPr>
          <w:rFonts w:ascii="Arial" w:cs="Arial" w:eastAsia="Arial" w:hAnsi="Arial"/>
          <w:sz w:val="18"/>
          <w:szCs w:val="18"/>
          <w:color w:val="auto"/>
        </w:rPr>
        <w:t>The following summary contains basic information about this offering. The summary is not intended to be complete. You should read the full text and more specific details contained elsewhere in this prospectus supplement.</w:t>
      </w:r>
    </w:p>
    <w:p>
      <w:pPr>
        <w:spacing w:after="0" w:line="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Shares of common stock offered by</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us in this offering</w:t>
      </w:r>
      <w:r>
        <w:rPr>
          <w:sz w:val="20"/>
          <w:szCs w:val="20"/>
          <w:color w:val="auto"/>
        </w:rPr>
        <w:tab/>
      </w:r>
      <w:r>
        <w:rPr>
          <w:rFonts w:ascii="Arial" w:cs="Arial" w:eastAsia="Arial" w:hAnsi="Arial"/>
          <w:sz w:val="16"/>
          <w:szCs w:val="16"/>
          <w:color w:val="auto"/>
        </w:rPr>
        <w:t>$50,000,000 of shares of common stock.</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Option to purchase additional</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shares of common stock</w:t>
      </w:r>
      <w:r>
        <w:rPr>
          <w:sz w:val="20"/>
          <w:szCs w:val="20"/>
          <w:color w:val="auto"/>
        </w:rPr>
        <w:tab/>
      </w:r>
      <w:r>
        <w:rPr>
          <w:rFonts w:ascii="Arial" w:cs="Arial" w:eastAsia="Arial" w:hAnsi="Arial"/>
          <w:sz w:val="16"/>
          <w:szCs w:val="16"/>
          <w:color w:val="auto"/>
        </w:rPr>
        <w:t>We have granted the underwriters a 30-day option to purchase up to</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15% of the number of shares offered hereby from us at the same price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to the public, and with the same underwriting discount, to cover over-</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allotments, if any.</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 outstanding</w:t>
      </w:r>
    </w:p>
    <w:p>
      <w:pPr>
        <w:spacing w:after="0" w:line="27" w:lineRule="exact"/>
        <w:rPr>
          <w:sz w:val="20"/>
          <w:szCs w:val="20"/>
          <w:color w:val="auto"/>
        </w:rPr>
      </w:pPr>
    </w:p>
    <w:p>
      <w:pPr>
        <w:ind w:left="1460"/>
        <w:spacing w:after="0"/>
        <w:tabs>
          <w:tab w:leader="none" w:pos="5380" w:val="left"/>
          <w:tab w:leader="none" w:pos="8360" w:val="left"/>
        </w:tabs>
        <w:rPr>
          <w:sz w:val="20"/>
          <w:szCs w:val="20"/>
          <w:color w:val="auto"/>
        </w:rPr>
      </w:pPr>
      <w:r>
        <w:rPr>
          <w:rFonts w:ascii="Arial" w:cs="Arial" w:eastAsia="Arial" w:hAnsi="Arial"/>
          <w:sz w:val="18"/>
          <w:szCs w:val="18"/>
          <w:b w:val="1"/>
          <w:bCs w:val="1"/>
          <w:color w:val="auto"/>
        </w:rPr>
        <w:t>immediately after this offering</w:t>
      </w:r>
      <w:r>
        <w:rPr>
          <w:sz w:val="20"/>
          <w:szCs w:val="20"/>
          <w:color w:val="auto"/>
        </w:rPr>
        <w:tab/>
      </w:r>
      <w:r>
        <w:rPr>
          <w:rFonts w:ascii="Arial" w:cs="Arial" w:eastAsia="Arial" w:hAnsi="Arial"/>
          <w:sz w:val="18"/>
          <w:szCs w:val="18"/>
          <w:color w:val="auto"/>
        </w:rPr>
        <w:t>shares of common stock (or</w:t>
      </w:r>
      <w:r>
        <w:rPr>
          <w:sz w:val="20"/>
          <w:szCs w:val="20"/>
          <w:color w:val="auto"/>
        </w:rPr>
        <w:tab/>
      </w:r>
      <w:r>
        <w:rPr>
          <w:rFonts w:ascii="Arial" w:cs="Arial" w:eastAsia="Arial" w:hAnsi="Arial"/>
          <w:sz w:val="16"/>
          <w:szCs w:val="16"/>
          <w:color w:val="auto"/>
        </w:rPr>
        <w:t>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if the underwriters exercise their over-allotment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option in full).</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estimate that our net proceeds from the sale of the shares in this</w:t>
      </w:r>
    </w:p>
    <w:p>
      <w:pPr>
        <w:spacing w:after="0" w:line="27" w:lineRule="exact"/>
        <w:rPr>
          <w:sz w:val="20"/>
          <w:szCs w:val="20"/>
          <w:color w:val="auto"/>
        </w:rPr>
      </w:pPr>
    </w:p>
    <w:p>
      <w:pPr>
        <w:ind w:left="4460"/>
        <w:spacing w:after="0"/>
        <w:tabs>
          <w:tab w:leader="none" w:pos="7180" w:val="left"/>
        </w:tabs>
        <w:rPr>
          <w:sz w:val="20"/>
          <w:szCs w:val="20"/>
          <w:color w:val="auto"/>
        </w:rPr>
      </w:pPr>
      <w:r>
        <w:rPr>
          <w:rFonts w:ascii="Arial" w:cs="Arial" w:eastAsia="Arial" w:hAnsi="Arial"/>
          <w:sz w:val="18"/>
          <w:szCs w:val="18"/>
          <w:color w:val="auto"/>
        </w:rPr>
        <w:t>offering will be approximately $</w:t>
      </w:r>
      <w:r>
        <w:rPr>
          <w:sz w:val="20"/>
          <w:szCs w:val="20"/>
          <w:color w:val="auto"/>
        </w:rPr>
        <w:tab/>
      </w:r>
      <w:r>
        <w:rPr>
          <w:rFonts w:ascii="Arial" w:cs="Arial" w:eastAsia="Arial" w:hAnsi="Arial"/>
          <w:sz w:val="17"/>
          <w:szCs w:val="17"/>
          <w:color w:val="auto"/>
        </w:rPr>
        <w:t>million (or approximately</w:t>
      </w:r>
    </w:p>
    <w:p>
      <w:pPr>
        <w:spacing w:after="0" w:line="9" w:lineRule="exact"/>
        <w:rPr>
          <w:sz w:val="20"/>
          <w:szCs w:val="20"/>
          <w:color w:val="auto"/>
        </w:rPr>
      </w:pPr>
    </w:p>
    <w:p>
      <w:pPr>
        <w:ind w:left="4460" w:right="759" w:hanging="5"/>
        <w:spacing w:after="0" w:line="255" w:lineRule="auto"/>
        <w:tabs>
          <w:tab w:leader="none" w:pos="4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million if the underwriters exercise their over-allotment option in full), in each case, after deducting underwriting discounts and our estimated expenses related to the offering.</w:t>
      </w:r>
    </w:p>
    <w:p>
      <w:pPr>
        <w:spacing w:after="0" w:line="8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intend to use the net proceeds from this offering to fund our</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recently announced San Pablo Acquisition and the capital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expenditures associated with such acquisition, future potential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acquisitions, including the Possible Acquisitions, should we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successful in their pursuit, and for general corporate purposes, which</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may include repayment of debt and real estate development. As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April 30, 2018, the interest rate of our outstanding debt varies from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3.58% to 6.48%. Such debt matures on July 2022 through March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2036. See “Use of Proceeds” for more information about the use of</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proceeds of this offering.</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NASDAQ Global Market symbol</w:t>
      </w:r>
      <w:r>
        <w:rPr>
          <w:sz w:val="20"/>
          <w:szCs w:val="20"/>
          <w:color w:val="auto"/>
        </w:rPr>
        <w:tab/>
      </w:r>
      <w:r>
        <w:rPr>
          <w:rFonts w:ascii="Arial" w:cs="Arial" w:eastAsia="Arial" w:hAnsi="Arial"/>
          <w:sz w:val="18"/>
          <w:szCs w:val="18"/>
          <w:color w:val="auto"/>
        </w:rPr>
        <w:t>LMNR</w:t>
      </w:r>
    </w:p>
    <w:p>
      <w:pPr>
        <w:spacing w:after="0" w:line="117"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Dividend and distribution policy</w:t>
      </w:r>
      <w:r>
        <w:rPr>
          <w:sz w:val="20"/>
          <w:szCs w:val="20"/>
          <w:color w:val="auto"/>
        </w:rPr>
        <w:tab/>
      </w:r>
      <w:r>
        <w:rPr>
          <w:rFonts w:ascii="Arial" w:cs="Arial" w:eastAsia="Arial" w:hAnsi="Arial"/>
          <w:sz w:val="16"/>
          <w:szCs w:val="16"/>
          <w:color w:val="auto"/>
        </w:rPr>
        <w:t>We expect to continue to pay quarterly dividends at a rate similar to</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the second quarter of fiscal year 2018, which was $0.0625 per share,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the extent permitted by our business and other factors beyond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management’s control.</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See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“Risk Factors” and the other information incorporated by reference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into this prospectus supplement and the accompanying prospectus for</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discussion of certain factors you should carefully consider before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deciding to invest in our common stock.</w:t>
      </w:r>
    </w:p>
    <w:p>
      <w:pPr>
        <w:spacing w:after="0" w:line="103" w:lineRule="exact"/>
        <w:rPr>
          <w:sz w:val="20"/>
          <w:szCs w:val="20"/>
          <w:color w:val="auto"/>
        </w:rPr>
      </w:pPr>
    </w:p>
    <w:p>
      <w:pPr>
        <w:ind w:left="1280" w:right="739" w:firstLine="360"/>
        <w:spacing w:after="0" w:line="271" w:lineRule="auto"/>
        <w:rPr>
          <w:sz w:val="20"/>
          <w:szCs w:val="20"/>
          <w:color w:val="auto"/>
        </w:rPr>
      </w:pPr>
      <w:r>
        <w:rPr>
          <w:rFonts w:ascii="Arial" w:cs="Arial" w:eastAsia="Arial" w:hAnsi="Arial"/>
          <w:sz w:val="17"/>
          <w:szCs w:val="17"/>
          <w:color w:val="auto"/>
        </w:rPr>
        <w:t>The number of shares of common stock to be outstanding after this offering is based on 14,532,952 shares of common stock outstanding as of April 30, 2018. The number of shares of common stock to be outstanding after this offering does not include 539,793 shares reserved for future issuance under our Amended and Restated 2010 Omnibus Incentive Plan or shares which may be issued upon conversion of our outstanding Series B Convertible Preferred Stock and Series B-2 Convertible Preferred Stock. For additional information regarding our common stock, see “Description of Capital Stock” in the accompanying prospectus. Except as otherwise indicated, all information in this prospectus supplement assumes no exercise by the underwriters of their option to purchase additional shares.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i w:val="1"/>
          <w:iCs w:val="1"/>
          <w:color w:val="auto"/>
        </w:rPr>
        <w:t>Any investment in our common stock involves a high degree of risk. You should carefully consider the risks described in our Annual Report on Form 10-K for the fiscal year ended October 31, 2017, as supplemented by the discussion below, and all of the information contained or incorporated by reference into this prospectus supplement and the accompanying prospectus, before making an investment decision. The risks and uncertainties described below and in such incorporated documents are not the only risks and uncertainties that we face. Additional risks and uncertainties not presently known to us or that we currently deem immaterial may also impair our business operations. Please also refer to the section above entitled “Cautionary Note Regarding Forward-Looking Statements” regarding forward-looking statements included or incorporated by reference in this prospectus supplement and the accompanying prospectus. If any of the following events occur, our financial condition, business and results of operations (including cash flows) may be materially adversely affected. In that event, the market price of our common stock could decline, we may be unable to pay distributions on our common stock and you could lose all or part of your investment.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02" w:lineRule="exact"/>
        <w:rPr>
          <w:sz w:val="20"/>
          <w:szCs w:val="20"/>
          <w:color w:val="auto"/>
        </w:rPr>
      </w:pPr>
    </w:p>
    <w:p>
      <w:pPr>
        <w:ind w:left="1260" w:right="779"/>
        <w:spacing w:after="0" w:line="253" w:lineRule="auto"/>
        <w:rPr>
          <w:sz w:val="20"/>
          <w:szCs w:val="20"/>
          <w:color w:val="auto"/>
        </w:rPr>
      </w:pPr>
      <w:r>
        <w:rPr>
          <w:rFonts w:ascii="Arial" w:cs="Arial" w:eastAsia="Arial" w:hAnsi="Arial"/>
          <w:sz w:val="17"/>
          <w:szCs w:val="17"/>
          <w:b w:val="1"/>
          <w:bCs w:val="1"/>
          <w:i w:val="1"/>
          <w:iCs w:val="1"/>
          <w:color w:val="auto"/>
        </w:rPr>
        <w:t>The value of our common stock could be volatile and may, from time to time, be significantly affected by numerous factors beyond our control, which may materially adversely affect the market price of your common stock and our ability to raise capital through future equity financings.</w:t>
      </w:r>
    </w:p>
    <w:p>
      <w:pPr>
        <w:spacing w:after="0" w:line="71"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87" w:lineRule="exact"/>
        <w:rPr>
          <w:sz w:val="20"/>
          <w:szCs w:val="20"/>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investors’ and analysts’ perception of the business risks and conditions of our business;</w:t>
      </w:r>
    </w:p>
    <w:p>
      <w:pPr>
        <w:spacing w:after="0" w:line="128" w:lineRule="exact"/>
        <w:rPr>
          <w:rFonts w:ascii="Arial" w:cs="Arial" w:eastAsia="Arial" w:hAnsi="Arial"/>
          <w:sz w:val="17"/>
          <w:szCs w:val="17"/>
          <w:color w:val="auto"/>
        </w:rPr>
      </w:pPr>
    </w:p>
    <w:p>
      <w:pPr>
        <w:ind w:left="1980" w:right="9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the earnings estimates and other performance expectations of financial analysts or investors;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commentary or downgrades of our stock by equity research analysts;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stock prices of our peer companies or in stock markets in general;</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regulation or tax law;</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or political conditions.</w:t>
      </w:r>
    </w:p>
    <w:p>
      <w:pPr>
        <w:spacing w:after="0" w:line="212" w:lineRule="exact"/>
        <w:rPr>
          <w:sz w:val="20"/>
          <w:szCs w:val="20"/>
          <w:color w:val="auto"/>
        </w:rPr>
      </w:pPr>
    </w:p>
    <w:p>
      <w:pPr>
        <w:ind w:left="1260" w:right="1279"/>
        <w:spacing w:after="0" w:line="246" w:lineRule="auto"/>
        <w:rPr>
          <w:sz w:val="20"/>
          <w:szCs w:val="20"/>
          <w:color w:val="auto"/>
        </w:rPr>
      </w:pPr>
      <w:r>
        <w:rPr>
          <w:rFonts w:ascii="Arial" w:cs="Arial" w:eastAsia="Arial" w:hAnsi="Arial"/>
          <w:sz w:val="18"/>
          <w:szCs w:val="18"/>
          <w:b w:val="1"/>
          <w:bCs w:val="1"/>
          <w:i w:val="1"/>
          <w:iCs w:val="1"/>
          <w:color w:val="auto"/>
        </w:rPr>
        <w:t>We may not consummate the San Pablo Acquisition or any Possible Acquisition, and this offering is not conditioned on the consummation of an acquisition.</w:t>
      </w:r>
    </w:p>
    <w:p>
      <w:pPr>
        <w:spacing w:after="0" w:line="75"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intend to use a portion of the net proceeds from this offering to fund the purchase price of the San Pablo Acquisition and any Possible Acquisition, if consummated, as described under “Prospectus Supplement Summary — Recent Developments — Recent Acquisition Activities.” However, this offering is not conditioned on the consummation of any acquisition. There can be no assurances that an agreement for any Possible Acquisition will be reached at all, or that the San Pablo Acquisition or any Possible Acquisition will be consummated, or that any acquisition that is completed will be beneficial to us. If any acquisition is delayed, not consummated or consummated in a manner different than described herein, the price of our common stock may decline.</w:t>
      </w:r>
    </w:p>
    <w:p>
      <w:pPr>
        <w:spacing w:after="0" w:line="179" w:lineRule="exact"/>
        <w:rPr>
          <w:sz w:val="20"/>
          <w:szCs w:val="20"/>
          <w:color w:val="auto"/>
        </w:rPr>
      </w:pPr>
    </w:p>
    <w:p>
      <w:pPr>
        <w:ind w:left="1260" w:right="1259"/>
        <w:spacing w:after="0" w:line="246" w:lineRule="auto"/>
        <w:rPr>
          <w:sz w:val="20"/>
          <w:szCs w:val="20"/>
          <w:color w:val="auto"/>
        </w:rPr>
      </w:pPr>
      <w:r>
        <w:rPr>
          <w:rFonts w:ascii="Arial" w:cs="Arial" w:eastAsia="Arial" w:hAnsi="Arial"/>
          <w:sz w:val="18"/>
          <w:szCs w:val="18"/>
          <w:b w:val="1"/>
          <w:bCs w:val="1"/>
          <w:i w:val="1"/>
          <w:iCs w:val="1"/>
          <w:color w:val="auto"/>
        </w:rPr>
        <w:t>We have broad discretion in using the net proceeds of this offering and may not apply such net proceeds effectively.</w:t>
      </w:r>
    </w:p>
    <w:p>
      <w:pPr>
        <w:spacing w:after="0" w:line="75"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While we intend to use the net proceeds from this offering to fund the San Pablo Acquisition and the capital expenditures associated with such acquisition, future potential acquisitions, including any Possible Acquisition, should we be successful in their pursuit, and for general corporate purposes, which may include repayment of debt and real estate development, we retain broad discretion in how to use the net proceeds from this offering. Accordingly, you will have to rely upon the judgment of our management with respect to</w:t>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color w:val="auto"/>
        </w:rPr>
        <w:t>the use of those net proceeds. Our management may spend a portion or all of the net proceeds we receive from this offering in ways that our shareholders may not desire or that may not yield a favorable return. The failure by our management to apply these funds effectively could harm our business.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Purchasers will suffer immediate and substantial dilution as a result of this offering.</w:t>
      </w:r>
    </w:p>
    <w:p>
      <w:pPr>
        <w:spacing w:after="0" w:line="104"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6"/>
          <w:szCs w:val="16"/>
          <w:color w:val="auto"/>
        </w:rPr>
        <w:t>Purchasers of shares of our common stock offered by this prospectus supplement and the accompanying prospectus will suffer immediate and substantial dilution of their investment. Based on the public offering price</w:t>
      </w:r>
    </w:p>
    <w:p>
      <w:pPr>
        <w:ind w:left="1260"/>
        <w:spacing w:after="0"/>
        <w:tabs>
          <w:tab w:leader="none" w:pos="198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per share and our net tangible book value as of April 30, 2018, if you purchase shares of common stock</w:t>
      </w:r>
    </w:p>
    <w:p>
      <w:pPr>
        <w:spacing w:after="0" w:line="9" w:lineRule="exact"/>
        <w:rPr>
          <w:sz w:val="20"/>
          <w:szCs w:val="20"/>
          <w:color w:val="auto"/>
        </w:rPr>
      </w:pPr>
    </w:p>
    <w:p>
      <w:pPr>
        <w:ind w:left="1260" w:right="959"/>
        <w:spacing w:after="0" w:line="254" w:lineRule="auto"/>
        <w:rPr>
          <w:sz w:val="20"/>
          <w:szCs w:val="20"/>
          <w:color w:val="auto"/>
        </w:rPr>
      </w:pPr>
      <w:r>
        <w:rPr>
          <w:rFonts w:ascii="Arial" w:cs="Arial" w:eastAsia="Arial" w:hAnsi="Arial"/>
          <w:sz w:val="18"/>
          <w:szCs w:val="18"/>
          <w:color w:val="auto"/>
        </w:rPr>
        <w:t>in this offering, you will suffer immediate and substantial dilution of $ per share, or $ per share if the underwriters exercise their overallotment option in full, with respect to the net tangible book value of our common stock. See “Dilution” in this prospectus supplement for a more detailed discussion of the dilution purchasers will incur in this offering.</w:t>
      </w:r>
    </w:p>
    <w:p>
      <w:pPr>
        <w:spacing w:after="0" w:line="176"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Future sales of our common stock or the issuance of other equity may adversely affect the market price of our common stock.</w:t>
      </w:r>
    </w:p>
    <w:p>
      <w:pPr>
        <w:spacing w:after="0" w:line="75" w:lineRule="exact"/>
        <w:rPr>
          <w:sz w:val="20"/>
          <w:szCs w:val="20"/>
          <w:color w:val="auto"/>
        </w:rPr>
      </w:pPr>
    </w:p>
    <w:p>
      <w:pPr>
        <w:ind w:left="1260" w:right="1079" w:firstLine="360"/>
        <w:spacing w:after="0" w:line="291" w:lineRule="auto"/>
        <w:rPr>
          <w:sz w:val="20"/>
          <w:szCs w:val="20"/>
          <w:color w:val="auto"/>
        </w:rPr>
      </w:pPr>
      <w:r>
        <w:rPr>
          <w:rFonts w:ascii="Arial" w:cs="Arial" w:eastAsia="Arial" w:hAnsi="Arial"/>
          <w:sz w:val="16"/>
          <w:szCs w:val="16"/>
          <w:color w:val="auto"/>
        </w:rPr>
        <w:t>Except as described under the heading “Underwriting,” we are not restricted from issuing additional common stock, including securities that are convertible into or exchangeable for, or that represent the right to</w:t>
      </w:r>
    </w:p>
    <w:p>
      <w:pPr>
        <w:ind w:left="1260" w:right="1039"/>
        <w:spacing w:after="0" w:line="254" w:lineRule="auto"/>
        <w:rPr>
          <w:sz w:val="20"/>
          <w:szCs w:val="20"/>
          <w:color w:val="auto"/>
        </w:rPr>
      </w:pPr>
      <w:r>
        <w:rPr>
          <w:rFonts w:ascii="Arial" w:cs="Arial" w:eastAsia="Arial" w:hAnsi="Arial"/>
          <w:sz w:val="18"/>
          <w:szCs w:val="18"/>
          <w:color w:val="auto"/>
        </w:rPr>
        <w:t>receive, common stock. As part of this offering, we expect to issue shares of common stock (or up to shares of common stock if the underwriters exercise their over-allotment option in full). The issuance of additional shares of our common stock in this offering, or other issuances of our common stock or convertible securities, will dilute the ownership interest of our stockholders.</w:t>
      </w:r>
    </w:p>
    <w:p>
      <w:pPr>
        <w:spacing w:after="0" w:line="82"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Sales of a substantial number of shares of our common stock or other equity-related securities in the public market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Concentrated ownership of our common stock creates a risk of sudden change in our share price.</w:t>
      </w:r>
    </w:p>
    <w:p>
      <w:pPr>
        <w:spacing w:after="0" w:line="115"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As of January 31, 2018, our directors and executive officers beneficially owned or controlled approximately 4.4% of our common stock, and Calavo Growers, Inc. beneficially owned or controlled approximately 11.4%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charter documents contain provisions that may delay, defer or prevent a change of control.</w:t>
      </w:r>
    </w:p>
    <w:p>
      <w:pPr>
        <w:spacing w:after="0" w:line="104"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the change in control would be beneficial to stockholders. These provisions include the following:</w:t>
      </w:r>
    </w:p>
    <w:p>
      <w:pPr>
        <w:spacing w:after="0" w:line="154" w:lineRule="exact"/>
        <w:rPr>
          <w:sz w:val="20"/>
          <w:szCs w:val="20"/>
          <w:color w:val="auto"/>
        </w:rPr>
      </w:pPr>
    </w:p>
    <w:p>
      <w:pPr>
        <w:ind w:left="1980" w:hanging="352"/>
        <w:spacing w:after="0"/>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division of our board of directors into three classes, with each class serving a staggered three-year term;</w:t>
      </w:r>
    </w:p>
    <w:p>
      <w:pPr>
        <w:spacing w:after="0" w:line="207" w:lineRule="exact"/>
        <w:rPr>
          <w:rFonts w:ascii="Arial" w:cs="Arial" w:eastAsia="Arial" w:hAnsi="Arial"/>
          <w:sz w:val="16"/>
          <w:szCs w:val="16"/>
          <w:color w:val="auto"/>
        </w:rPr>
      </w:pPr>
    </w:p>
    <w:p>
      <w:pPr>
        <w:ind w:left="1980" w:hanging="352"/>
        <w:spacing w:after="0"/>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removal of directors by stockholders holding a supermajority of two-thirds of the outstanding shares;</w:t>
      </w:r>
    </w:p>
    <w:p>
      <w:pPr>
        <w:spacing w:after="0" w:line="207" w:lineRule="exact"/>
        <w:rPr>
          <w:rFonts w:ascii="Arial" w:cs="Arial" w:eastAsia="Arial" w:hAnsi="Arial"/>
          <w:sz w:val="16"/>
          <w:szCs w:val="16"/>
          <w:color w:val="auto"/>
        </w:rPr>
      </w:pPr>
    </w:p>
    <w:p>
      <w:pPr>
        <w:ind w:left="1980" w:right="135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of the board of directors to authorize the issuance of preferred stock without stockholder approval; and</w:t>
      </w:r>
    </w:p>
    <w:p>
      <w:pPr>
        <w:spacing w:after="0" w:line="143"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prohibitions on our stockholders that prevent them from acting by written consent and limitations on calling special meetings.</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common stock is an equity security and is subordinate to our existing and future indebtedness.</w:t>
      </w:r>
    </w:p>
    <w:p>
      <w:pPr>
        <w:spacing w:after="0" w:line="115" w:lineRule="exact"/>
        <w:rPr>
          <w:sz w:val="20"/>
          <w:szCs w:val="20"/>
          <w:color w:val="auto"/>
        </w:rPr>
      </w:pPr>
    </w:p>
    <w:p>
      <w:pPr>
        <w:jc w:val="both"/>
        <w:ind w:left="1260" w:right="819" w:firstLine="360"/>
        <w:spacing w:after="0" w:line="259" w:lineRule="auto"/>
        <w:rPr>
          <w:sz w:val="20"/>
          <w:szCs w:val="20"/>
          <w:color w:val="auto"/>
        </w:rPr>
      </w:pPr>
      <w:r>
        <w:rPr>
          <w:rFonts w:ascii="Arial" w:cs="Arial" w:eastAsia="Arial" w:hAnsi="Arial"/>
          <w:sz w:val="18"/>
          <w:szCs w:val="18"/>
          <w:color w:val="auto"/>
        </w:rPr>
        <w:t>The shares of common stock being offered by this prospectus supplement and the accompanying prospectus are equity interests and do not constitute indebtedness. As such, the shares of common stock rank junior to all of our indebtedness and any non-equity claims on us and our assets that would be available to satisfy claims on us, including claims in a bankruptcy, liquidation or similar proceeding.</w:t>
      </w:r>
    </w:p>
    <w:p>
      <w:pPr>
        <w:spacing w:after="0" w:line="79"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Additionally, unlike indebtedness, where principal and interest customarily are payable on specified due dates, in the case of our common stock, (i) dividends are payable only when and if declared by our board of directors or a duly authorized committee of the board, and (ii) as a corporation, we are restricted to only making dividend payments and redemption payments out of legally available assets. Further, our common stock places no restrictions on our business or operations or on our ability to incur indebtedness or engage in any transactions, subject only to the voting rights available to stockholders generally.</w:t>
      </w:r>
    </w:p>
    <w:p>
      <w:pPr>
        <w:spacing w:after="0" w:line="165" w:lineRule="exact"/>
        <w:rPr>
          <w:sz w:val="20"/>
          <w:szCs w:val="20"/>
          <w:color w:val="auto"/>
        </w:rPr>
      </w:pPr>
    </w:p>
    <w:p>
      <w:pPr>
        <w:ind w:left="1260" w:right="1099"/>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our stock price and trading volume could decline.</w:t>
      </w:r>
    </w:p>
    <w:p>
      <w:pPr>
        <w:spacing w:after="0" w:line="75"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may publish about us, our business, our market or our competitors. We currently have limited research coverage by securities and industry analysts. If any of the analysts who may cover us change their recommendation regarding our common stock adversely, or provide more favorable relative recommendations about our competitors, the trading price of our common stock would likely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We estimate that our net proceeds from the sale of the shares in this offering will be approximately $</w:t>
      </w:r>
    </w:p>
    <w:p>
      <w:pPr>
        <w:spacing w:after="0" w:line="23" w:lineRule="exact"/>
        <w:rPr>
          <w:sz w:val="20"/>
          <w:szCs w:val="20"/>
          <w:color w:val="auto"/>
        </w:rPr>
      </w:pPr>
    </w:p>
    <w:p>
      <w:pPr>
        <w:ind w:left="1260" w:right="899"/>
        <w:spacing w:after="0" w:line="290" w:lineRule="auto"/>
        <w:rPr>
          <w:sz w:val="20"/>
          <w:szCs w:val="20"/>
          <w:color w:val="auto"/>
        </w:rPr>
      </w:pPr>
      <w:r>
        <w:rPr>
          <w:rFonts w:ascii="Arial" w:cs="Arial" w:eastAsia="Arial" w:hAnsi="Arial"/>
          <w:sz w:val="17"/>
          <w:szCs w:val="17"/>
          <w:color w:val="auto"/>
        </w:rPr>
        <w:t>million (or approximately $ million if the underwriters exercise their over-allotment option in full), in each case, after deducting underwriting discounts and our estimated expenses related to the offering.</w:t>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intend to use the net proceeds from this offering:</w:t>
      </w:r>
    </w:p>
    <w:p>
      <w:pPr>
        <w:spacing w:after="0" w:line="198" w:lineRule="exact"/>
        <w:rPr>
          <w:sz w:val="20"/>
          <w:szCs w:val="20"/>
          <w:color w:val="auto"/>
        </w:rPr>
      </w:pPr>
    </w:p>
    <w:p>
      <w:pPr>
        <w:ind w:left="1980" w:right="111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fund our recently announced San Pablo Acquisition and the capital expenditures associated with such acquisition;</w:t>
      </w:r>
    </w:p>
    <w:p>
      <w:pPr>
        <w:spacing w:after="0" w:line="129"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fund future potential acquisitions, including the Possible Acquisitions, should we be successful in their pursuit;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and for general corporate purposes, which may include repayment of debt and real estate development.</w:t>
      </w:r>
    </w:p>
    <w:p>
      <w:pPr>
        <w:spacing w:after="0" w:line="140" w:lineRule="exact"/>
        <w:rPr>
          <w:sz w:val="20"/>
          <w:szCs w:val="20"/>
          <w:color w:val="auto"/>
        </w:rPr>
      </w:pPr>
    </w:p>
    <w:p>
      <w:pPr>
        <w:jc w:val="both"/>
        <w:ind w:left="1260" w:right="1279" w:firstLine="360"/>
        <w:spacing w:after="0" w:line="264" w:lineRule="auto"/>
        <w:rPr>
          <w:sz w:val="20"/>
          <w:szCs w:val="20"/>
          <w:color w:val="auto"/>
        </w:rPr>
      </w:pPr>
      <w:r>
        <w:rPr>
          <w:rFonts w:ascii="Arial" w:cs="Arial" w:eastAsia="Arial" w:hAnsi="Arial"/>
          <w:sz w:val="18"/>
          <w:szCs w:val="18"/>
          <w:color w:val="auto"/>
        </w:rPr>
        <w:t>As of April 30, 2018, the interest rate of our outstanding debt varied from 3.58% to 6.48%. Such debt matures on July 2022 through March 2036. Pending the application of the net proceeds, we may invest the proceeds in marketable securities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Dilution is the amount by which the offering price paid by the purchasers of the shares of common stock sold in the offering exceeds the net tangible book value per share of common stock after the offering. Net tangible book value per share is determined at any date by subtracting our total liabilities from the total book value of our tangible assets and dividing the difference by the number of shares of common stock deemed to be outstanding at that date.</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net tangible book value as of April 30, 2018 was approximately $162.5 million, or $11.18 per share.</w:t>
      </w:r>
    </w:p>
    <w:p>
      <w:pPr>
        <w:spacing w:after="0" w:line="3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840" w:type="dxa"/>
            <w:vAlign w:val="bottom"/>
            <w:gridSpan w:val="2"/>
          </w:tcPr>
          <w:p>
            <w:pPr>
              <w:spacing w:after="0"/>
              <w:rPr>
                <w:sz w:val="20"/>
                <w:szCs w:val="20"/>
                <w:color w:val="auto"/>
              </w:rPr>
            </w:pPr>
            <w:r>
              <w:rPr>
                <w:rFonts w:ascii="Arial" w:cs="Arial" w:eastAsia="Arial" w:hAnsi="Arial"/>
                <w:sz w:val="18"/>
                <w:szCs w:val="18"/>
                <w:color w:val="auto"/>
                <w:w w:val="95"/>
              </w:rPr>
              <w:t>After giving effect to the receipt of approximately $</w:t>
            </w:r>
          </w:p>
        </w:tc>
        <w:tc>
          <w:tcPr>
            <w:tcW w:w="3560" w:type="dxa"/>
            <w:vAlign w:val="bottom"/>
            <w:gridSpan w:val="3"/>
          </w:tcPr>
          <w:p>
            <w:pPr>
              <w:ind w:left="300"/>
              <w:spacing w:after="0"/>
              <w:rPr>
                <w:sz w:val="20"/>
                <w:szCs w:val="20"/>
                <w:color w:val="auto"/>
              </w:rPr>
            </w:pPr>
            <w:r>
              <w:rPr>
                <w:rFonts w:ascii="Arial" w:cs="Arial" w:eastAsia="Arial" w:hAnsi="Arial"/>
                <w:sz w:val="18"/>
                <w:szCs w:val="18"/>
                <w:color w:val="auto"/>
                <w:w w:val="96"/>
              </w:rPr>
              <w:t>of estimated net proceeds from our sale of</w:t>
            </w:r>
          </w:p>
        </w:tc>
        <w:tc>
          <w:tcPr>
            <w:tcW w:w="720" w:type="dxa"/>
            <w:vAlign w:val="bottom"/>
          </w:tcPr>
          <w:p>
            <w:pPr>
              <w:ind w:left="240"/>
              <w:spacing w:after="0"/>
              <w:rPr>
                <w:sz w:val="20"/>
                <w:szCs w:val="20"/>
                <w:color w:val="auto"/>
              </w:rPr>
            </w:pPr>
            <w:r>
              <w:rPr>
                <w:rFonts w:ascii="Arial" w:cs="Arial" w:eastAsia="Arial" w:hAnsi="Arial"/>
                <w:sz w:val="18"/>
                <w:szCs w:val="18"/>
                <w:color w:val="auto"/>
                <w:w w:val="85"/>
              </w:rPr>
              <w:t>shares</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w w:val="98"/>
              </w:rPr>
              <w:t>of common stock in this offering at an offering price of $</w:t>
            </w:r>
          </w:p>
        </w:tc>
        <w:tc>
          <w:tcPr>
            <w:tcW w:w="3760" w:type="dxa"/>
            <w:vAlign w:val="bottom"/>
            <w:gridSpan w:val="3"/>
          </w:tcPr>
          <w:p>
            <w:pPr>
              <w:ind w:left="200"/>
              <w:spacing w:after="0"/>
              <w:rPr>
                <w:sz w:val="20"/>
                <w:szCs w:val="20"/>
                <w:color w:val="auto"/>
              </w:rPr>
            </w:pPr>
            <w:r>
              <w:rPr>
                <w:rFonts w:ascii="Arial" w:cs="Arial" w:eastAsia="Arial" w:hAnsi="Arial"/>
                <w:sz w:val="18"/>
                <w:szCs w:val="18"/>
                <w:color w:val="auto"/>
              </w:rPr>
              <w:t>per share, our net tangible book value as of</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w w:val="99"/>
              </w:rPr>
              <w:t>April 30, 2018 would have been approximately $</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million, or $</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87"/>
              </w:rPr>
              <w:t>per share. This represents an immediate</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w w:val="98"/>
              </w:rPr>
              <w:t>increase in net tangible book value of $</w:t>
            </w:r>
          </w:p>
        </w:tc>
        <w:tc>
          <w:tcPr>
            <w:tcW w:w="5040" w:type="dxa"/>
            <w:vAlign w:val="bottom"/>
            <w:gridSpan w:val="5"/>
          </w:tcPr>
          <w:p>
            <w:pPr>
              <w:ind w:left="200"/>
              <w:spacing w:after="0"/>
              <w:rPr>
                <w:sz w:val="20"/>
                <w:szCs w:val="20"/>
                <w:color w:val="auto"/>
              </w:rPr>
            </w:pPr>
            <w:r>
              <w:rPr>
                <w:rFonts w:ascii="Arial" w:cs="Arial" w:eastAsia="Arial" w:hAnsi="Arial"/>
                <w:sz w:val="18"/>
                <w:szCs w:val="18"/>
                <w:color w:val="auto"/>
                <w:w w:val="91"/>
              </w:rPr>
              <w:t>per share to our existing stockholders and an immediate dilution of</w:t>
            </w:r>
          </w:p>
        </w:tc>
      </w:tr>
    </w:tbl>
    <w:p>
      <w:pPr>
        <w:ind w:left="1760" w:hanging="492"/>
        <w:spacing w:after="0"/>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share to new investors purchasing shares of common stock in the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illustrates this substantial and immediate per share dilution to new investors.</w:t>
      </w:r>
    </w:p>
    <w:p>
      <w:pPr>
        <w:spacing w:after="0" w:line="15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57"/>
        </w:trPr>
        <w:tc>
          <w:tcPr>
            <w:tcW w:w="610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April 30, 2018</w:t>
            </w:r>
          </w:p>
        </w:tc>
        <w:tc>
          <w:tcPr>
            <w:tcW w:w="1400" w:type="dxa"/>
            <w:vAlign w:val="bottom"/>
          </w:tcPr>
          <w:p>
            <w:pPr>
              <w:ind w:left="620"/>
              <w:spacing w:after="0"/>
              <w:rPr>
                <w:sz w:val="20"/>
                <w:szCs w:val="20"/>
                <w:color w:val="auto"/>
              </w:rPr>
            </w:pPr>
            <w:r>
              <w:rPr>
                <w:rFonts w:ascii="Arial" w:cs="Arial" w:eastAsia="Arial" w:hAnsi="Arial"/>
                <w:sz w:val="18"/>
                <w:szCs w:val="18"/>
                <w:color w:val="auto"/>
              </w:rPr>
              <w:t>$ 11.18</w:t>
            </w:r>
          </w:p>
        </w:tc>
      </w:tr>
      <w:tr>
        <w:trPr>
          <w:trHeight w:val="27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14,532,952 shares outstanding as of April 30, 2018 and excludes 539,793 shares of common stock reserved for future issuance under our Amended and Restated 2010 Omnibus Incentive Plan and shares which may be issued upon conversion of our outstanding Series B Convertible Preferred Stock and Series B-2 Convertible Preferred Stock.</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underwriters exercise their over-allotment option in full, the as adjusted net tangible book value per</w:t>
      </w:r>
    </w:p>
    <w:p>
      <w:pPr>
        <w:spacing w:after="0" w:line="35" w:lineRule="exact"/>
        <w:rPr>
          <w:sz w:val="20"/>
          <w:szCs w:val="20"/>
          <w:color w:val="auto"/>
        </w:rPr>
      </w:pPr>
    </w:p>
    <w:p>
      <w:pPr>
        <w:ind w:left="1260"/>
        <w:spacing w:after="0"/>
        <w:tabs>
          <w:tab w:leader="none" w:pos="4140" w:val="left"/>
        </w:tabs>
        <w:rPr>
          <w:sz w:val="20"/>
          <w:szCs w:val="20"/>
          <w:color w:val="auto"/>
        </w:rPr>
      </w:pPr>
      <w:r>
        <w:rPr>
          <w:rFonts w:ascii="Arial" w:cs="Arial" w:eastAsia="Arial" w:hAnsi="Arial"/>
          <w:sz w:val="18"/>
          <w:szCs w:val="18"/>
          <w:color w:val="auto"/>
        </w:rPr>
        <w:t>share after the offering would be $</w:t>
      </w:r>
      <w:r>
        <w:rPr>
          <w:sz w:val="20"/>
          <w:szCs w:val="20"/>
          <w:color w:val="auto"/>
        </w:rPr>
        <w:tab/>
      </w:r>
      <w:r>
        <w:rPr>
          <w:rFonts w:ascii="Arial" w:cs="Arial" w:eastAsia="Arial" w:hAnsi="Arial"/>
          <w:sz w:val="16"/>
          <w:szCs w:val="16"/>
          <w:color w:val="auto"/>
        </w:rPr>
        <w:t>per share, the as adjusted net tangible book value per share to the existing</w:t>
      </w:r>
    </w:p>
    <w:p>
      <w:pPr>
        <w:spacing w:after="0" w:line="9" w:lineRule="exact"/>
        <w:rPr>
          <w:sz w:val="20"/>
          <w:szCs w:val="20"/>
          <w:color w:val="auto"/>
        </w:rPr>
      </w:pPr>
    </w:p>
    <w:p>
      <w:pPr>
        <w:ind w:left="1260"/>
        <w:spacing w:after="0"/>
        <w:tabs>
          <w:tab w:leader="none" w:pos="3400" w:val="left"/>
        </w:tabs>
        <w:rPr>
          <w:sz w:val="20"/>
          <w:szCs w:val="20"/>
          <w:color w:val="auto"/>
        </w:rPr>
      </w:pPr>
      <w:r>
        <w:rPr>
          <w:rFonts w:ascii="Arial" w:cs="Arial" w:eastAsia="Arial" w:hAnsi="Arial"/>
          <w:sz w:val="18"/>
          <w:szCs w:val="18"/>
          <w:color w:val="auto"/>
        </w:rPr>
        <w:t>stockholders would be $</w:t>
      </w:r>
      <w:r>
        <w:rPr>
          <w:sz w:val="20"/>
          <w:szCs w:val="20"/>
          <w:color w:val="auto"/>
        </w:rPr>
        <w:tab/>
      </w:r>
      <w:r>
        <w:rPr>
          <w:rFonts w:ascii="Arial" w:cs="Arial" w:eastAsia="Arial" w:hAnsi="Arial"/>
          <w:sz w:val="16"/>
          <w:szCs w:val="16"/>
          <w:color w:val="auto"/>
        </w:rPr>
        <w:t>per share and the dilution to new investors purchasing common stock in this</w:t>
      </w:r>
    </w:p>
    <w:p>
      <w:pPr>
        <w:spacing w:after="0" w:line="9"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6"/>
          <w:szCs w:val="16"/>
          <w:color w:val="auto"/>
        </w:rPr>
        <w:t>per share, in each case based on the public offering price.</w:t>
      </w:r>
    </w:p>
    <w:p>
      <w:pPr>
        <w:spacing w:after="0" w:line="103" w:lineRule="exact"/>
        <w:rPr>
          <w:sz w:val="20"/>
          <w:szCs w:val="20"/>
          <w:color w:val="auto"/>
        </w:rPr>
      </w:pPr>
    </w:p>
    <w:p>
      <w:pPr>
        <w:jc w:val="both"/>
        <w:ind w:left="1260" w:right="93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CERTAIN U.S. FEDERAL INCOME TAX CONSEQUENCES TO</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NON-U.S. HOLDERS OF COMMON STOCK</w:t>
      </w:r>
    </w:p>
    <w:p>
      <w:pPr>
        <w:spacing w:after="0" w:line="8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The following is a general discussion of the material U.S. federal income tax consequences of the purchase, ownership and disposition of our common stock by a non-U.S. holder (as defined below) that holds our common stock as a capital asset. This discussion is based upon the Internal Revenue Code of 1986, as amended (the “Code”), U.S. Treasury regulations, and judicial decisions and administrative interpretations thereof, all as of the date hereof and all of which are subject to change, possibly with retroactive effect. The foregoing are subject to differing interpretations which could affect the tax consequences described herein. This discussion does not address all aspects of U.S. federal income taxation that may be applicable to investors in light of their particular circumstances, or to investors subject to special treatment under U.S. federal income tax laws, such as banks or other financial institutions, insurance companies, tax-exempt organizations, pension plans, entities that are treated as partnerships for U.S. federal income tax purposes, “controlled foreign corporations,” “passive foreign investment companies,” dealers in securities or currencies, expatriates, persons deemed to sell our common stock under the constructive sale provisions of the Code, and persons that have elected to mark securities to market or who hold our common stock as part of a straddle, hedge, conversion transaction, or other integrated investment. Furthermore, this discussion does not address any U.S. federal estate or gift tax laws or any state, local or foreign tax laws or considerations under the Medicare tax on net investment income or any alternative minimum tax consequences.</w:t>
      </w:r>
    </w:p>
    <w:p>
      <w:pPr>
        <w:spacing w:after="0" w:line="66" w:lineRule="exact"/>
        <w:rPr>
          <w:sz w:val="20"/>
          <w:szCs w:val="20"/>
          <w:color w:val="auto"/>
        </w:rPr>
      </w:pPr>
    </w:p>
    <w:p>
      <w:pPr>
        <w:ind w:left="1260" w:right="899" w:firstLine="360"/>
        <w:spacing w:after="0" w:line="313" w:lineRule="auto"/>
        <w:rPr>
          <w:sz w:val="20"/>
          <w:szCs w:val="20"/>
          <w:color w:val="auto"/>
        </w:rPr>
      </w:pPr>
      <w:r>
        <w:rPr>
          <w:rFonts w:ascii="Arial" w:cs="Arial" w:eastAsia="Arial" w:hAnsi="Arial"/>
          <w:sz w:val="17"/>
          <w:szCs w:val="17"/>
          <w:b w:val="1"/>
          <w:bCs w:val="1"/>
          <w:color w:val="auto"/>
        </w:rPr>
        <w:t>You are urged to consult your tax advisor regarding the U.S. federal, state, local, and foreign income and other tax consequences of the purchase, ownership, and disposition of common stock.</w:t>
      </w:r>
    </w:p>
    <w:p>
      <w:pPr>
        <w:spacing w:after="0" w:line="3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For purposes of this summary, a “non-U.S. holder” or “non-U.S. person” means a person (other than a partnership) that is not, for U.S. federal income tax purposes, any of the following:</w:t>
      </w:r>
    </w:p>
    <w:p>
      <w:pPr>
        <w:spacing w:after="0" w:line="76" w:lineRule="exact"/>
        <w:rPr>
          <w:sz w:val="20"/>
          <w:szCs w:val="20"/>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980" w:right="1039" w:hanging="352"/>
        <w:spacing w:after="0" w:line="342" w:lineRule="auto"/>
        <w:tabs>
          <w:tab w:leader="none" w:pos="1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estate with income that is subject to U.S. federal income taxation regardless of its source; or</w:t>
      </w:r>
    </w:p>
    <w:p>
      <w:pPr>
        <w:spacing w:after="0" w:line="142" w:lineRule="exact"/>
        <w:rPr>
          <w:rFonts w:ascii="Arial" w:cs="Arial" w:eastAsia="Arial" w:hAnsi="Arial"/>
          <w:sz w:val="17"/>
          <w:szCs w:val="17"/>
          <w:color w:val="auto"/>
        </w:rPr>
      </w:pPr>
    </w:p>
    <w:p>
      <w:pPr>
        <w:ind w:left="1980" w:right="919" w:hanging="352"/>
        <w:spacing w:after="0" w:line="279" w:lineRule="auto"/>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supervision over its administration and one or more United States persons (as defined in the Code) have the authority to control all substantial decisions of that trust, or (2) the trust has made an election under the applicable U.S. Treasury regulations to be treated as a United States person.</w:t>
      </w:r>
    </w:p>
    <w:p>
      <w:pPr>
        <w:spacing w:after="0" w:line="63"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If a partnership (including any entity or arrangement treated as a partnership for U.S. federal income tax purposes) owns our common stock, the U.S. federal income tax treatment of a partner in the partnership generally will depend upon the status of the partner and the activities of the partnership. A partnership that is not formed under the laws of the United States or a state or the District of Columbia is a non-U.S. holder for purposes of the discussion in “Possible Withholding on Payments to Foreign Financial Institutions and Certain Other Foreign Entities” below. Partners in a partnership that owns our common stock should consult their tax advisors as to the particular U.S. federal income tax consequences applicable to them.</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Dividends paid to a non-U.S. holder of our common stock generally will be subject to withholding of U.S. federal income tax at a 30% rate or such lower rate as may be specified by an applicable income tax treaty. A non-U.S. holder of our common stock who wishes to claim the benefit of an applicable treaty rate and avoid backup withholding, as discussed below, for dividends will be required (a) to complete Internal Revenue Service Form W-8BEN (or other applicable form)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2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919" w:firstLine="360"/>
        <w:spacing w:after="0" w:line="264" w:lineRule="auto"/>
        <w:rPr>
          <w:sz w:val="20"/>
          <w:szCs w:val="20"/>
          <w:color w:val="auto"/>
        </w:rPr>
      </w:pPr>
      <w:r>
        <w:rPr>
          <w:rFonts w:ascii="Arial" w:cs="Arial" w:eastAsia="Arial" w:hAnsi="Arial"/>
          <w:sz w:val="18"/>
          <w:szCs w:val="18"/>
          <w:color w:val="auto"/>
        </w:rPr>
        <w:t>A non-U.S. holder of our common stock eligible for a reduced rate of U.S. withholding tax pursuant to an income tax treaty may obtain a refund of any excess amounts withheld by filing an appropriate claim for refund with the Internal Revenue Service.</w:t>
      </w:r>
    </w:p>
    <w:p>
      <w:pPr>
        <w:spacing w:after="0" w:line="73"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If you are a non-U.S. holder (including for this purpose, a partnership) that is not an individual, you may be subject to a 30% withholding tax even if you are eligible to claim the benefits of a tax treaty if you do not comply with certain information reporting, due diligence and certification rules, discussed below under “Possible Withholding on Payments to Foreign Financial Institutions and Certain Other Foreign Entities.”</w:t>
      </w:r>
    </w:p>
    <w:p>
      <w:pPr>
        <w:spacing w:after="0" w:line="6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If dividends we pay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Internal Revenue Service Form W-8ECI or an acceptable substitute form upon which you certify, under penalties of perjury, that you are a non-United States person, and the dividends are effectively connected with your conduct of a trade or business within the United States and are includible in your gross income. “Effectively connected” dividends are taxed at rates applicable to United States citizens, resident aliens, and domestic United States corporations on a net income basis.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Disposition of Common Stock</w:t>
      </w:r>
    </w:p>
    <w:p>
      <w:pPr>
        <w:spacing w:after="0" w:line="10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If you are a non-U.S. holder, you generally will not be subject to U.S. federal income tax on any gain that you recognize on a disposition of our common stock unless:</w:t>
      </w:r>
    </w:p>
    <w:p>
      <w:pPr>
        <w:spacing w:after="0" w:line="143" w:lineRule="exact"/>
        <w:rPr>
          <w:sz w:val="20"/>
          <w:szCs w:val="20"/>
          <w:color w:val="auto"/>
        </w:rPr>
      </w:pPr>
    </w:p>
    <w:p>
      <w:pPr>
        <w:ind w:left="1980" w:right="799" w:hanging="352"/>
        <w:spacing w:after="0" w:line="312" w:lineRule="auto"/>
        <w:tabs>
          <w:tab w:leader="none" w:pos="1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trade or business in the United States (and, if required by an applicable income tax treaty, is attributable to a permanent establishment or, in certain cases involving individual holders, a fixed base that you maintain in the United States);</w:t>
      </w:r>
    </w:p>
    <w:p>
      <w:pPr>
        <w:spacing w:after="0" w:line="106" w:lineRule="exact"/>
        <w:rPr>
          <w:rFonts w:ascii="Arial" w:cs="Arial" w:eastAsia="Arial" w:hAnsi="Arial"/>
          <w:sz w:val="16"/>
          <w:szCs w:val="16"/>
          <w:color w:val="auto"/>
        </w:rPr>
      </w:pPr>
    </w:p>
    <w:p>
      <w:pPr>
        <w:ind w:left="1980" w:right="859" w:hanging="352"/>
        <w:spacing w:after="0" w:line="342" w:lineRule="auto"/>
        <w:tabs>
          <w:tab w:leader="none" w:pos="1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you are an individual, you hold our common stock as a capital asset, you are present in the United States for 183 or more days in the taxable year of the disposition, and certain other conditions exist; or</w:t>
      </w:r>
    </w:p>
    <w:p>
      <w:pPr>
        <w:spacing w:after="0" w:line="83" w:lineRule="exact"/>
        <w:rPr>
          <w:rFonts w:ascii="Arial" w:cs="Arial" w:eastAsia="Arial" w:hAnsi="Arial"/>
          <w:sz w:val="16"/>
          <w:szCs w:val="16"/>
          <w:color w:val="auto"/>
        </w:rPr>
      </w:pPr>
    </w:p>
    <w:p>
      <w:pPr>
        <w:ind w:left="1980" w:right="819" w:hanging="352"/>
        <w:spacing w:after="0" w:line="312" w:lineRule="auto"/>
        <w:tabs>
          <w:tab w:leader="none" w:pos="1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and you held, directly or indirectly, at any time during the five-year period ending on the date of disposition, more than 5% of our common stock, and you are ineligible for any treaty exemption.</w:t>
      </w:r>
    </w:p>
    <w:p>
      <w:pPr>
        <w:spacing w:after="0" w:line="39"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“Effectively connected” gains described in the first bullet point are taxed at rates applicable to United States citizens, resident aliens, and domestic United States corporations on a net income tax basis. 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 A non-U.S. holder described in the second bullet point above generally will be subject to a flat 30% tax (for such reduced rate as may be specified by an applicable income tax treaty) on the gain derived from the disposition, which gain may be offset by U.S.-source capital loss.</w:t>
      </w:r>
    </w:p>
    <w:p>
      <w:pPr>
        <w:spacing w:after="0" w:line="5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have not determined whether we are a “United States real property holding corporation” for U.S. federal income tax purposes. If we are or become a “United States real property holding corporation,” however, so long as our common stock is regularly traded on an established securities market during the calendar year in which the sale or other disposition occurs, only a non-U.S.</w:t>
      </w: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59"/>
        <w:spacing w:after="0" w:line="264" w:lineRule="auto"/>
        <w:rPr>
          <w:sz w:val="20"/>
          <w:szCs w:val="20"/>
          <w:color w:val="auto"/>
        </w:rPr>
      </w:pPr>
      <w:r>
        <w:rPr>
          <w:rFonts w:ascii="Arial" w:cs="Arial" w:eastAsia="Arial" w:hAnsi="Arial"/>
          <w:sz w:val="18"/>
          <w:szCs w:val="18"/>
          <w:color w:val="auto"/>
        </w:rPr>
        <w:t>holder who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8"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Except as described below, a non-U.S. holder generally will be exempt from backup withholding and information reporting requirements with respect to dividend payments and the payment of the proceeds from the sale of our common stock effected at a United States office of a broker, as long as the payor or broker does not have actual knowledge or reason to know that you are a United States person and you have furnished to the payor or broker:</w:t>
      </w:r>
    </w:p>
    <w:p>
      <w:pPr>
        <w:spacing w:after="0" w:line="161" w:lineRule="exact"/>
        <w:rPr>
          <w:sz w:val="20"/>
          <w:szCs w:val="20"/>
          <w:color w:val="auto"/>
        </w:rPr>
      </w:pPr>
    </w:p>
    <w:p>
      <w:pPr>
        <w:ind w:left="1980" w:right="759" w:hanging="352"/>
        <w:spacing w:after="0" w:line="302" w:lineRule="auto"/>
        <w:tabs>
          <w:tab w:leader="none" w:pos="1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valid Internal Revenue Service Form W-8BEN upon which you certify, under penalties of perjury, that you are (or, in the case of a non-U.S. holder that is a partnership, an estate, or a trust, Form W-8IMY (if applicable), together with any other relevant documents, certifying that the non-U.S. holder and each partner in the partnership or beneficiary of the estate or trust is) a non-United States person; or</w:t>
      </w:r>
    </w:p>
    <w:p>
      <w:pPr>
        <w:spacing w:after="0" w:line="113" w:lineRule="exact"/>
        <w:rPr>
          <w:rFonts w:ascii="Arial" w:cs="Arial" w:eastAsia="Arial" w:hAnsi="Arial"/>
          <w:sz w:val="16"/>
          <w:szCs w:val="16"/>
          <w:color w:val="auto"/>
        </w:rPr>
      </w:pPr>
    </w:p>
    <w:p>
      <w:pPr>
        <w:ind w:left="1980" w:right="1199" w:hanging="352"/>
        <w:spacing w:after="0" w:line="342" w:lineRule="auto"/>
        <w:tabs>
          <w:tab w:leader="none" w:pos="1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documentation upon which it may rely to treat the payments as made to a non-United States person in accordance with U.S. Treasury regulations or you otherwise establish an exemption.</w:t>
      </w:r>
    </w:p>
    <w:p>
      <w:pPr>
        <w:spacing w:after="0" w:line="16"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However, we must report annually to the Internal Revenue Service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80"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Payment of the proceeds from the sale of our common stock effected at a foreign office of a broker generally will not be subject to information reporting or backup withholding. However, a sale of our common stock that is effected at a foreign office of a broker will be subject to information reporting and backup withholding if:</w:t>
      </w:r>
    </w:p>
    <w:p>
      <w:pPr>
        <w:spacing w:after="0" w:line="106" w:lineRule="exact"/>
        <w:rPr>
          <w:sz w:val="20"/>
          <w:szCs w:val="20"/>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proceeds are transferred to an account maintained by you in the United States;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payment of proceeds or the confirmation of the sale is mailed to you at a United States address; or</w:t>
      </w:r>
    </w:p>
    <w:p>
      <w:pPr>
        <w:spacing w:after="0" w:line="221" w:lineRule="exact"/>
        <w:rPr>
          <w:rFonts w:ascii="Arial" w:cs="Arial" w:eastAsia="Arial" w:hAnsi="Arial"/>
          <w:sz w:val="16"/>
          <w:szCs w:val="16"/>
          <w:color w:val="auto"/>
        </w:rPr>
      </w:pPr>
    </w:p>
    <w:p>
      <w:pPr>
        <w:ind w:left="1980" w:right="1279" w:hanging="352"/>
        <w:spacing w:after="0" w:line="27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sale has some other specified connection with the United States as provided in U.S. Treasury regulations,</w:t>
      </w:r>
    </w:p>
    <w:p>
      <w:pPr>
        <w:spacing w:after="0" w:line="62"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color w:val="auto"/>
        </w:rPr>
        <w:t>unless the broker does not have actual knowledge or reason to know that you are a United States person and the documentation requirements described above are met or you otherwise establish an exemption.</w:t>
      </w:r>
    </w:p>
    <w:p>
      <w:pPr>
        <w:spacing w:after="0" w:line="3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In addition, a sale of our common stock will be subject to information reporting if it is effected at a foreign office of a broker that is:</w:t>
      </w:r>
    </w:p>
    <w:p>
      <w:pPr>
        <w:spacing w:after="0" w:line="130" w:lineRule="exact"/>
        <w:rPr>
          <w:sz w:val="20"/>
          <w:szCs w:val="20"/>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United States person (including a foreign branch or office of such person);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98"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is effectively connected with the conduct of a United States trade or business for a specified three-year period; or</w:t>
      </w:r>
    </w:p>
    <w:p>
      <w:pPr>
        <w:spacing w:after="0" w:line="129" w:lineRule="exact"/>
        <w:rPr>
          <w:rFonts w:ascii="Arial" w:cs="Arial" w:eastAsia="Arial" w:hAnsi="Arial"/>
          <w:sz w:val="18"/>
          <w:szCs w:val="18"/>
          <w:color w:val="auto"/>
        </w:rPr>
      </w:pPr>
    </w:p>
    <w:p>
      <w:pPr>
        <w:ind w:left="1980" w:right="939" w:hanging="352"/>
        <w:spacing w:after="0" w:line="259"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partnership, if at any time during its tax year (a) one or more of its partners are “U.S. persons,” as defined in U.S. Treasury regulations, who in the aggregate hold more than 50% of the income or capital interest in the partnership, or (b) such foreign partnership is engaged in the conduct of a United States trade or business,</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unless the broker does not have actual knowledge or reason to know that you are a United States person and the documentation requirements described above are met or you otherwise establish an exemption. Backup withholding will apply if the sale is subject to information reporting and the broker has actual knowledge that you are a United States person.</w:t>
      </w:r>
    </w:p>
    <w:p>
      <w:pPr>
        <w:spacing w:after="0" w:line="79"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You generally may obtain a refund of any amounts withheld under the backup withholding rules that exceed your income tax liability by filing a refund claim with the Internal Revenue Service.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Possible Withholding on Payments to Foreign Financial Institutions and Certain Other Foreign Entities</w:t>
      </w:r>
    </w:p>
    <w:p>
      <w:pPr>
        <w:spacing w:after="0" w:line="131"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The Foreign Account Tax Compliance Act (“FATCA”) imposes a 30% withholding tax on dividends on, or gross proceeds from the sale or other disposition of, our common stock paid to a foreign financial institution or to certain non-financial foreign entities if the entity does not comply with certain U.S. information reporting (related to direct and indirect United States owners and/or United States accountholders), due diligence and certification requirements. Under final Treasury Regulations, withholding will only be required (i) with respect to payments of dividends in respect of securities such as shares of our common stock and (ii) with respect to other “withholdable payments” (including payments of gross proceeds from a sale or other disposition of such stock) made on or after January 1, 2019. Prospective investors are encouraged to consult their tax advisors regarding the implications of FATCA on their investment in our common stock, including, without limitation, the process and deadlines for meeting the applicable requirements to prevent the imposition of this 30% withholding tax under FATCA.</w:t>
      </w:r>
    </w:p>
    <w:p>
      <w:pPr>
        <w:spacing w:after="0" w:line="57" w:lineRule="exact"/>
        <w:rPr>
          <w:sz w:val="20"/>
          <w:szCs w:val="20"/>
          <w:color w:val="auto"/>
        </w:rPr>
      </w:pPr>
    </w:p>
    <w:p>
      <w:pPr>
        <w:ind w:left="1260" w:right="839"/>
        <w:spacing w:after="0" w:line="303" w:lineRule="auto"/>
        <w:rPr>
          <w:sz w:val="20"/>
          <w:szCs w:val="20"/>
          <w:color w:val="auto"/>
        </w:rPr>
      </w:pPr>
      <w:r>
        <w:rPr>
          <w:rFonts w:ascii="Arial" w:cs="Arial" w:eastAsia="Arial" w:hAnsi="Arial"/>
          <w:sz w:val="16"/>
          <w:szCs w:val="16"/>
          <w:b w:val="1"/>
          <w:bCs w:val="1"/>
          <w:color w:val="auto"/>
        </w:rPr>
        <w:t>The preceding discussion of certain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We are offering the shares of common stock described in this prospectus supplement and the accompanying prospectus through the underwriters listed below. Stephens Inc. and Stifel, Nicolaus &amp; Company, Incorporated are acting as the lead book-running managers of this offering and representatives of the underwriters. The underwriters named below have agreed to buy, subject to the terms of the underwriting agreement, the number of shares of common stock listed opposite their names below. The underwriters are committed to purchase and pay for all of the shares if any are purchased, other than those shares covered by the over-allotment option described below.</w:t>
      </w:r>
    </w:p>
    <w:p>
      <w:pPr>
        <w:sectPr>
          <w:pgSz w:w="11900" w:h="16838" w:orient="portrait"/>
          <w:cols w:equalWidth="0" w:num="1">
            <w:col w:w="10219"/>
          </w:cols>
          <w:pgMar w:left="240" w:top="131" w:right="1440" w:bottom="1440" w:gutter="0" w:footer="0" w:header="0"/>
        </w:sectPr>
      </w:pPr>
    </w:p>
    <w:p>
      <w:pPr>
        <w:spacing w:after="0" w:line="275"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Underwriter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22225</wp:posOffset>
            </wp:positionV>
            <wp:extent cx="47510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7440" w:space="720"/>
            <w:col w:w="2059"/>
          </w:cols>
          <w:pgMar w:left="240" w:top="131"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Stephens Inc.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475107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Roth Capital Partners,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Lake Street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23495</wp:posOffset>
            </wp:positionV>
            <wp:extent cx="475107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5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31750</wp:posOffset>
            </wp:positionV>
            <wp:extent cx="685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underwriters have advised us that they propose to offer the shares of common stock to the public at a</w:t>
      </w:r>
    </w:p>
    <w:p>
      <w:pPr>
        <w:spacing w:after="0" w:line="46" w:lineRule="exact"/>
        <w:rPr>
          <w:sz w:val="20"/>
          <w:szCs w:val="20"/>
          <w:color w:val="auto"/>
        </w:rPr>
      </w:pPr>
    </w:p>
    <w:p>
      <w:pPr>
        <w:ind w:left="1260"/>
        <w:spacing w:after="0"/>
        <w:tabs>
          <w:tab w:leader="none" w:pos="23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The underwriters propose to offer the shares of common stock to certain dealers at the</w:t>
      </w:r>
    </w:p>
    <w:p>
      <w:pPr>
        <w:spacing w:after="0" w:line="9"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same price less a concession of not more than $ per share. After the offering, these figures may be changed by the underwriters.</w:t>
      </w:r>
    </w:p>
    <w:p>
      <w:pPr>
        <w:sectPr>
          <w:pgSz w:w="11900" w:h="16838" w:orient="portrait"/>
          <w:cols w:equalWidth="0" w:num="1">
            <w:col w:w="10219"/>
          </w:cols>
          <w:pgMar w:left="240" w:top="131" w:right="1440" w:bottom="1440" w:gutter="0" w:footer="0" w:header="0"/>
          <w:type w:val="continuous"/>
        </w:sectPr>
      </w:pPr>
    </w:p>
    <w:p>
      <w:pPr>
        <w:spacing w:after="0" w:line="76" w:lineRule="exact"/>
        <w:rPr>
          <w:sz w:val="20"/>
          <w:szCs w:val="20"/>
          <w:color w:val="auto"/>
        </w:rPr>
      </w:pPr>
    </w:p>
    <w:p>
      <w:pPr>
        <w:ind w:left="1260" w:firstLine="360"/>
        <w:spacing w:after="0" w:line="342" w:lineRule="auto"/>
        <w:rPr>
          <w:sz w:val="20"/>
          <w:szCs w:val="20"/>
          <w:color w:val="auto"/>
        </w:rPr>
      </w:pPr>
      <w:r>
        <w:rPr>
          <w:rFonts w:ascii="Arial" w:cs="Arial" w:eastAsia="Arial" w:hAnsi="Arial"/>
          <w:sz w:val="16"/>
          <w:szCs w:val="16"/>
          <w:color w:val="auto"/>
        </w:rPr>
        <w:t>The shares sold in this offering are expected to be ready for delivery on or about payment in immediately available funds. The underwriters may reject all or part of any order.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 2018, against</w:t>
      </w:r>
    </w:p>
    <w:p>
      <w:pPr>
        <w:spacing w:after="0" w:line="367" w:lineRule="exact"/>
        <w:rPr>
          <w:sz w:val="20"/>
          <w:szCs w:val="20"/>
          <w:color w:val="auto"/>
        </w:rPr>
      </w:pPr>
    </w:p>
    <w:p>
      <w:pPr>
        <w:sectPr>
          <w:pgSz w:w="11900" w:h="16838" w:orient="portrait"/>
          <w:cols w:equalWidth="0" w:num="2">
            <w:col w:w="7980" w:space="420"/>
            <w:col w:w="1819"/>
          </w:cols>
          <w:pgMar w:left="240" w:top="131" w:right="1440" w:bottom="1440" w:gutter="0" w:footer="0" w:header="0"/>
          <w:type w:val="continuous"/>
        </w:sectPr>
      </w:pPr>
    </w:p>
    <w:p>
      <w:pPr>
        <w:ind w:left="1260" w:right="759" w:firstLine="360"/>
        <w:spacing w:after="0" w:line="255" w:lineRule="auto"/>
        <w:rPr>
          <w:sz w:val="20"/>
          <w:szCs w:val="20"/>
          <w:color w:val="auto"/>
        </w:rPr>
      </w:pPr>
      <w:r>
        <w:rPr>
          <w:rFonts w:ascii="Arial" w:cs="Arial" w:eastAsia="Arial" w:hAnsi="Arial"/>
          <w:sz w:val="18"/>
          <w:szCs w:val="18"/>
          <w:color w:val="auto"/>
        </w:rPr>
        <w:t>We have granted to the underwriters an option to purchase up to 15% of the number of shares offered hereby from us at the same price to the public, and with the same underwriting discount, as set forth in the table below. The underwriters may exercise this option any time during the 30-day period after the date of this prospectus supplement, but only to cover over-allotments, if any. To the extent the underwriters exercise the option, the underwriters will become obligated, subject to certain conditions, to purchase the shares for which they exercise the option.</w:t>
      </w:r>
    </w:p>
    <w:p>
      <w:pPr>
        <w:spacing w:after="0" w:line="85"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 table below summarizes the underwriting discounts that we will pay to the underwriters. These amounts are shown assuming both no exercise and full exercise of the over-allotment option. In addition to the underwriting discount, we have agreed to pay up to $100,000 of the fees and expenses of the underwriters, which may include the fees and expenses of counsel to the underwriters. The fees and expenses of the underwriters that we have agreed to reimburse are not included in the underwriting discounts set forth in the table below. The underwriting discount and reimbursable expenses the underwriters will receive were determined through arms’ length negotiations between us and the underwriters.</w:t>
      </w:r>
    </w:p>
    <w:p>
      <w:pPr>
        <w:spacing w:after="0" w:line="9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with no</w:t>
            </w: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Total with</w:t>
            </w:r>
          </w:p>
        </w:tc>
      </w:tr>
      <w:tr>
        <w:trPr>
          <w:trHeight w:val="186"/>
        </w:trPr>
        <w:tc>
          <w:tcPr>
            <w:tcW w:w="40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 Share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Over-Allotment</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Over-Allotment</w:t>
            </w:r>
          </w:p>
        </w:tc>
      </w:tr>
      <w:tr>
        <w:trPr>
          <w:trHeight w:val="26"/>
        </w:trPr>
        <w:tc>
          <w:tcPr>
            <w:tcW w:w="4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 to be paid by us</w:t>
            </w:r>
          </w:p>
        </w:tc>
        <w:tc>
          <w:tcPr>
            <w:tcW w:w="90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500"/>
        </w:trPr>
        <w:tc>
          <w:tcPr>
            <w:tcW w:w="7040" w:type="dxa"/>
            <w:vAlign w:val="bottom"/>
            <w:gridSpan w:val="6"/>
          </w:tcPr>
          <w:p>
            <w:pPr>
              <w:spacing w:after="0"/>
              <w:rPr>
                <w:sz w:val="20"/>
                <w:szCs w:val="20"/>
                <w:color w:val="auto"/>
              </w:rPr>
            </w:pPr>
            <w:r>
              <w:rPr>
                <w:rFonts w:ascii="Arial" w:cs="Arial" w:eastAsia="Arial" w:hAnsi="Arial"/>
                <w:sz w:val="18"/>
                <w:szCs w:val="18"/>
                <w:color w:val="auto"/>
                <w:w w:val="93"/>
              </w:rPr>
              <w:t>We estimate that the total expenses of this offering, excluding underwriting discounts, will be $</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90"/>
              </w:rPr>
              <w:t>. This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-488315</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-488315</wp:posOffset>
            </wp:positionV>
            <wp:extent cx="3267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includes $100,000 of fees and expenses of the underwriters. These expenses are payable by us.</w:t>
      </w:r>
    </w:p>
    <w:p>
      <w:pPr>
        <w:spacing w:after="0" w:line="103" w:lineRule="exact"/>
        <w:rPr>
          <w:sz w:val="20"/>
          <w:szCs w:val="20"/>
          <w:color w:val="auto"/>
        </w:rPr>
      </w:pPr>
    </w:p>
    <w:p>
      <w:pPr>
        <w:jc w:val="both"/>
        <w:ind w:left="1260" w:right="819" w:firstLine="360"/>
        <w:spacing w:after="0" w:line="264" w:lineRule="auto"/>
        <w:rPr>
          <w:sz w:val="20"/>
          <w:szCs w:val="20"/>
          <w:color w:val="auto"/>
        </w:rPr>
      </w:pPr>
      <w:r>
        <w:rPr>
          <w:rFonts w:ascii="Arial" w:cs="Arial" w:eastAsia="Arial" w:hAnsi="Arial"/>
          <w:sz w:val="18"/>
          <w:szCs w:val="18"/>
          <w:color w:val="auto"/>
        </w:rPr>
        <w:t>We also have agreed to indemnify the underwriters against certain liabilities, including civil liabilities under the Securities Act or to contribute to payments that the underwriters may be required to make in respect of those liabilities.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08" w:lineRule="exact"/>
        <w:rPr>
          <w:sz w:val="20"/>
          <w:szCs w:val="20"/>
          <w:color w:val="auto"/>
        </w:rPr>
      </w:pPr>
    </w:p>
    <w:p>
      <w:pPr>
        <w:ind w:left="1260" w:right="1159" w:firstLine="360"/>
        <w:spacing w:after="0" w:line="312" w:lineRule="auto"/>
        <w:rPr>
          <w:sz w:val="20"/>
          <w:szCs w:val="20"/>
          <w:color w:val="auto"/>
        </w:rPr>
      </w:pPr>
      <w:r>
        <w:rPr>
          <w:rFonts w:ascii="Arial" w:cs="Arial" w:eastAsia="Arial" w:hAnsi="Arial"/>
          <w:sz w:val="16"/>
          <w:szCs w:val="16"/>
          <w:color w:val="auto"/>
        </w:rPr>
        <w:t>We, and each of our directors and officers and certain of our stockholders have agreed not to offer, sell, agree to sell, directly or indirectly, or otherwise dispose of any shares of common stock or any securities convertible into or exchangeable for shares of common stock without the prior written consent of</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259"/>
        <w:spacing w:after="0" w:line="312" w:lineRule="auto"/>
        <w:rPr>
          <w:sz w:val="20"/>
          <w:szCs w:val="20"/>
          <w:color w:val="auto"/>
        </w:rPr>
      </w:pPr>
      <w:r>
        <w:rPr>
          <w:rFonts w:ascii="Arial" w:cs="Arial" w:eastAsia="Arial" w:hAnsi="Arial"/>
          <w:sz w:val="16"/>
          <w:szCs w:val="16"/>
          <w:color w:val="auto"/>
        </w:rPr>
        <w:t>Stephens Inc. and Stifel, Nicolaus &amp; Company, Incorporated for a period of 90 days after the date of this prospectus supplement. These lock-up agreements provide limited exceptions and their restrictions may be waived at any time by Stephens Inc. and Stifel, Nicolaus &amp; Company, Incorporated.</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08" w:lineRule="exact"/>
        <w:rPr>
          <w:sz w:val="20"/>
          <w:szCs w:val="20"/>
          <w:color w:val="auto"/>
        </w:rPr>
      </w:pPr>
    </w:p>
    <w:p>
      <w:pPr>
        <w:ind w:left="1260" w:right="759" w:firstLine="360"/>
        <w:spacing w:after="0" w:line="297" w:lineRule="auto"/>
        <w:rPr>
          <w:sz w:val="20"/>
          <w:szCs w:val="20"/>
          <w:color w:val="auto"/>
        </w:rPr>
      </w:pPr>
      <w:r>
        <w:rPr>
          <w:rFonts w:ascii="Arial" w:cs="Arial" w:eastAsia="Arial" w:hAnsi="Arial"/>
          <w:sz w:val="16"/>
          <w:szCs w:val="16"/>
          <w:color w:val="auto"/>
        </w:rPr>
        <w:t>To facilitate this offering, the underwriters may engage in transactions that stabilize, maintain or otherwise affect the price of our common stock during and after the offering. Specifically, the underwriters may over-allot or otherwise create a short position in our common stock for their own account by selling more shares of common stock than we have sold to the underwriters. The underwriters may close out any short position by either exercising its option to purchase additional shares or purchasing shares in the open market.</w:t>
      </w:r>
    </w:p>
    <w:p>
      <w:pPr>
        <w:spacing w:after="0" w:line="50"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Global Market or otherwise and, if commenced, may be discontinued at any time.</w:t>
      </w:r>
    </w:p>
    <w:p>
      <w:pPr>
        <w:spacing w:after="0" w:line="5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connection with this offering, the underwriters and selling group members may also engage in passive market making transactions in our common stock on the NASDAQ Global Market. Passive market making consists of displaying bids on the NASDAQ Global Market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84"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Affiliations</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w:t>
      </w:r>
    </w:p>
    <w:p>
      <w:pPr>
        <w:spacing w:after="0" w:line="85"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In the ordinary course of its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its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Offer, Sale and Distribution</w:t>
      </w:r>
    </w:p>
    <w:p>
      <w:pPr>
        <w:spacing w:after="0" w:line="10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a limited number of shares for sale to their online brokerage customers. An electronic prospectus is available on the Internet websites maintained by any such underwriter. Other than the prospectus in electronic format, the information on the websites of the underwriters is not part of this prospectus supplement or the accompanying prospectus.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NASDAQ Global Market under the symbol “LMNR.”</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our common stock is Computershare.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819" w:firstLine="360"/>
        <w:spacing w:after="0" w:line="288" w:lineRule="auto"/>
        <w:rPr>
          <w:sz w:val="20"/>
          <w:szCs w:val="20"/>
          <w:color w:val="auto"/>
        </w:rPr>
      </w:pPr>
      <w:r>
        <w:rPr>
          <w:rFonts w:ascii="Arial" w:cs="Arial" w:eastAsia="Arial" w:hAnsi="Arial"/>
          <w:sz w:val="16"/>
          <w:szCs w:val="16"/>
          <w:b w:val="1"/>
          <w:bCs w:val="1"/>
          <w:i w:val="1"/>
          <w:iCs w:val="1"/>
          <w:color w:val="auto"/>
        </w:rPr>
        <w:t xml:space="preserve">Canada. </w:t>
      </w:r>
      <w:r>
        <w:rPr>
          <w:rFonts w:ascii="Arial" w:cs="Arial" w:eastAsia="Arial" w:hAnsi="Arial"/>
          <w:sz w:val="16"/>
          <w:szCs w:val="16"/>
          <w:color w:val="auto"/>
        </w:rPr>
        <w:t>The securities may be sold in Canada only to purchasers purchasing, or deemed to be purchasing,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Securities Act (Ontario), and are permitted clients, as defined in National Instrument</w:t>
      </w:r>
    </w:p>
    <w:p>
      <w:pPr>
        <w:ind w:left="1260" w:right="819"/>
        <w:spacing w:after="0" w:line="255" w:lineRule="auto"/>
        <w:rPr>
          <w:sz w:val="20"/>
          <w:szCs w:val="20"/>
          <w:color w:val="auto"/>
        </w:rPr>
      </w:pPr>
      <w:r>
        <w:rPr>
          <w:rFonts w:ascii="Arial" w:cs="Arial" w:eastAsia="Arial" w:hAnsi="Arial"/>
          <w:sz w:val="18"/>
          <w:szCs w:val="18"/>
          <w:color w:val="auto"/>
        </w:rPr>
        <w:t xml:space="preserve">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securities must be made in accordance with an exemption from, or in a transaction not subject to, the prospectus requirements of applicable securities laws.</w:t>
      </w:r>
    </w:p>
    <w:p>
      <w:pPr>
        <w:spacing w:after="0" w:line="82"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73" w:lineRule="exact"/>
        <w:rPr>
          <w:sz w:val="20"/>
          <w:szCs w:val="20"/>
          <w:color w:val="auto"/>
        </w:rPr>
      </w:pPr>
    </w:p>
    <w:p>
      <w:pPr>
        <w:ind w:left="1260" w:right="899" w:firstLine="360"/>
        <w:spacing w:after="0" w:line="297" w:lineRule="auto"/>
        <w:rPr>
          <w:sz w:val="20"/>
          <w:szCs w:val="20"/>
          <w:color w:val="auto"/>
        </w:rPr>
      </w:pPr>
      <w:r>
        <w:rPr>
          <w:rFonts w:ascii="Arial" w:cs="Arial" w:eastAsia="Arial" w:hAnsi="Arial"/>
          <w:sz w:val="16"/>
          <w:szCs w:val="16"/>
          <w:b w:val="1"/>
          <w:bCs w:val="1"/>
          <w:i w:val="1"/>
          <w:iCs w:val="1"/>
          <w:color w:val="auto"/>
        </w:rPr>
        <w:t xml:space="preserve">European Economic Area. </w:t>
      </w:r>
      <w:r>
        <w:rPr>
          <w:rFonts w:ascii="Arial" w:cs="Arial" w:eastAsia="Arial" w:hAnsi="Arial"/>
          <w:sz w:val="16"/>
          <w:szCs w:val="16"/>
          <w:color w:val="auto"/>
        </w:rPr>
        <w:t>In relation to each Member State of the European Economic Area which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04" w:lineRule="exact"/>
        <w:rPr>
          <w:sz w:val="20"/>
          <w:szCs w:val="20"/>
          <w:color w:val="auto"/>
        </w:rPr>
      </w:pPr>
    </w:p>
    <w:p>
      <w:pPr>
        <w:ind w:left="1980" w:hanging="352"/>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32" w:lineRule="exact"/>
        <w:rPr>
          <w:rFonts w:ascii="Arial" w:cs="Arial" w:eastAsia="Arial" w:hAnsi="Arial"/>
          <w:sz w:val="18"/>
          <w:szCs w:val="18"/>
          <w:color w:val="auto"/>
        </w:rPr>
      </w:pPr>
    </w:p>
    <w:p>
      <w:pPr>
        <w:ind w:left="1980" w:right="759" w:hanging="352"/>
        <w:spacing w:after="0" w:line="264"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73"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tabs>
          <w:tab w:leader="none" w:pos="30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98" w:lineRule="exact"/>
        <w:rPr>
          <w:sz w:val="20"/>
          <w:szCs w:val="20"/>
          <w:color w:val="auto"/>
        </w:rPr>
      </w:pPr>
    </w:p>
    <w:p>
      <w:pPr>
        <w:ind w:left="1980" w:right="779" w:hanging="352"/>
        <w:spacing w:after="0" w:line="25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47" w:lineRule="exact"/>
        <w:rPr>
          <w:rFonts w:ascii="Arial" w:cs="Arial" w:eastAsia="Arial" w:hAnsi="Arial"/>
          <w:sz w:val="18"/>
          <w:szCs w:val="18"/>
          <w:color w:val="auto"/>
        </w:rPr>
      </w:pPr>
    </w:p>
    <w:p>
      <w:pPr>
        <w:ind w:left="1980" w:right="979" w:hanging="352"/>
        <w:spacing w:after="0" w:line="26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73" w:lineRule="exact"/>
        <w:rPr>
          <w:sz w:val="20"/>
          <w:szCs w:val="20"/>
          <w:color w:val="auto"/>
        </w:rPr>
      </w:pPr>
    </w:p>
    <w:p>
      <w:pPr>
        <w:jc w:val="both"/>
        <w:ind w:left="1260" w:right="7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shares may not be publicly offered in Switzerland and will not be listed on the SIX Swiss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(the “SIX”) or on any other stock exchange or regulated trading facility in Switzerland. This document has been prepared without regard to the disclosure standards for issuance prospectuses under art. 652a or art.</w:t>
      </w:r>
    </w:p>
    <w:p>
      <w:pPr>
        <w:ind w:left="1260" w:right="859"/>
        <w:spacing w:after="0" w:line="273" w:lineRule="auto"/>
        <w:rPr>
          <w:sz w:val="20"/>
          <w:szCs w:val="20"/>
          <w:color w:val="auto"/>
        </w:rPr>
      </w:pPr>
      <w:r>
        <w:rPr>
          <w:rFonts w:ascii="Arial" w:cs="Arial" w:eastAsia="Arial" w:hAnsi="Arial"/>
          <w:sz w:val="17"/>
          <w:szCs w:val="17"/>
          <w:color w:val="auto"/>
        </w:rPr>
        <w:t>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69"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w:t>
      </w:r>
    </w:p>
    <w:p>
      <w:pPr>
        <w:spacing w:after="0" w:line="89" w:lineRule="exact"/>
        <w:rPr>
          <w:sz w:val="20"/>
          <w:szCs w:val="20"/>
          <w:color w:val="auto"/>
        </w:rPr>
      </w:pPr>
    </w:p>
    <w:p>
      <w:pPr>
        <w:jc w:val="both"/>
        <w:ind w:left="1260" w:right="759" w:firstLine="360"/>
        <w:spacing w:after="0" w:line="342"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No placement document, prospectus, product disclosure statement or other disclosure document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been lodged with the Australian Securities and Investments Commission (“ASIC”), in relation to the offering.</w:t>
      </w:r>
    </w:p>
    <w:p>
      <w:pPr>
        <w:spacing w:after="0" w:line="16"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0"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5"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Certain legal matters in connection with the common stock being offered hereby will be passed upon for us by Squire Patton Boggs (US) LLP, Cincinnati, Ohio. Attorneys at Squire Patton Boggs (US) LLP beneficially own an aggregate of approximately 3,690 shares of common stock of the Company. Certain legal matters will be passed upon for the underwriters by Faegre Baker Daniels LLP.</w:t>
      </w:r>
    </w:p>
    <w:p>
      <w:pPr>
        <w:spacing w:after="0" w:line="15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The consolidated financial statements of Limoneira Company appearing in Limoneira Company’s Annual Report (Form 10-K) for the year ended October 31, 2017, and the effectiveness of Limoneira Company’s internal control over financial reporting as of October 31, 2017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45" w:lineRule="exact"/>
        <w:rPr>
          <w:sz w:val="20"/>
          <w:szCs w:val="20"/>
          <w:color w:val="auto"/>
        </w:rPr>
      </w:pPr>
    </w:p>
    <w:p>
      <w:pPr>
        <w:ind w:left="4680"/>
        <w:spacing w:after="0"/>
        <w:rPr>
          <w:sz w:val="20"/>
          <w:szCs w:val="20"/>
          <w:color w:val="auto"/>
        </w:rPr>
      </w:pPr>
      <w:r>
        <w:rPr>
          <w:rFonts w:ascii="Arial" w:cs="Arial" w:eastAsia="Arial" w:hAnsi="Arial"/>
          <w:sz w:val="25"/>
          <w:szCs w:val="25"/>
          <w:b w:val="1"/>
          <w:bCs w:val="1"/>
          <w:color w:val="auto"/>
        </w:rPr>
        <w:t>$150,000,000</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283210</wp:posOffset>
            </wp:positionV>
            <wp:extent cx="2915920" cy="488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592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Limoneira Company</w:t>
      </w:r>
    </w:p>
    <w:p>
      <w:pPr>
        <w:spacing w:after="0" w:line="145"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312420</wp:posOffset>
            </wp:positionV>
            <wp:extent cx="1235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may from time to time issue, in one or more offerings, up to $150,000,000 in aggregate principal amount of our common stock. This prospectus describes the general terms and the general manner in which the common stock will be offered. We will provide the specific terms of the shares of common stock in supplements to this prospectus. The prospectus supplements will also describe the specific manner in which our common stock will be offered and may also supplement, update or amend information contained in this prospectus. You should read this prospectus and any applicable prospectus supplement before you invest in shares of our common stock.</w:t>
      </w:r>
    </w:p>
    <w:p>
      <w:pPr>
        <w:spacing w:after="0" w:line="165"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may offer shares of common stock in amounts, at prices and on terms determined at the time of offering. The shares of common stock may be sold directly to you, through agents or through underwriters and dealers. If agents, underwriters or dealers are used to sell the shares of common stock, we will name them and describe their compensation in a prospectus supplement.</w:t>
      </w:r>
    </w:p>
    <w:p>
      <w:pPr>
        <w:spacing w:after="0" w:line="187"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Our common stock trades on the NASDAQ Global Market under the symbol LMNR. On May 2, 2017, the closing sale price of our common stock was $20.33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323215</wp:posOffset>
            </wp:positionV>
            <wp:extent cx="1235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right="759" w:firstLine="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these securities involves certain risks. See “Risk Factors” on page </w:t>
      </w:r>
      <w:hyperlink w:anchor="page31">
        <w:r>
          <w:rPr>
            <w:rFonts w:ascii="Arial" w:cs="Arial" w:eastAsia="Arial" w:hAnsi="Arial"/>
            <w:sz w:val="18"/>
            <w:szCs w:val="18"/>
            <w:b w:val="1"/>
            <w:bCs w:val="1"/>
            <w:u w:val="single" w:color="auto"/>
            <w:color w:val="0000EE"/>
          </w:rPr>
          <w:t>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and any other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297180</wp:posOffset>
            </wp:positionV>
            <wp:extent cx="1235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The date of this prospectus is 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39"/>
        </w:trPr>
        <w:tc>
          <w:tcPr>
            <w:tcW w:w="7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22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ABOUT THIS PROSPECTUS</w:t>
              </w:r>
            </w:hyperlink>
          </w:p>
        </w:tc>
        <w:tc>
          <w:tcPr>
            <w:tcW w:w="5660" w:type="dxa"/>
            <w:vAlign w:val="bottom"/>
            <w:tcBorders>
              <w:bottom w:val="single" w:sz="8" w:color="CCEEFF"/>
            </w:tcBorders>
            <w:gridSpan w:val="6"/>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7900" w:type="dxa"/>
            <w:vAlign w:val="bottom"/>
            <w:gridSpan w:val="12"/>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320" w:type="dxa"/>
            <w:vAlign w:val="bottom"/>
            <w:gridSpan w:val="4"/>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w:t>
              </w:r>
            </w:hyperlink>
          </w:p>
        </w:tc>
      </w:tr>
      <w:tr>
        <w:trPr>
          <w:trHeight w:val="243"/>
        </w:trPr>
        <w:tc>
          <w:tcPr>
            <w:tcW w:w="382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INCORPORATION BY REFERENCE</w:t>
              </w:r>
            </w:hyperlink>
          </w:p>
        </w:tc>
        <w:tc>
          <w:tcPr>
            <w:tcW w:w="4080" w:type="dxa"/>
            <w:vAlign w:val="bottom"/>
            <w:tcBorders>
              <w:top w:val="single" w:sz="8" w:color="CCEEFF"/>
            </w:tcBorders>
            <w:gridSpan w:val="2"/>
          </w:tcPr>
          <w:p>
            <w:pPr>
              <w:spacing w:after="0"/>
              <w:rPr>
                <w:sz w:val="21"/>
                <w:szCs w:val="21"/>
                <w:color w:val="auto"/>
              </w:rPr>
            </w:pPr>
          </w:p>
        </w:tc>
        <w:tc>
          <w:tcPr>
            <w:tcW w:w="160" w:type="dxa"/>
            <w:vAlign w:val="bottom"/>
            <w:tcBorders>
              <w:top w:val="single" w:sz="8" w:color="CCEEFF"/>
            </w:tcBorders>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60" w:type="dxa"/>
            <w:vAlign w:val="bottom"/>
            <w:tcBorders>
              <w:top w:val="single" w:sz="8" w:color="CCEEFF"/>
            </w:tcBorders>
          </w:tcPr>
          <w:p>
            <w:pPr>
              <w:spacing w:after="0"/>
              <w:rPr>
                <w:sz w:val="21"/>
                <w:szCs w:val="2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4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IMPORTANT INFORMATION REGARDING FORWARD-LOOKING STATEMENTS</w:t>
              </w:r>
            </w:hyperlink>
          </w:p>
        </w:tc>
        <w:tc>
          <w:tcPr>
            <w:tcW w:w="1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LIMONEIRA COMPANY</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3</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900" w:type="dxa"/>
            <w:vAlign w:val="bottom"/>
            <w:gridSpan w:val="12"/>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320" w:type="dxa"/>
            <w:vAlign w:val="bottom"/>
            <w:gridSpan w:val="4"/>
            <w:shd w:val="clear" w:color="auto" w:fill="CCEEFF"/>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CAPITAL STOCK</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PLAN OF DISTRIBUTION</w:t>
              </w:r>
            </w:hyperlink>
          </w:p>
        </w:tc>
        <w:tc>
          <w:tcPr>
            <w:tcW w:w="5840" w:type="dxa"/>
            <w:vAlign w:val="bottom"/>
            <w:tcBorders>
              <w:bottom w:val="single" w:sz="8" w:color="CCEEFF"/>
            </w:tcBorders>
            <w:gridSpan w:val="7"/>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900" w:type="dxa"/>
            <w:vAlign w:val="bottom"/>
            <w:gridSpan w:val="12"/>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320" w:type="dxa"/>
            <w:vAlign w:val="bottom"/>
            <w:gridSpan w:val="4"/>
            <w:shd w:val="clear" w:color="auto" w:fill="CCEEFF"/>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-1988820</wp:posOffset>
            </wp:positionV>
            <wp:extent cx="50171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ABOUT THIS PROSPECTUS</w:t>
      </w:r>
    </w:p>
    <w:p>
      <w:pPr>
        <w:spacing w:after="0" w:line="108"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utilizing a “shelf’ registration process. Under this shelf registration process, we may from time to time sell shares of common stock described in this prospectus in one or more offerings for an aggregate initial offering price of up to $150,000,000.</w:t>
      </w:r>
    </w:p>
    <w:p>
      <w:pPr>
        <w:spacing w:after="0" w:line="79" w:lineRule="exact"/>
        <w:rPr>
          <w:sz w:val="20"/>
          <w:szCs w:val="20"/>
          <w:color w:val="auto"/>
        </w:rPr>
      </w:pPr>
    </w:p>
    <w:p>
      <w:pPr>
        <w:ind w:left="1260" w:right="819" w:firstLine="36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This prospectus provides you with a general description of the shares of common stock we may offer. Each time we sell shares of common stock under this prospectus,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hyperlink w:anchor="page31">
        <w:r>
          <w:rPr>
            <w:rFonts w:ascii="Arial" w:cs="Arial" w:eastAsia="Arial" w:hAnsi="Arial"/>
            <w:sz w:val="16"/>
            <w:szCs w:val="16"/>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prospectus.</w:t>
      </w:r>
    </w:p>
    <w:p>
      <w:pPr>
        <w:spacing w:after="0" w:line="57"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59"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Unless the context otherwise indicates, references in this prospectus to “we,” “our,” “Limoneira,” the “Company,” “us” and similar designations refer, collectively, to Limoneira Company, a Delaware corporation, and its consolidated subsidiaries.</w:t>
      </w:r>
    </w:p>
    <w:p>
      <w:pPr>
        <w:spacing w:after="0" w:line="7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15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Investing in our securities involves significant risks. Please see the risk factors under the heading “Risk Factors” in our Annual Report on Form 10-K for the year ended October 31, 2016 on file with the SEC, which are incorporated by reference in this prospectus and which will be updated in our quarterly reports on Form 10-Q, also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which is available at http://www.sec.gov. Copies of certain information filed by us with the SEC are also available on our website at http://www.limoneira.com. Our website is not a part of this prospectus. You may also read and copy any documents or materials that we file at the SEC’s Public Reference Room, 100 F Street, N.E., Washington, D.C. 20549. Please call the SEC at 1-800-SEC-0330 for further information on the operation of the Public Reference Room.</w:t>
      </w:r>
    </w:p>
    <w:p>
      <w:pPr>
        <w:spacing w:after="0" w:line="70"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079"/>
        <w:spacing w:after="0" w:line="259" w:lineRule="auto"/>
        <w:rPr>
          <w:sz w:val="20"/>
          <w:szCs w:val="20"/>
          <w:color w:val="auto"/>
        </w:rPr>
      </w:pPr>
      <w:r>
        <w:rPr>
          <w:rFonts w:ascii="Arial" w:cs="Arial" w:eastAsia="Arial" w:hAnsi="Arial"/>
          <w:sz w:val="18"/>
          <w:szCs w:val="18"/>
          <w:color w:val="auto"/>
        </w:rPr>
        <w:t>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6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(Commission File No. 001-34755)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our common stock under the registration statement is terminated or completed:</w:t>
      </w:r>
    </w:p>
    <w:p>
      <w:pPr>
        <w:spacing w:after="0" w:line="94" w:lineRule="exact"/>
        <w:rPr>
          <w:sz w:val="20"/>
          <w:szCs w:val="20"/>
          <w:color w:val="auto"/>
        </w:rPr>
      </w:pPr>
    </w:p>
    <w:p>
      <w:pPr>
        <w:ind w:left="1980" w:right="779" w:hanging="352"/>
        <w:spacing w:after="0" w:line="259"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October 31, 2016, filed on January 10, 2017, including the information specifically incorporated by reference into the Annual Report on Form 10-K from our definitive proxy statement for the 2017 Annual Meeting of Stockholders filed on February 15, 2017;</w:t>
      </w:r>
    </w:p>
    <w:p>
      <w:pPr>
        <w:spacing w:after="0" w:line="119"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Quarterly Report on Form 10-Q for the quarter ended January 31, 2017 filed on March 13, 2017;</w:t>
      </w:r>
    </w:p>
    <w:p>
      <w:pPr>
        <w:spacing w:after="0" w:line="155" w:lineRule="exact"/>
        <w:rPr>
          <w:rFonts w:ascii="Arial" w:cs="Arial" w:eastAsia="Arial" w:hAnsi="Arial"/>
          <w:sz w:val="17"/>
          <w:szCs w:val="17"/>
          <w:color w:val="auto"/>
        </w:rPr>
      </w:pPr>
    </w:p>
    <w:p>
      <w:pPr>
        <w:ind w:left="1980" w:right="119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Reports on Form 8-K filed November 16, 2016, January 25, 2017, February 27, 2017 and March 31, 2017; and</w:t>
      </w:r>
    </w:p>
    <w:p>
      <w:pPr>
        <w:spacing w:after="0" w:line="102"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common stock and rights agreement contained in our registration statement on Form 8-A filed on May 25, 2010, including any amendments or reports filed for the purpose of updating such description.</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of the foregoing documents incorporated herein by reference (other than exhibits unless such exhibits are specifically incorporated by reference in such documents). Requests for such documents should be directed to:</w:t>
      </w:r>
    </w:p>
    <w:p>
      <w:pPr>
        <w:spacing w:after="0" w:line="7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Limoneira Company</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1141 Cummings Road</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Santa Paula, California 93060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(Telephone: (805) 525-5541)</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IMPORTANT INFORMATION REGARDING FORWARD-LOOKING STATEMENTS</w:t>
      </w:r>
    </w:p>
    <w:p>
      <w:pPr>
        <w:spacing w:after="0" w:line="108"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The potential risks and uncertainties that could cause our actual financial condition, results of operations and future performance to differ materially from those expressed or implied in this prospectus include:</w:t>
      </w:r>
    </w:p>
    <w:p>
      <w:pPr>
        <w:spacing w:after="0" w:line="66" w:lineRule="exact"/>
        <w:rPr>
          <w:sz w:val="20"/>
          <w:szCs w:val="20"/>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144" w:lineRule="exact"/>
        <w:rPr>
          <w:rFonts w:ascii="Arial" w:cs="Arial" w:eastAsia="Arial" w:hAnsi="Arial"/>
          <w:sz w:val="18"/>
          <w:szCs w:val="18"/>
          <w:color w:val="auto"/>
        </w:rPr>
      </w:pPr>
    </w:p>
    <w:p>
      <w:pPr>
        <w:ind w:left="1980" w:right="1199" w:hanging="352"/>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including freezes and rains, that affect the production, transportation, storage, import and export of fresh produce;</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and currency exchange rates;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disruptions, strikes or work stoppages;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disclosed in this prospectus or any accompanying prospectus supplement.</w:t>
      </w:r>
    </w:p>
    <w:p>
      <w:pPr>
        <w:spacing w:after="0" w:line="117"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In addition, this prospectus contains industry data related to our business and the markets in which we operate. This data includes projections that are based on a number of assumptions. If these assumptions turn out to be incorrect, actual results could differ from the projections. We urge you to carefully review this prospectus, particularly the section entitled “Risk Factors” of this prospectus, and any other risk factors set forth in any accompanying prospectus supplement and in any information incorporated by reference in this prospectus for a description of these risks and uncertainties as well as any other risk factors and cautionary statements described in the documents we file from time to time with the SEC, specifically our most recent Annual Report on Form 10-K, our Quarterly Reports on Form 10-Q and our Current Reports on Form 8-K.</w:t>
      </w:r>
    </w:p>
    <w:p>
      <w:pPr>
        <w:spacing w:after="0" w:line="71" w:lineRule="exact"/>
        <w:rPr>
          <w:sz w:val="20"/>
          <w:szCs w:val="20"/>
          <w:color w:val="auto"/>
        </w:rPr>
      </w:pPr>
    </w:p>
    <w:p>
      <w:pPr>
        <w:jc w:val="both"/>
        <w:ind w:left="1260" w:right="1039" w:firstLine="360"/>
        <w:spacing w:after="0" w:line="288"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prospectus, some of which are beyond our control, will be important in determining our future performance.</w:t>
      </w:r>
    </w:p>
    <w:p>
      <w:pPr>
        <w:ind w:left="1260" w:right="739"/>
        <w:spacing w:after="0" w:line="252" w:lineRule="auto"/>
        <w:rPr>
          <w:sz w:val="20"/>
          <w:szCs w:val="20"/>
          <w:color w:val="auto"/>
        </w:rPr>
      </w:pPr>
      <w:r>
        <w:rPr>
          <w:rFonts w:ascii="Arial" w:cs="Arial" w:eastAsia="Arial" w:hAnsi="Arial"/>
          <w:sz w:val="18"/>
          <w:szCs w:val="18"/>
          <w:color w:val="auto"/>
        </w:rPr>
        <w:t>Consequently, actual results may differ materially from those that might be anticipated from forward-looking statements. In light of these and other uncertainties, you should not regard the inclusion of a forward-looking statement in this prospectus as a representation by us that our plans and objectives will be achieved, and you should not place undue reliance on such forward-looking statements. We undertake no obligation to publicly update any forward-looking statements, whether as a result of new information, future events or otherwise, except as required by law.</w:t>
      </w:r>
    </w:p>
    <w:p>
      <w:pPr>
        <w:spacing w:after="0" w:line="17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ABOUT LIMONEIRA COMPANY</w:t>
      </w:r>
    </w:p>
    <w:p>
      <w:pPr>
        <w:spacing w:after="0" w:line="108" w:lineRule="exact"/>
        <w:rPr>
          <w:sz w:val="20"/>
          <w:szCs w:val="20"/>
          <w:color w:val="auto"/>
        </w:rPr>
      </w:pPr>
    </w:p>
    <w:p>
      <w:pPr>
        <w:ind w:left="1260" w:right="919" w:firstLine="360"/>
        <w:spacing w:after="0" w:line="302" w:lineRule="auto"/>
        <w:rPr>
          <w:sz w:val="20"/>
          <w:szCs w:val="20"/>
          <w:color w:val="auto"/>
        </w:rPr>
      </w:pPr>
      <w:r>
        <w:rPr>
          <w:rFonts w:ascii="Arial" w:cs="Arial" w:eastAsia="Arial" w:hAnsi="Arial"/>
          <w:sz w:val="16"/>
          <w:szCs w:val="16"/>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11,000 acres of land, water resources and other assets to maximize long-term stockholder value. Our</w:t>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current operations consist of fruit production, sales and marketing, rental operations, real estate development and capital investment activities. Since May 27, 2010, our common stock has traded on the NASDAQ Global Market under the symbol “LMNR.”</w:t>
      </w:r>
    </w:p>
    <w:p>
      <w:pPr>
        <w:spacing w:after="0" w:line="73"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We are one of California’s oldest citrus growers. According to Sunkist Growers, Inc.,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Bernardino and San Luis Obispo Counties in California and in Yuma County in Arizona, which collectively consist of approximately 4,600 acres of lemons, 1,000 acres of avocados, 1,400 acres of oranges and 900 acres of specialty citrus and other crops. We also operate our own packinghouses in Santa Paula, California and Yuma, Arizona, where we process, pack and sell lemons that we grow, as well as lemons grown by others.</w:t>
      </w:r>
    </w:p>
    <w:p>
      <w:pPr>
        <w:spacing w:after="0" w:line="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w:t>
      </w:r>
    </w:p>
    <w:p>
      <w:pPr>
        <w:spacing w:after="0" w:line="59"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For more than 100 years, we have been making strategic investments in California agriculture and real estate development. We currently have three active real estate development projects in California. These projects include multi-family housing and single-family homes comprising approximately 260 completed rental units and another approximately 1,800 units in various stages of planning and development.</w:t>
      </w:r>
    </w:p>
    <w:p>
      <w:pPr>
        <w:spacing w:after="0" w:line="6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Our principal executive offices are located at 1141 Cummings Road, Santa Paula, California 93060 and our telephone number is (805) 525-5541.</w:t>
      </w:r>
    </w:p>
    <w:p>
      <w:pPr>
        <w:spacing w:after="0" w:line="62"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Limoneira is a registered trademark of Limoneira Company. The Limoneira logo is a registered stylized trademark of Limoneira Company.</w:t>
      </w:r>
    </w:p>
    <w:p>
      <w:pPr>
        <w:spacing w:after="0" w:line="153"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Unless otherwise indicated in the applicable prospectus supplement, we intend to use the net proceeds from the sale of shares of our common stock offered under this prospectus for general corporate purposes, which may include, among other things: reducing or refinancing indebtedness; acquiring assets, businesses or securities; making capital expenditures and for working capital, as well as for repurchasing stock. When specific securities are offered, the prospectus supplement relating thereto will set forth our intended use of the net proceeds that we receive from the sale of such shares of common stock. Pending the application of the net proceeds, we may invest the proceeds in marketable securities and short-term investments.</w:t>
      </w:r>
    </w:p>
    <w:p>
      <w:pPr>
        <w:spacing w:after="0" w:line="16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CAPITAL STOCK</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Our certificate of incorporation currently authorizes the issuance of up to 39,100,000 shares of capital stock, consisting of 39,000,000 shares of common stock, par value $0.01 per share; 50,000 shares of Class A Preferred Stock, par value $0.01 per share; and 50,000 shares of Class B Preferred Stock, par value $100 per share. The following description of our capital stock is a summary and is qualified by the provisions of our certificate of incorporation and bylaws, copies of which are exhibits to the registration statement of which this prospectus forms a part.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We have 39,000,000 authorized shares of common stock, par value $0.01 per share. On April 30, 2017, there were 14,367,006 shares of our common stock outstanding. Holders of our common stock are entitled to one vote for each share held of record on each matter submitted to a vote of stockholders. Subject to the</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9" w:lineRule="auto"/>
        <w:rPr>
          <w:sz w:val="20"/>
          <w:szCs w:val="20"/>
          <w:color w:val="auto"/>
        </w:rPr>
      </w:pPr>
      <w:r>
        <w:rPr>
          <w:rFonts w:ascii="Arial" w:cs="Arial" w:eastAsia="Arial" w:hAnsi="Arial"/>
          <w:sz w:val="16"/>
          <w:szCs w:val="16"/>
          <w:color w:val="auto"/>
        </w:rPr>
        <w:t>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preferred stock. Holders of our common stock have no preemptive rights and have no rights to convert their common stock into any other securities. Our outstanding common stock is duly authorized and validly issued, fully paid and nonassessable. In the event we were to elect to sell additional shares of common stock, holders of our common stock would have no right to purchase additional shares. As a result, the common stockholders’ percentage equity interest would be diluted.</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859" w:firstLine="360"/>
        <w:spacing w:after="0" w:line="285" w:lineRule="auto"/>
        <w:rPr>
          <w:sz w:val="20"/>
          <w:szCs w:val="20"/>
          <w:color w:val="auto"/>
        </w:rPr>
      </w:pPr>
      <w:r>
        <w:rPr>
          <w:rFonts w:ascii="Arial" w:cs="Arial" w:eastAsia="Arial" w:hAnsi="Arial"/>
          <w:sz w:val="16"/>
          <w:szCs w:val="16"/>
          <w:color w:val="auto"/>
        </w:rPr>
        <w:t>We have 100,000 authorized shares of preferred stock, consisting of (i) 50,000 shares of Class B Preferred Stock, par value $100 per share, of which 30,000 shares have been designated as Series B Convertible Preferred Stock (the “Series B Convertible Preferred Stock”) and 10,000 shares have been designated as Series B-2 4% Voting Preferred Stock (the “Series B-2 Preferred Stock”), and (ii) 50,000 shares of Class A Preferred Stock, par value $0.01 per share, of which 20,000 shares have been designated as Series A Junior Participating Preferred Stock. We may issue preferred stock in one or more series and having the rights, privileges and limitations, including voting rights, conversion rights, liquidation preferences, dividend rights and preferences and redemption rights, as may, from time to time, be determined by our board of directors. Preferred stock may be issued in the future in connection with acquisitions, financing or other matters, as our board of directors deems appropriate. In the event that we determine to issue any shares of preferred stock, a certificate of designation containing the rights, privileges and limitations of the series of preferred stock will be filed with the Delaware Secretary of State. The effect of this preferred stock designation power is that our board of directors alone, subject to federal securities laws, applicable blue sky laws and Delaware law, may be able to authorize the issuance of preferred stock which could have the effect of delaying, deferring or preventing a change in control without further action by our stockholders, and may adversely affect the voting and other rights of the holders of our common stock. The issuance of preferred stock with voting and conversion rights may also adversely affect the voting power of the holders of our common stock, including the loss of voting controls to others. Below is a description of each class of preferred stock as of April 30, 2017.</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0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On May 21, 1997, our board of directors designated 30,000 shares of Class B Preferred Stock as Series B Convertible Preferred Stock, par value $100.00 per share. As of April 30, 2017, there were 17,832 shares of our Series B Convertible Preferred Stock, par value $100 per share, issued and outstanding. Our Series B Convertible Preferred Stock has the following rights, preferences, privileges and restrictions:</w:t>
      </w:r>
    </w:p>
    <w:p>
      <w:pPr>
        <w:spacing w:after="0" w:line="63"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holders of shares of our Series B Convertible Preferred Stock have the right,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option, to convert such shares into shares of common stock of the Company at any time prior to redemption. The conversion price is $8.00 per share of common stock. Pursuant to the terms of the Certificate of Designation, Preferences and Rights of the Series B Convertible Preferred Stock, the conversion price shall be adjusted to reflect any dividends paid in common stock of the Company, the subdivision of the common stock of the Company into a greater number of shares of common stock of the Company or to prevent unfair dilution or increase of the converted common stock upon the advice of legal counsel.</w:t>
      </w:r>
    </w:p>
    <w:p>
      <w:pPr>
        <w:spacing w:after="0" w:line="70"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shares of our Series B Convertible Preferred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cash dividends at an annual rate of 8.75% of par value. Such dividends are payable quarterly on the first day of January, April, July and October in each year commencing July 1, 1997.</w:t>
      </w:r>
    </w:p>
    <w:p>
      <w:pPr>
        <w:spacing w:after="0" w:line="57"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any voluntary or involuntary liquidation, dissolution or winding up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the holders of shares of our Series B Convertible Preferred Stock are entitled to be paid out of the assets available for distribution, before any payment is made to the holders of our common stock or any other series or class of our shares ranking junior to the Series B Convertible Preferred Stock, an amount equal to $100.00 per share, plus an amount equal to all accrued and unpaid dividends.</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shares of our Series B Convertible Preferred Stock is entitled to ten votes on</w:t>
      </w:r>
      <w:r>
        <w:rPr>
          <w:rFonts w:ascii="Arial" w:cs="Arial" w:eastAsia="Arial" w:hAnsi="Arial"/>
          <w:sz w:val="18"/>
          <w:szCs w:val="18"/>
          <w:i w:val="1"/>
          <w:iCs w:val="1"/>
          <w:color w:val="auto"/>
        </w:rPr>
        <w:t xml:space="preserve"> </w:t>
      </w:r>
      <w:r>
        <w:rPr>
          <w:rFonts w:ascii="Arial" w:cs="Arial" w:eastAsia="Arial" w:hAnsi="Arial"/>
          <w:sz w:val="18"/>
          <w:szCs w:val="18"/>
          <w:color w:val="auto"/>
        </w:rPr>
        <w:t>all matters submitted to a vote of the stockholders of the Company.</w:t>
      </w:r>
    </w:p>
    <w:p>
      <w:pPr>
        <w:spacing w:after="0" w:line="62"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Company, at the option of the board of directors, may redeem the Series B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as a whole or in part, at any time or from time to time on or after August 1, 2017 and before July 31, 2027, at a redemption price equal to $100.00 per share, plus accrued and unpaid dividends thereon to the date fixed for redemption.</w:t>
      </w:r>
    </w:p>
    <w:p>
      <w:pPr>
        <w:spacing w:after="0" w:line="79"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i w:val="1"/>
          <w:iCs w:val="1"/>
          <w:color w:val="auto"/>
        </w:rPr>
        <w:t>Put Rights</w:t>
      </w:r>
      <w:r>
        <w:rPr>
          <w:rFonts w:ascii="Arial" w:cs="Arial" w:eastAsia="Arial" w:hAnsi="Arial"/>
          <w:sz w:val="18"/>
          <w:szCs w:val="18"/>
          <w:color w:val="auto"/>
        </w:rPr>
        <w:t>. At any time upon written notice to the Company given on or after July 1, 2017 and before</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2027, any holders of record of our Series B Convertible Preferred Stock may cause the Company to repurchase all of the outstanding shares of the Series B Convertible Preferred Stock held by that stockholder at a repurchase price equal to its par value plus accrued and unpaid dividends thereon, to the date fixed for repurchase. The repurchase date, which will be fixed by the Company, will not be more than 90 days following the date of the written notice from the Series B Convertible Stock holder. The Company will provide notice regarding any such repurchase.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B-2 Preferred Stock</w:t>
      </w:r>
    </w:p>
    <w:p>
      <w:pPr>
        <w:spacing w:after="0" w:line="104" w:lineRule="exact"/>
        <w:rPr>
          <w:sz w:val="20"/>
          <w:szCs w:val="20"/>
          <w:color w:val="auto"/>
        </w:rPr>
      </w:pPr>
    </w:p>
    <w:p>
      <w:pPr>
        <w:ind w:left="1260" w:right="799" w:firstLine="360"/>
        <w:spacing w:after="0" w:line="312" w:lineRule="auto"/>
        <w:rPr>
          <w:sz w:val="20"/>
          <w:szCs w:val="20"/>
          <w:color w:val="auto"/>
        </w:rPr>
      </w:pPr>
      <w:r>
        <w:rPr>
          <w:rFonts w:ascii="Arial" w:cs="Arial" w:eastAsia="Arial" w:hAnsi="Arial"/>
          <w:sz w:val="16"/>
          <w:szCs w:val="16"/>
          <w:color w:val="auto"/>
        </w:rPr>
        <w:t>On March 19, 2014, our board of directors designated 10,000 shares of Class B Preferred Stock as Series B-2 Preferred Stock. As of April 30, 2017, there were 9,300 shares of our Series B-2 Preferred Stock issued and outstanding. Our Series B-2 Preferred Stock has the following rights, preferences, privileges and restrictions:</w:t>
      </w:r>
    </w:p>
    <w:p>
      <w:pPr>
        <w:spacing w:after="0" w:line="39"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Each share of the Series B-2 Preferred Stock is convertible into common stock at a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between Associated Citrus Packers, Inc., an Arizona corporation and our wholly-owned subsidiary, and WPI-ACP Farm AZ, LLC, a Delaware limited liability company, dated March 21, 2014 (the “Option Agreement”) is terminated without all of the shares of Series B-2 Preferred Stock having been redeemed, within 30 calendar days following such termination.</w:t>
      </w:r>
    </w:p>
    <w:p>
      <w:pPr>
        <w:spacing w:after="0" w:line="59"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 of shares of the Series B-2 Preferred Stock is entitled to receive cumulative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at an annual rate of 4% of the liquidation value of $1,000 per share. Such dividends are payable quarterly on the first day of January, April, July and October in each year commencing July 1, 2014.</w:t>
      </w:r>
    </w:p>
    <w:p>
      <w:pPr>
        <w:spacing w:after="0" w:line="39" w:lineRule="exact"/>
        <w:rPr>
          <w:sz w:val="20"/>
          <w:szCs w:val="20"/>
          <w:color w:val="auto"/>
        </w:rPr>
      </w:pPr>
    </w:p>
    <w:p>
      <w:pPr>
        <w:ind w:left="1260" w:right="759" w:firstLine="360"/>
        <w:spacing w:after="0" w:line="297"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voluntary or involuntary liquidation, dissolution or winding up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the holders of shares of our Series B-2 Preferred Stock are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50"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of Series B-2 Preferred Stock is entitled to one vote on all matters submitted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Company’s stockholders.</w:t>
      </w:r>
    </w:p>
    <w:p>
      <w:pPr>
        <w:spacing w:after="0" w:line="6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Company may redeem shares of Series B-2 Preferred Stock only (i) from WPI ACP</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LLC (“WPI”) or its designee and (ii) upon, and to the extent of, WPI’s election to exercise its option pursuant to the Option Agreement, at a redemption price equal to the liquidation value of $1,000 per share plus accrued and unpaid dividends.</w:t>
      </w:r>
    </w:p>
    <w:p>
      <w:pPr>
        <w:spacing w:after="0" w:line="79"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i w:val="1"/>
          <w:iCs w:val="1"/>
          <w:color w:val="auto"/>
        </w:rPr>
        <w:t>Transfer Restriction</w:t>
      </w:r>
      <w:r>
        <w:rPr>
          <w:rFonts w:ascii="Arial" w:cs="Arial" w:eastAsia="Arial" w:hAnsi="Arial"/>
          <w:sz w:val="18"/>
          <w:szCs w:val="18"/>
          <w:color w:val="auto"/>
        </w:rPr>
        <w:t>. The shares of the Series B-2 Preferred Stock may not be transferred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Company, which shall not be unreasonably withheld.</w:t>
      </w: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A Junior Participating Preferred Stock</w:t>
      </w:r>
    </w:p>
    <w:p>
      <w:pPr>
        <w:spacing w:after="0" w:line="10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On October 31, 2006, our board of directors designated 20,000 shares of Class A Preferred Stock as Series A Junior Participating Preferred Stock, par value $0.01 per share. As of April 30, 2017, there were no shares of our Series A Participating Preferred Stock issued and outstanding. Our Series A Junior Preferred Stock has the following rights, preferences, privileges and restrictions:</w:t>
      </w:r>
    </w:p>
    <w:p>
      <w:pPr>
        <w:spacing w:after="0" w:line="79" w:lineRule="exact"/>
        <w:rPr>
          <w:sz w:val="20"/>
          <w:szCs w:val="20"/>
          <w:color w:val="auto"/>
        </w:rPr>
      </w:pPr>
    </w:p>
    <w:p>
      <w:pPr>
        <w:ind w:left="1620"/>
        <w:spacing w:after="0"/>
        <w:tabs>
          <w:tab w:leader="none" w:pos="2620" w:val="left"/>
        </w:tabs>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of Series A Junior Participating Preferred Stock are not convertible.</w:t>
      </w:r>
    </w:p>
    <w:p>
      <w:pPr>
        <w:spacing w:after="0" w:line="117"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shares of our Series A Junior Participating Preferred Stock are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cash dividends equal to the greater of (a) $1.00 or (b) 100 times the aggregate per share amount of all cash dividends and 100 times the aggregate per share amount of all non-cash dividends, other than a dividend payable in, and declared on, our common stock. Such dividends are payable quarterly on or before the fifteenth day of January, April, July and October in each year commencing on the first quarterly dividend payment date after the first issuance of a share or fraction of a share of Series A Junior Participating Preferred Stock.</w:t>
      </w:r>
    </w:p>
    <w:p>
      <w:pPr>
        <w:spacing w:after="0" w:line="57"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any voluntary or involuntary liquidation, dissolution or winding up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the holders of shares of our Series A Junior Participating Preferred Stock are entitled to be paid out of the assets available for distribution, before any payment is made to the holders of our common stock or any other series or class of our shares ranking junior to the Series A Junior Participating Preferred Stock, an amount equal to $100.00 per share, plus an amount equal to all accrued and unpaid dividends. Following the payment in full of such liquidation preference, no additional distributions may be made to the holders of shares of our Series A Junior Participating Preferred Stock unless the holders of our common stock have received an amount per share equal to a specified quotient, and, upon payment in full to the holders of our common stock of an amount equal to such quotient, holders of shares of our Series A Junior Participating Preferred Stock and our common stock are entitled to receive their ratable and proportionate share of the remaining assets to be distributed in a specified ratio.</w:t>
      </w:r>
    </w:p>
    <w:p>
      <w:pPr>
        <w:spacing w:after="0" w:line="75"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of Series A Junior Participating Preferred Stock is entitled to 1,000 votes on all</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submitted to a vote of our stockholders.</w:t>
      </w:r>
    </w:p>
    <w:p>
      <w:pPr>
        <w:spacing w:after="0" w:line="62" w:lineRule="exact"/>
        <w:rPr>
          <w:sz w:val="20"/>
          <w:szCs w:val="20"/>
          <w:color w:val="auto"/>
        </w:rPr>
      </w:pPr>
    </w:p>
    <w:p>
      <w:pPr>
        <w:ind w:left="1620"/>
        <w:spacing w:after="0"/>
        <w:tabs>
          <w:tab w:leader="none" w:pos="2640" w:val="left"/>
        </w:tabs>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of Series A Junior Participating Preferred Stock are not redeemable.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Effects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Effects of Authorized but Unissued Stock</w:t>
      </w:r>
    </w:p>
    <w:p>
      <w:pPr>
        <w:spacing w:after="0" w:line="104" w:lineRule="exact"/>
        <w:rPr>
          <w:sz w:val="20"/>
          <w:szCs w:val="20"/>
          <w:color w:val="auto"/>
        </w:rPr>
      </w:pPr>
    </w:p>
    <w:p>
      <w:pPr>
        <w:ind w:left="1260" w:right="859" w:firstLine="360"/>
        <w:spacing w:after="0" w:line="288"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104"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Various provisions of our certificate of incorporation and bylaws, which are summarized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63"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i w:val="1"/>
          <w:iCs w:val="1"/>
          <w:color w:val="auto"/>
        </w:rPr>
        <w:t>No Stockholder Action by Written Consent</w:t>
      </w:r>
      <w:r>
        <w:rPr>
          <w:rFonts w:ascii="Arial" w:cs="Arial" w:eastAsia="Arial" w:hAnsi="Arial"/>
          <w:sz w:val="18"/>
          <w:szCs w:val="18"/>
          <w:color w:val="auto"/>
        </w:rPr>
        <w:t>. Our certificate of incorporation prohibits stockholder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i w:val="1"/>
          <w:iCs w:val="1"/>
          <w:color w:val="auto"/>
        </w:rPr>
        <w:t>Calling of Special Meetings of Stockholders</w:t>
      </w:r>
      <w:r>
        <w:rPr>
          <w:rFonts w:ascii="Arial" w:cs="Arial" w:eastAsia="Arial" w:hAnsi="Arial"/>
          <w:sz w:val="16"/>
          <w:szCs w:val="16"/>
          <w:color w:val="auto"/>
        </w:rPr>
        <w:t>. Our bylaws provide that special meetings of our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called only by our board of directors, a committee of the board of directors or one or more stockholders holding shares that in the aggregate are entitled to cast ten percent of the votes at that meeting.</w:t>
      </w:r>
    </w:p>
    <w:p>
      <w:pPr>
        <w:spacing w:after="0" w:line="39"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Classified Board of Directors</w:t>
      </w:r>
      <w:r>
        <w:rPr>
          <w:rFonts w:ascii="Arial" w:cs="Arial" w:eastAsia="Arial" w:hAnsi="Arial"/>
          <w:sz w:val="18"/>
          <w:szCs w:val="18"/>
          <w:color w:val="auto"/>
        </w:rPr>
        <w:t>. Our certificate of incorporation divides our board of directors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of directors who are elected for three-year terms. Therefore, the full board of directors is not subject to re-election at each annual meeting of our stockholders. Our holders of capital stock are entitled to cumulate their votes in the election of directors. Generally, all matters to be voted on by stockholders must be approved by a majority (or, in the case of the election of directors, by a plurality) of the votes entitled to be cast by all holders of capital stock voting as a single class.</w:t>
      </w:r>
    </w:p>
    <w:p>
      <w:pPr>
        <w:spacing w:after="0" w:line="85"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i w:val="1"/>
          <w:iCs w:val="1"/>
          <w:color w:val="auto"/>
        </w:rPr>
        <w:t>Limits on Ability of Stockholders to Elect and Remove Directors</w:t>
      </w:r>
      <w:r>
        <w:rPr>
          <w:rFonts w:ascii="Arial" w:cs="Arial" w:eastAsia="Arial" w:hAnsi="Arial"/>
          <w:sz w:val="17"/>
          <w:szCs w:val="17"/>
          <w:color w:val="auto"/>
        </w:rPr>
        <w:t>. Our board of directors has the sole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elect a director to fill a vacancy created by the expansion of the board of directors or the resignation, death or removal of a director, which prevents stockholders from being able to fill vacancies on our board of directors. In addition, directors may only be removed by the action of the holders of at least two-thirds of the outstanding shares of our capital stock, voting together as a single class.</w:t>
      </w:r>
    </w:p>
    <w:p>
      <w:pPr>
        <w:spacing w:after="0" w:line="6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common stock and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available for future issuance without the approval of holders of common stock. We may use these additional shares for a variety of corporate purposes, including future offerings to raise additional capital, corporate acquisitions and employee benefit plans.</w:t>
      </w:r>
    </w:p>
    <w:p>
      <w:pPr>
        <w:spacing w:after="0" w:line="79"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i w:val="1"/>
          <w:iCs w:val="1"/>
          <w:color w:val="auto"/>
        </w:rPr>
        <w:t>Supermajority Requirement for Amendment of Bylaws</w:t>
      </w:r>
      <w:r>
        <w:rPr>
          <w:rFonts w:ascii="Arial" w:cs="Arial" w:eastAsia="Arial" w:hAnsi="Arial"/>
          <w:sz w:val="16"/>
          <w:szCs w:val="16"/>
          <w:color w:val="auto"/>
        </w:rPr>
        <w:t>. Under our bylaws, the holders of at least two-thirds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outstanding shares of our capital stock, voting together as a single class, must act to amend our bylaws by stockholder action. The board of directors also has the ability to amend the bylaws without stockholder consent.</w:t>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Business Combinations and other Significant Corporate Transactions with Substantial Stockholders</w:t>
      </w:r>
      <w:r>
        <w:rPr>
          <w:rFonts w:ascii="Arial" w:cs="Arial" w:eastAsia="Arial" w:hAnsi="Arial"/>
          <w:sz w:val="17"/>
          <w:szCs w:val="17"/>
          <w:color w:val="auto"/>
        </w:rPr>
        <w:t>.</w:t>
      </w:r>
    </w:p>
    <w:p>
      <w:pPr>
        <w:spacing w:after="0" w:line="35" w:lineRule="exact"/>
        <w:rPr>
          <w:sz w:val="20"/>
          <w:szCs w:val="20"/>
          <w:color w:val="auto"/>
        </w:rPr>
      </w:pPr>
    </w:p>
    <w:p>
      <w:pPr>
        <w:ind w:left="1260" w:right="759"/>
        <w:spacing w:after="0" w:line="296" w:lineRule="auto"/>
        <w:rPr>
          <w:sz w:val="20"/>
          <w:szCs w:val="20"/>
          <w:color w:val="auto"/>
        </w:rPr>
      </w:pPr>
      <w:r>
        <w:rPr>
          <w:rFonts w:ascii="Arial" w:cs="Arial" w:eastAsia="Arial" w:hAnsi="Arial"/>
          <w:sz w:val="16"/>
          <w:szCs w:val="16"/>
          <w:color w:val="auto"/>
        </w:rPr>
        <w:t>Our certificate of incorporation requires the affirmative vote of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total voting power of all outstanding securities entitled to vote generally in the election of directors to approve certain business combinations and other significant corporate transactions if a substantial stockholder (as defined in our certificate of incorporation) or an affiliate of a substantial stockholder (as defined in our certificate of incorporation) is a party to the transaction. Two-thirds of the board of directors may, in all such cases, determine not to require such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affirmative vote.</w:t>
      </w:r>
    </w:p>
    <w:p>
      <w:pPr>
        <w:spacing w:after="0" w:line="67" w:lineRule="exact"/>
        <w:rPr>
          <w:sz w:val="20"/>
          <w:szCs w:val="20"/>
          <w:color w:val="auto"/>
        </w:rPr>
      </w:pPr>
    </w:p>
    <w:p>
      <w:pPr>
        <w:ind w:left="1260" w:right="759" w:firstLine="360"/>
        <w:spacing w:after="0" w:line="278" w:lineRule="auto"/>
        <w:rPr>
          <w:sz w:val="20"/>
          <w:szCs w:val="20"/>
          <w:color w:val="auto"/>
        </w:rPr>
      </w:pPr>
      <w:r>
        <w:rPr>
          <w:rFonts w:ascii="Arial" w:cs="Arial" w:eastAsia="Arial" w:hAnsi="Arial"/>
          <w:sz w:val="16"/>
          <w:szCs w:val="16"/>
          <w:i w:val="1"/>
          <w:iCs w:val="1"/>
          <w:color w:val="auto"/>
        </w:rPr>
        <w:t>Stockholder Proposals and Nominations of Candidates for Election to the Board of Directors</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nominations or other business to be properly brought before an annual meeting by a stockholder, the stockholder must have given timely written notice. To be timely, the stockholder’s notice must be received at our principal executive offices not earlier than the November 15 immediately preceding the annual meeting nor later than the close of business on the ninetieth (90</w:t>
      </w:r>
      <w:r>
        <w:rPr>
          <w:rFonts w:ascii="Arial" w:cs="Arial" w:eastAsia="Arial" w:hAnsi="Arial"/>
          <w:sz w:val="24"/>
          <w:szCs w:val="24"/>
          <w:color w:val="auto"/>
          <w:vertAlign w:val="superscript"/>
        </w:rPr>
        <w:t>th</w:t>
      </w:r>
      <w:r>
        <w:rPr>
          <w:rFonts w:ascii="Arial" w:cs="Arial" w:eastAsia="Arial" w:hAnsi="Arial"/>
          <w:sz w:val="16"/>
          <w:szCs w:val="16"/>
          <w:color w:val="auto"/>
        </w:rPr>
        <w:t>) day immediately preceding the scheduled date of the annual meeting. The notice must set forth (i) as to each person whom the stockholder proposes to nominate for election or re-election as a director: (a) all information relating to such person that is required to be disclosed in solicitations of proxies for election of directors in an election contest, or is otherwise required, in each case pursuant to and in accordance with Regulation 14A under the Exchange Act, (b) such person’s written consent, and (c) such other information as we may reasonably require to determine the eligibility to serve as a director, including information relevant to a determination whether such proposed nominee can be considered an independent director; (ii) as to each other matter the stockholder proposes to bring before the annual meeting: (a) a brief description of the business desired to be brought and the reasons for conducting such business at the annual meeting and (b) any material interest of the stockholder in such business; and (iii) as to the stockholder giving the notice: (a) the name and record address of the stockholder and (b) the class, series and number of shares of stock which are beneficially owned by the stockholder. This is the exclusive means for a stockholder to make nominations or other business proposals (other than matters properly brought under Rule 14a-8 under the Exchange Act and included in our notice of meeting)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Liability</w:t>
      </w:r>
    </w:p>
    <w:p>
      <w:pPr>
        <w:spacing w:after="0" w:line="108"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Our certificate of incorporation provides that a member of the board of directors will not be personally liable to us or our stockholders for monetary damages for breaches of their fiduciary duties to us or our stockholders as a director, except for liability:</w:t>
      </w:r>
    </w:p>
    <w:p>
      <w:pPr>
        <w:spacing w:after="0" w:line="87" w:lineRule="exact"/>
        <w:rPr>
          <w:sz w:val="20"/>
          <w:szCs w:val="20"/>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17" w:lineRule="exact"/>
        <w:rPr>
          <w:rFonts w:ascii="Arial" w:cs="Arial" w:eastAsia="Arial" w:hAnsi="Arial"/>
          <w:sz w:val="18"/>
          <w:szCs w:val="18"/>
          <w:color w:val="auto"/>
        </w:rPr>
      </w:pPr>
    </w:p>
    <w:p>
      <w:pPr>
        <w:ind w:left="1980" w:right="1119" w:hanging="352"/>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acts or omissions by the director not in good faith or which involve intentional misconduct or a knowing violation of law;</w:t>
      </w:r>
    </w:p>
    <w:p>
      <w:pPr>
        <w:spacing w:after="0" w:line="75"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declaring dividends or authorizing the purchase or redemption of shares in violation of Delaware law; or</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transactions where the director derived any improper personal benefit.</w:t>
      </w:r>
    </w:p>
    <w:p>
      <w:pPr>
        <w:spacing w:after="0" w:line="117"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Our certificate of incorporation also allows us to indemnify directors and officers to the fullest extent authorized by Delaware law.</w:t>
      </w:r>
    </w:p>
    <w:p>
      <w:pPr>
        <w:spacing w:after="0" w:line="62"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bylaws provide that we shall, to the fullest extent authorized by the Delaware General Corporation Law (“DGCL”), indemnify our directors; provided, however, that we may limit the extent of such indemnification by individual contracts with our directors. We shall indemnify any director or other person seeking indemnification in connection with a proceeding (or part thereof) initiated by such person only if such proceeding (or part thereof) was initiated or authorized by the board of directors.</w:t>
      </w:r>
    </w:p>
    <w:p>
      <w:pPr>
        <w:spacing w:after="0" w:line="8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or otherwise, the Company has been advised that in the opinion of the SEC such indemnification is against public policy as expressed in the Securities Act and is, therefore, unenforceable.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our common stock is Computershare.</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PLAN OF DISTRIBUTION</w:t>
      </w:r>
    </w:p>
    <w:p>
      <w:pPr>
        <w:spacing w:after="0" w:line="10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We may sell the shares of common stock being offered hereby in one or more of the following ways from time to time:</w:t>
      </w:r>
    </w:p>
    <w:p>
      <w:pPr>
        <w:spacing w:after="0" w:line="76" w:lineRule="exact"/>
        <w:rPr>
          <w:sz w:val="20"/>
          <w:szCs w:val="20"/>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underwriters for resale to the public or to investors;</w:t>
      </w:r>
    </w:p>
    <w:p>
      <w:pPr>
        <w:spacing w:after="0" w:line="130" w:lineRule="exact"/>
        <w:rPr>
          <w:rFonts w:ascii="Arial" w:cs="Arial" w:eastAsia="Arial" w:hAnsi="Arial"/>
          <w:sz w:val="18"/>
          <w:szCs w:val="18"/>
          <w:color w:val="auto"/>
        </w:rPr>
      </w:pPr>
    </w:p>
    <w:p>
      <w:pPr>
        <w:ind w:left="1980" w:right="839" w:hanging="352"/>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directly to investors; or</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17"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will set forth in a prospectus supplement the terms of a particular offering of shares of common stock, including:</w:t>
      </w:r>
    </w:p>
    <w:p>
      <w:pPr>
        <w:spacing w:after="0" w:line="76" w:lineRule="exact"/>
        <w:rPr>
          <w:sz w:val="20"/>
          <w:szCs w:val="20"/>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purchase price of the securities being offered and the proceeds we will receive from the sale;</w:t>
      </w:r>
    </w:p>
    <w:p>
      <w:pPr>
        <w:spacing w:after="0" w:line="142"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shares of common stock from us;</w:t>
      </w:r>
    </w:p>
    <w:p>
      <w:pPr>
        <w:spacing w:after="0" w:line="62" w:lineRule="exact"/>
        <w:rPr>
          <w:rFonts w:ascii="Arial" w:cs="Arial" w:eastAsia="Arial" w:hAnsi="Arial"/>
          <w:sz w:val="18"/>
          <w:szCs w:val="18"/>
          <w:color w:val="auto"/>
        </w:rPr>
      </w:pPr>
    </w:p>
    <w:p>
      <w:pPr>
        <w:ind w:left="1980" w:right="135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ectPr>
          <w:pgSz w:w="11900" w:h="16838" w:orient="portrait"/>
          <w:cols w:equalWidth="0" w:num="1">
            <w:col w:w="10219"/>
          </w:cols>
          <w:pgMar w:left="240" w:top="132" w:right="1440" w:bottom="1440" w:gutter="0" w:footer="0" w:header="0"/>
        </w:sectPr>
      </w:pP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shares of common stock may be listed.</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Agents</w:t>
      </w:r>
    </w:p>
    <w:p>
      <w:pPr>
        <w:spacing w:after="0" w:line="108"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We may designate agents who agree to use their reasonable efforts to solicit purchases of shares of our common stock for the period of their appointment or to sell such shares of common stock on a continuing basis.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Underwriters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If we use underwriters for a sale of shares of common stock, the underwriters will acquire the common stock for their own account. The underwriters may resell the shares of common stock in one or more transactions, including negotiated transactions, at a fixed public offering price or at varying prices determined at the time of sale. Unless otherwise indicated in the applicable prospectus supplement, the obligations of the underwriters to purchase the shares of common stock will be subject to the conditions set forth in the applicable underwriting agreement and the underwriters will be obligated to purchase all such shares if any are purchased. We may change from time to time any initial public offering price and any discounts or concessions the underwriters allow or re-allow or pay to dealers. We may use underwriters with whom we have a material relationship. We will describe the nature of any such relationship in any prospectus supplement naming any such underwriter. Only underwriters we name in the prospectus supplement are underwriters of the shares of common stock offered by the prospectus supplement.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 Sales</w:t>
      </w:r>
    </w:p>
    <w:p>
      <w:pPr>
        <w:spacing w:after="0" w:line="108" w:lineRule="exact"/>
        <w:rPr>
          <w:sz w:val="20"/>
          <w:szCs w:val="20"/>
          <w:color w:val="auto"/>
        </w:rPr>
      </w:pPr>
    </w:p>
    <w:p>
      <w:pPr>
        <w:ind w:left="1260" w:right="939" w:firstLine="360"/>
        <w:spacing w:after="0" w:line="290" w:lineRule="auto"/>
        <w:rPr>
          <w:sz w:val="20"/>
          <w:szCs w:val="20"/>
          <w:color w:val="auto"/>
        </w:rPr>
      </w:pPr>
      <w:r>
        <w:rPr>
          <w:rFonts w:ascii="Arial" w:cs="Arial" w:eastAsia="Arial" w:hAnsi="Arial"/>
          <w:sz w:val="16"/>
          <w:szCs w:val="16"/>
          <w:color w:val="auto"/>
        </w:rPr>
        <w:t>We may also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0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Our common stock is listed on the NASDAQ Global Market. We cannot give any assurance as to the liquidity of the trading market for shares of our common stock.</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Stabilization Activities</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Passive Market Making</w:t>
      </w:r>
    </w:p>
    <w:p>
      <w:pPr>
        <w:spacing w:after="0" w:line="108"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Any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39"/>
        <w:spacing w:after="0" w:line="264" w:lineRule="auto"/>
        <w:rPr>
          <w:sz w:val="20"/>
          <w:szCs w:val="20"/>
          <w:color w:val="auto"/>
        </w:rPr>
      </w:pPr>
      <w:r>
        <w:rPr>
          <w:rFonts w:ascii="Arial" w:cs="Arial" w:eastAsia="Arial" w:hAnsi="Arial"/>
          <w:sz w:val="18"/>
          <w:szCs w:val="18"/>
          <w:color w:val="auto"/>
        </w:rPr>
        <w:t>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jc w:val="both"/>
        <w:ind w:left="1260" w:right="1019" w:firstLine="360"/>
        <w:spacing w:after="0" w:line="264" w:lineRule="auto"/>
        <w:rPr>
          <w:sz w:val="20"/>
          <w:szCs w:val="20"/>
          <w:color w:val="auto"/>
        </w:rPr>
      </w:pPr>
      <w:r>
        <w:rPr>
          <w:rFonts w:ascii="Arial" w:cs="Arial" w:eastAsia="Arial" w:hAnsi="Arial"/>
          <w:sz w:val="18"/>
          <w:szCs w:val="18"/>
          <w:color w:val="auto"/>
        </w:rPr>
        <w:t>The validity of the shares of common stock in respect of which this prospectus is being delivered will be passed upon by Squire Patton Boggs (US) LLP, Cincinnati, Ohio. Attorneys at Squire Patton Boggs (US) LLP beneficially own 3,690 shares of our common stock.</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The consolidated financial statements of Limoneira Company appearing in Limoneira Company’s Annual Report (Form 10-K) for the year ended October 31, 2016, and the effectiveness of Limoneira Company’s internal control over financial reporting as of October 31, 2016,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306070</wp:posOffset>
            </wp:positionV>
            <wp:extent cx="521398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365760</wp:posOffset>
            </wp:positionV>
            <wp:extent cx="5213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349885</wp:posOffset>
            </wp:positionV>
            <wp:extent cx="2915920" cy="488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1592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20"/>
        <w:spacing w:after="0"/>
        <w:rPr>
          <w:sz w:val="20"/>
          <w:szCs w:val="20"/>
          <w:color w:val="auto"/>
        </w:rPr>
      </w:pPr>
      <w:r>
        <w:rPr>
          <w:rFonts w:ascii="Arial" w:cs="Arial" w:eastAsia="Arial" w:hAnsi="Arial"/>
          <w:sz w:val="32"/>
          <w:szCs w:val="3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666115</wp:posOffset>
            </wp:positionV>
            <wp:extent cx="15436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226695</wp:posOffset>
            </wp:positionV>
            <wp:extent cx="15436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i w:val="1"/>
          <w:iCs w:val="1"/>
          <w:color w:val="auto"/>
        </w:rPr>
        <w:t>Lead Book-Running Managers</w:t>
      </w:r>
    </w:p>
    <w:p>
      <w:pPr>
        <w:spacing w:after="0" w:line="189" w:lineRule="exact"/>
        <w:rPr>
          <w:sz w:val="20"/>
          <w:szCs w:val="20"/>
          <w:color w:val="auto"/>
        </w:rPr>
      </w:pPr>
    </w:p>
    <w:p>
      <w:pPr>
        <w:jc w:val="center"/>
        <w:ind w:right="-520"/>
        <w:spacing w:after="0"/>
        <w:rPr>
          <w:sz w:val="20"/>
          <w:szCs w:val="20"/>
          <w:color w:val="auto"/>
        </w:rPr>
      </w:pPr>
      <w:r>
        <w:rPr>
          <w:rFonts w:ascii="Arial" w:cs="Arial" w:eastAsia="Arial" w:hAnsi="Arial"/>
          <w:sz w:val="36"/>
          <w:szCs w:val="36"/>
          <w:b w:val="1"/>
          <w:bCs w:val="1"/>
          <w:color w:val="auto"/>
        </w:rPr>
        <w:t>Stephens Inc.</w:t>
      </w:r>
    </w:p>
    <w:p>
      <w:pPr>
        <w:spacing w:after="0" w:line="99" w:lineRule="exact"/>
        <w:rPr>
          <w:sz w:val="20"/>
          <w:szCs w:val="20"/>
          <w:color w:val="auto"/>
        </w:rPr>
      </w:pPr>
    </w:p>
    <w:p>
      <w:pPr>
        <w:jc w:val="center"/>
        <w:ind w:right="-520"/>
        <w:spacing w:after="0"/>
        <w:rPr>
          <w:sz w:val="20"/>
          <w:szCs w:val="20"/>
          <w:color w:val="auto"/>
        </w:rPr>
      </w:pPr>
      <w:r>
        <w:rPr>
          <w:rFonts w:ascii="Arial" w:cs="Arial" w:eastAsia="Arial" w:hAnsi="Arial"/>
          <w:sz w:val="36"/>
          <w:szCs w:val="36"/>
          <w:b w:val="1"/>
          <w:bCs w:val="1"/>
          <w:color w:val="auto"/>
        </w:rPr>
        <w:t>Stifel</w:t>
      </w:r>
    </w:p>
    <w:p>
      <w:pPr>
        <w:spacing w:after="0" w:line="319"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i w:val="1"/>
          <w:iCs w:val="1"/>
          <w:color w:val="auto"/>
        </w:rPr>
        <w:t>Lead Manager</w:t>
      </w:r>
    </w:p>
    <w:p>
      <w:pPr>
        <w:spacing w:after="0" w:line="155" w:lineRule="exact"/>
        <w:rPr>
          <w:sz w:val="20"/>
          <w:szCs w:val="20"/>
          <w:color w:val="auto"/>
        </w:rPr>
      </w:pPr>
    </w:p>
    <w:p>
      <w:pPr>
        <w:jc w:val="center"/>
        <w:ind w:right="-520"/>
        <w:spacing w:after="0"/>
        <w:rPr>
          <w:sz w:val="20"/>
          <w:szCs w:val="20"/>
          <w:color w:val="auto"/>
        </w:rPr>
      </w:pPr>
      <w:r>
        <w:rPr>
          <w:rFonts w:ascii="Arial" w:cs="Arial" w:eastAsia="Arial" w:hAnsi="Arial"/>
          <w:sz w:val="29"/>
          <w:szCs w:val="29"/>
          <w:b w:val="1"/>
          <w:bCs w:val="1"/>
          <w:color w:val="auto"/>
        </w:rPr>
        <w:t>Roth Capital Partners</w:t>
      </w:r>
    </w:p>
    <w:p>
      <w:pPr>
        <w:spacing w:after="0" w:line="244"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i w:val="1"/>
          <w:iCs w:val="1"/>
          <w:color w:val="auto"/>
        </w:rPr>
        <w:t>Co-Manager</w:t>
      </w:r>
    </w:p>
    <w:p>
      <w:pPr>
        <w:spacing w:after="0" w:line="155" w:lineRule="exact"/>
        <w:rPr>
          <w:sz w:val="20"/>
          <w:szCs w:val="20"/>
          <w:color w:val="auto"/>
        </w:rPr>
      </w:pPr>
    </w:p>
    <w:p>
      <w:pPr>
        <w:ind w:left="3620"/>
        <w:spacing w:after="0"/>
        <w:rPr>
          <w:sz w:val="20"/>
          <w:szCs w:val="20"/>
          <w:color w:val="auto"/>
        </w:rPr>
      </w:pPr>
      <w:r>
        <w:rPr>
          <w:rFonts w:ascii="Arial" w:cs="Arial" w:eastAsia="Arial" w:hAnsi="Arial"/>
          <w:sz w:val="29"/>
          <w:szCs w:val="29"/>
          <w:b w:val="1"/>
          <w:bCs w:val="1"/>
          <w:color w:val="auto"/>
        </w:rPr>
        <w:t>Lake Street Capital Markets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20"/>
        <w:spacing w:after="0"/>
        <w:tabs>
          <w:tab w:leader="none" w:pos="7360" w:val="left"/>
        </w:tabs>
        <w:rPr>
          <w:sz w:val="20"/>
          <w:szCs w:val="20"/>
          <w:color w:val="auto"/>
        </w:rPr>
      </w:pPr>
      <w:r>
        <w:rPr>
          <w:rFonts w:ascii="Arial" w:cs="Arial" w:eastAsia="Arial" w:hAnsi="Arial"/>
          <w:sz w:val="22"/>
          <w:szCs w:val="22"/>
          <w:b w:val="1"/>
          <w:bCs w:val="1"/>
          <w:color w:val="auto"/>
        </w:rPr>
        <w:t>The date of this prospectus supplement is June</w:t>
      </w:r>
      <w:r>
        <w:rPr>
          <w:sz w:val="20"/>
          <w:szCs w:val="20"/>
          <w:color w:val="auto"/>
        </w:rPr>
        <w:tab/>
      </w:r>
      <w:r>
        <w:rPr>
          <w:rFonts w:ascii="Arial" w:cs="Arial" w:eastAsia="Arial" w:hAnsi="Arial"/>
          <w:sz w:val="19"/>
          <w:szCs w:val="19"/>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688340</wp:posOffset>
            </wp:positionV>
            <wp:extent cx="52139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731520</wp:posOffset>
            </wp:positionV>
            <wp:extent cx="521398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993140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10219"/>
      </w:cols>
      <w:pgMar w:left="24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2019-12-07T02:58:32Z</dcterms:created>
  <dcterms:modified xsi:type="dcterms:W3CDTF">2019-12-07T02:58:32Z</dcterms:modified>
</cp:coreProperties>
</file>