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5" w:lineRule="exact"/>
        <w:rPr>
          <w:sz w:val="24"/>
          <w:szCs w:val="24"/>
          <w:color w:val="auto"/>
        </w:rPr>
      </w:pPr>
    </w:p>
    <w:p>
      <w:pPr>
        <w:ind w:left="4100" w:right="1640" w:hanging="3651"/>
        <w:spacing w:after="0" w:line="501" w:lineRule="auto"/>
        <w:tabs>
          <w:tab w:leader="none" w:pos="98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October 31, 2017</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4320" w:right="1280" w:hanging="3907"/>
        <w:spacing w:after="0" w:line="487" w:lineRule="auto"/>
        <w:tabs>
          <w:tab w:leader="none" w:pos="97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001-34755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LIMONEIRA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77-0260692</w:t>
            </w: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of incorporation)</w:t>
            </w:r>
          </w:p>
        </w:tc>
        <w:tc>
          <w:tcPr>
            <w:tcW w:w="4280" w:type="dxa"/>
            <w:vAlign w:val="bottom"/>
            <w:gridSpan w:val="2"/>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c>
          <w:tcPr>
            <w:tcW w:w="1180" w:type="dxa"/>
            <w:vAlign w:val="bottom"/>
          </w:tcPr>
          <w:p>
            <w:pPr>
              <w:spacing w:after="0"/>
              <w:rPr>
                <w:sz w:val="20"/>
                <w:szCs w:val="20"/>
                <w:color w:val="auto"/>
              </w:rPr>
            </w:pPr>
          </w:p>
        </w:tc>
      </w:tr>
      <w:tr>
        <w:trPr>
          <w:trHeight w:val="418"/>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1141 Cummings Road, Santa Paula, CA</w:t>
            </w:r>
          </w:p>
        </w:tc>
        <w:tc>
          <w:tcPr>
            <w:tcW w:w="3620" w:type="dxa"/>
            <w:vAlign w:val="bottom"/>
          </w:tcPr>
          <w:p>
            <w:pPr>
              <w:jc w:val="right"/>
              <w:ind w:right="570"/>
              <w:spacing w:after="0"/>
              <w:rPr>
                <w:sz w:val="20"/>
                <w:szCs w:val="20"/>
                <w:color w:val="auto"/>
              </w:rPr>
            </w:pPr>
            <w:r>
              <w:rPr>
                <w:rFonts w:ascii="Arial" w:cs="Arial" w:eastAsia="Arial" w:hAnsi="Arial"/>
                <w:sz w:val="18"/>
                <w:szCs w:val="18"/>
                <w:b w:val="1"/>
                <w:bCs w:val="1"/>
                <w:color w:val="auto"/>
              </w:rPr>
              <w:t>93060</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left="1730"/>
              <w:spacing w:after="0"/>
              <w:rPr>
                <w:sz w:val="20"/>
                <w:szCs w:val="20"/>
                <w:color w:val="auto"/>
              </w:rPr>
            </w:pPr>
            <w:r>
              <w:rPr>
                <w:rFonts w:ascii="Arial" w:cs="Arial" w:eastAsia="Arial" w:hAnsi="Arial"/>
                <w:sz w:val="18"/>
                <w:szCs w:val="18"/>
                <w:color w:val="auto"/>
                <w:w w:val="93"/>
              </w:rPr>
              <w:t>(Zip code)</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958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w w:val="89"/>
              </w:rPr>
              <w:t>Registrant’s telephone number, including area code: (805) 525-5541</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580" w:type="dxa"/>
            <w:vAlign w:val="bottom"/>
            <w:gridSpan w:val="3"/>
          </w:tcPr>
          <w:p>
            <w:pPr>
              <w:jc w:val="center"/>
              <w:ind w:left="17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5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8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9"/>
              </w:rPr>
              <w:t>Name of Each Exchange</w:t>
            </w:r>
          </w:p>
        </w:tc>
        <w:tc>
          <w:tcPr>
            <w:tcW w:w="1180" w:type="dxa"/>
            <w:vAlign w:val="bottom"/>
          </w:tcPr>
          <w:p>
            <w:pPr>
              <w:spacing w:after="0"/>
              <w:rPr>
                <w:sz w:val="24"/>
                <w:szCs w:val="24"/>
                <w:color w:val="auto"/>
              </w:rPr>
            </w:pPr>
          </w:p>
        </w:tc>
      </w:tr>
      <w:tr>
        <w:trPr>
          <w:trHeight w:val="234"/>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460" w:type="dxa"/>
            <w:vAlign w:val="bottom"/>
          </w:tcPr>
          <w:p>
            <w:pPr>
              <w:spacing w:after="0"/>
              <w:rPr>
                <w:sz w:val="20"/>
                <w:szCs w:val="20"/>
                <w:color w:val="auto"/>
              </w:rPr>
            </w:pPr>
          </w:p>
        </w:tc>
        <w:tc>
          <w:tcPr>
            <w:tcW w:w="3620" w:type="dxa"/>
            <w:vAlign w:val="bottom"/>
            <w:tcBorders>
              <w:bottom w:val="single" w:sz="8" w:color="auto"/>
            </w:tcBorders>
          </w:tcPr>
          <w:p>
            <w:pPr>
              <w:jc w:val="center"/>
              <w:ind w:left="1750"/>
              <w:spacing w:after="0"/>
              <w:rPr>
                <w:sz w:val="20"/>
                <w:szCs w:val="20"/>
                <w:color w:val="auto"/>
              </w:rPr>
            </w:pPr>
            <w:r>
              <w:rPr>
                <w:rFonts w:ascii="Arial" w:cs="Arial" w:eastAsia="Arial" w:hAnsi="Arial"/>
                <w:sz w:val="18"/>
                <w:szCs w:val="18"/>
                <w:b w:val="1"/>
                <w:bCs w:val="1"/>
                <w:color w:val="auto"/>
                <w:w w:val="91"/>
              </w:rPr>
              <w:t>On Which Registered</w:t>
            </w: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26"/>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Common Stock, $0.01 par value</w:t>
            </w:r>
          </w:p>
        </w:tc>
        <w:tc>
          <w:tcPr>
            <w:tcW w:w="428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5"/>
              </w:rPr>
              <w:t>The NASDAQ Stock Market, LLC</w:t>
            </w:r>
          </w:p>
        </w:tc>
        <w:tc>
          <w:tcPr>
            <w:tcW w:w="1180" w:type="dxa"/>
            <w:vAlign w:val="bottom"/>
          </w:tcPr>
          <w:p>
            <w:pPr>
              <w:spacing w:after="0"/>
              <w:rPr>
                <w:sz w:val="24"/>
                <w:szCs w:val="24"/>
                <w:color w:val="auto"/>
              </w:rPr>
            </w:pPr>
          </w:p>
        </w:tc>
      </w:tr>
      <w:tr>
        <w:trPr>
          <w:trHeight w:val="432"/>
        </w:trPr>
        <w:tc>
          <w:tcPr>
            <w:tcW w:w="9580" w:type="dxa"/>
            <w:vAlign w:val="bottom"/>
            <w:gridSpan w:val="3"/>
          </w:tcPr>
          <w:p>
            <w:pPr>
              <w:jc w:val="center"/>
              <w:ind w:left="177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2"/>
        </w:trPr>
        <w:tc>
          <w:tcPr>
            <w:tcW w:w="9580" w:type="dxa"/>
            <w:vAlign w:val="bottom"/>
            <w:gridSpan w:val="3"/>
          </w:tcPr>
          <w:p>
            <w:pPr>
              <w:ind w:left="66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w:t>
            </w:r>
          </w:p>
        </w:tc>
        <w:tc>
          <w:tcPr>
            <w:tcW w:w="6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1180" w:type="dxa"/>
            <w:vAlign w:val="bottom"/>
          </w:tcPr>
          <w:p>
            <w:pPr>
              <w:ind w:left="40"/>
              <w:spacing w:after="0"/>
              <w:rPr>
                <w:sz w:val="20"/>
                <w:szCs w:val="20"/>
                <w:color w:val="auto"/>
              </w:rPr>
            </w:pPr>
            <w:r>
              <w:rPr>
                <w:rFonts w:ascii="Arial" w:cs="Arial" w:eastAsia="Arial" w:hAnsi="Arial"/>
                <w:sz w:val="18"/>
                <w:szCs w:val="18"/>
                <w:color w:val="auto"/>
              </w:rPr>
              <w:t>þ</w:t>
            </w:r>
          </w:p>
        </w:tc>
      </w:tr>
      <w:tr>
        <w:trPr>
          <w:trHeight w:val="432"/>
        </w:trPr>
        <w:tc>
          <w:tcPr>
            <w:tcW w:w="9580" w:type="dxa"/>
            <w:vAlign w:val="bottom"/>
            <w:gridSpan w:val="3"/>
          </w:tcPr>
          <w:p>
            <w:pPr>
              <w:ind w:left="66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w:t>
            </w:r>
          </w:p>
        </w:tc>
        <w:tc>
          <w:tcPr>
            <w:tcW w:w="6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w:t>
            </w:r>
          </w:p>
        </w:tc>
        <w:tc>
          <w:tcPr>
            <w:tcW w:w="1180" w:type="dxa"/>
            <w:vAlign w:val="bottom"/>
          </w:tcPr>
          <w:p>
            <w:pPr>
              <w:ind w:left="120"/>
              <w:spacing w:after="0"/>
              <w:rPr>
                <w:sz w:val="20"/>
                <w:szCs w:val="20"/>
                <w:color w:val="auto"/>
              </w:rPr>
            </w:pPr>
            <w:r>
              <w:rPr>
                <w:rFonts w:ascii="Arial" w:cs="Arial" w:eastAsia="Arial" w:hAnsi="Arial"/>
                <w:sz w:val="18"/>
                <w:szCs w:val="18"/>
                <w:color w:val="auto"/>
              </w:rPr>
              <w:t>þ</w:t>
            </w:r>
          </w:p>
        </w:tc>
      </w:tr>
    </w:tbl>
    <w:p>
      <w:pPr>
        <w:spacing w:after="0" w:line="18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firstLine="64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p>
        </w:tc>
        <w:tc>
          <w:tcPr>
            <w:tcW w:w="1680" w:type="dxa"/>
            <w:vAlign w:val="bottom"/>
            <w:vMerge w:val="restart"/>
          </w:tcPr>
          <w:p>
            <w:pPr>
              <w:ind w:left="200"/>
              <w:spacing w:after="0"/>
              <w:rPr>
                <w:sz w:val="20"/>
                <w:szCs w:val="20"/>
                <w:color w:val="auto"/>
              </w:rPr>
            </w:pPr>
            <w:r>
              <w:rPr>
                <w:rFonts w:ascii="Arial" w:cs="Arial" w:eastAsia="Arial" w:hAnsi="Arial"/>
                <w:sz w:val="18"/>
                <w:szCs w:val="18"/>
                <w:color w:val="auto"/>
              </w:rPr>
              <w:t>Accelerated filer þ</w:t>
            </w:r>
          </w:p>
        </w:tc>
        <w:tc>
          <w:tcPr>
            <w:tcW w:w="3740" w:type="dxa"/>
            <w:vAlign w:val="bottom"/>
          </w:tcPr>
          <w:p>
            <w:pPr>
              <w:jc w:val="center"/>
              <w:ind w:right="70"/>
              <w:spacing w:after="0" w:line="207" w:lineRule="exact"/>
              <w:rPr>
                <w:sz w:val="20"/>
                <w:szCs w:val="20"/>
                <w:color w:val="auto"/>
              </w:rPr>
            </w:pPr>
            <w:r>
              <w:rPr>
                <w:rFonts w:ascii="Arial" w:cs="Arial" w:eastAsia="Arial" w:hAnsi="Arial"/>
                <w:sz w:val="18"/>
                <w:szCs w:val="18"/>
                <w:color w:val="auto"/>
                <w:w w:val="94"/>
              </w:rPr>
              <w:t xml:space="preserve">Non-accelerated filer </w:t>
            </w:r>
            <w:r>
              <w:rPr>
                <w:rFonts w:ascii="MS PGothic" w:cs="MS PGothic" w:eastAsia="MS PGothic" w:hAnsi="MS PGothic"/>
                <w:sz w:val="18"/>
                <w:szCs w:val="18"/>
                <w:color w:val="auto"/>
                <w:w w:val="94"/>
              </w:rPr>
              <w:t>☐</w:t>
            </w: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3"/>
              </w:rPr>
              <w:t>Smaller reporting</w:t>
            </w:r>
          </w:p>
        </w:tc>
        <w:tc>
          <w:tcPr>
            <w:tcW w:w="1660" w:type="dxa"/>
            <w:vAlign w:val="bottom"/>
          </w:tcPr>
          <w:p>
            <w:pPr>
              <w:jc w:val="center"/>
              <w:ind w:left="31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175"/>
        </w:trPr>
        <w:tc>
          <w:tcPr>
            <w:tcW w:w="202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374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(Do not check if a smaller reporting company)</w:t>
            </w:r>
          </w:p>
        </w:tc>
        <w:tc>
          <w:tcPr>
            <w:tcW w:w="1920" w:type="dxa"/>
            <w:vAlign w:val="bottom"/>
            <w:vMerge w:val="restart"/>
          </w:tcPr>
          <w:p>
            <w:pPr>
              <w:jc w:val="center"/>
              <w:ind w:right="30"/>
              <w:spacing w:after="0" w:line="207" w:lineRule="exact"/>
              <w:rPr>
                <w:sz w:val="20"/>
                <w:szCs w:val="20"/>
                <w:color w:val="auto"/>
              </w:rPr>
            </w:pPr>
            <w:r>
              <w:rPr>
                <w:rFonts w:ascii="Arial" w:cs="Arial" w:eastAsia="Arial" w:hAnsi="Arial"/>
                <w:sz w:val="18"/>
                <w:szCs w:val="18"/>
                <w:color w:val="auto"/>
                <w:w w:val="98"/>
              </w:rPr>
              <w:t xml:space="preserve">company   </w:t>
            </w:r>
            <w:r>
              <w:rPr>
                <w:rFonts w:ascii="MS PGothic" w:cs="MS PGothic" w:eastAsia="MS PGothic" w:hAnsi="MS PGothic"/>
                <w:sz w:val="18"/>
                <w:szCs w:val="18"/>
                <w:color w:val="auto"/>
                <w:w w:val="98"/>
              </w:rPr>
              <w:t>☐</w:t>
            </w:r>
          </w:p>
        </w:tc>
        <w:tc>
          <w:tcPr>
            <w:tcW w:w="1660" w:type="dxa"/>
            <w:vAlign w:val="bottom"/>
            <w:vMerge w:val="restart"/>
          </w:tcPr>
          <w:p>
            <w:pPr>
              <w:jc w:val="center"/>
              <w:ind w:left="31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74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8" w:lineRule="exact"/>
        <w:rPr>
          <w:sz w:val="24"/>
          <w:szCs w:val="24"/>
          <w:color w:val="auto"/>
        </w:rPr>
      </w:pPr>
    </w:p>
    <w:p>
      <w:pPr>
        <w:jc w:val="both"/>
        <w:ind w:firstLine="648"/>
        <w:spacing w:after="0" w:line="297" w:lineRule="auto"/>
        <w:rPr>
          <w:sz w:val="20"/>
          <w:szCs w:val="20"/>
          <w:color w:val="auto"/>
        </w:rPr>
      </w:pPr>
      <w:r>
        <w:rPr>
          <w:rFonts w:ascii="Arial" w:cs="Arial" w:eastAsia="Arial" w:hAnsi="Arial"/>
          <w:sz w:val="16"/>
          <w:szCs w:val="16"/>
          <w:color w:val="auto"/>
        </w:rPr>
        <w:t>Based on the closing price as reported on the NASDAQ Global Market, the aggregate market value of the Registrant’s Common Stock held by non-affiliates on April 30, 2017 (the last business day of the Registrant’s most recently completed second fiscal quarter) was approximately $247.3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2017 was 14,521,655.</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783" w:right="239" w:bottom="185" w:gutter="0" w:footer="0" w:header="0"/>
        </w:sectPr>
      </w:pPr>
    </w:p>
    <w:bookmarkStart w:id="1" w:name="page2"/>
    <w:bookmarkEnd w:id="1"/>
    <w:p>
      <w:pPr>
        <w:jc w:val="both"/>
        <w:ind w:firstLine="648"/>
        <w:spacing w:after="0" w:line="264" w:lineRule="auto"/>
        <w:rPr>
          <w:sz w:val="20"/>
          <w:szCs w:val="20"/>
          <w:color w:val="auto"/>
        </w:rPr>
      </w:pPr>
      <w:r>
        <w:rPr>
          <w:rFonts w:ascii="Arial" w:cs="Arial" w:eastAsia="Arial" w:hAnsi="Arial"/>
          <w:sz w:val="18"/>
          <w:szCs w:val="18"/>
          <w:color w:val="auto"/>
        </w:rPr>
        <w:t>Portions of the Registrant’s Proxy Statement for the 2018 Annual Meeting of Stockholders, which we intend to hold on March 27, 2018, are incorporated by reference into Part II and Part III of this Annual Report on Form 10-K. The definitive Proxy Statement will be filed within 120 days after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TABLE OF CONTENTS</w:t>
            </w: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80" w:type="dxa"/>
            <w:vAlign w:val="bottom"/>
            <w:gridSpan w:val="2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1A. Risk Factors</w:t>
              </w:r>
            </w:hyperlink>
          </w:p>
        </w:tc>
        <w:tc>
          <w:tcPr>
            <w:tcW w:w="7040" w:type="dxa"/>
            <w:vAlign w:val="bottom"/>
            <w:tcBorders>
              <w:bottom w:val="single" w:sz="8" w:color="CCEEFF"/>
            </w:tcBorders>
            <w:gridSpan w:val="18"/>
            <w:shd w:val="clear" w:color="auto" w:fill="CCEEFF"/>
          </w:tcPr>
          <w:p>
            <w:pPr>
              <w:spacing w:after="0"/>
              <w:rPr>
                <w:sz w:val="17"/>
                <w:szCs w:val="17"/>
                <w:color w:val="auto"/>
              </w:rPr>
            </w:pP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1B. Unresolved Staff Comments</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Item 2. Properties</w:t>
              </w:r>
            </w:hyperlink>
          </w:p>
        </w:tc>
        <w:tc>
          <w:tcPr>
            <w:tcW w:w="7340" w:type="dxa"/>
            <w:vAlign w:val="bottom"/>
            <w:tcBorders>
              <w:bottom w:val="single" w:sz="8" w:color="CCEEFF"/>
            </w:tcBorders>
            <w:gridSpan w:val="19"/>
            <w:shd w:val="clear" w:color="auto" w:fill="CCEEFF"/>
          </w:tcPr>
          <w:p>
            <w:pPr>
              <w:spacing w:after="0"/>
              <w:rPr>
                <w:sz w:val="17"/>
                <w:szCs w:val="17"/>
                <w:color w:val="auto"/>
              </w:rPr>
            </w:pP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3. Legal Proceedings</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 Mine Safety Disclosures</w:t>
              </w:r>
            </w:hyperlink>
          </w:p>
        </w:tc>
        <w:tc>
          <w:tcPr>
            <w:tcW w:w="6300" w:type="dxa"/>
            <w:vAlign w:val="bottom"/>
            <w:tcBorders>
              <w:bottom w:val="single" w:sz="8" w:color="CCEEFF"/>
            </w:tcBorders>
            <w:gridSpan w:val="14"/>
            <w:shd w:val="clear" w:color="auto" w:fill="CCEEFF"/>
          </w:tcPr>
          <w:p>
            <w:pPr>
              <w:spacing w:after="0"/>
              <w:rPr>
                <w:sz w:val="17"/>
                <w:szCs w:val="17"/>
                <w:color w:val="auto"/>
              </w:rPr>
            </w:pP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80" w:type="dxa"/>
            <w:vAlign w:val="bottom"/>
            <w:gridSpan w:val="2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5. Market for Registrant’s Common Equity, Related Stockholder Matters and Issuer Purchases of Equity Securities</w:t>
              </w:r>
            </w:hyperlink>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6. Selected Financial Data</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20" w:type="dxa"/>
            <w:vAlign w:val="bottom"/>
            <w:gridSpan w:val="2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7. Management’s Discussion and Analysis of Financial Condition and Results of Operations</w:t>
              </w:r>
            </w:hyperlink>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0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7A. Quantitative and Qualitative Disclosures about Market Risk</w:t>
              </w:r>
            </w:hyperlink>
          </w:p>
        </w:tc>
        <w:tc>
          <w:tcPr>
            <w:tcW w:w="1620" w:type="dxa"/>
            <w:vAlign w:val="bottom"/>
            <w:tcBorders>
              <w:top w:val="single" w:sz="8" w:color="CCEEFF"/>
            </w:tcBorders>
            <w:gridSpan w:val="3"/>
          </w:tcPr>
          <w:p>
            <w:pPr>
              <w:spacing w:after="0"/>
              <w:rPr>
                <w:sz w:val="15"/>
                <w:szCs w:val="15"/>
                <w:color w:val="auto"/>
              </w:rPr>
            </w:pPr>
          </w:p>
        </w:tc>
        <w:tc>
          <w:tcPr>
            <w:tcW w:w="244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Item 8. Financial Statements and Supplementary Data</w:t>
              </w:r>
            </w:hyperlink>
          </w:p>
        </w:tc>
        <w:tc>
          <w:tcPr>
            <w:tcW w:w="4740" w:type="dxa"/>
            <w:vAlign w:val="bottom"/>
            <w:tcBorders>
              <w:bottom w:val="single" w:sz="8" w:color="CCEEFF"/>
            </w:tcBorders>
            <w:gridSpan w:val="9"/>
            <w:shd w:val="clear" w:color="auto" w:fill="CCEEFF"/>
          </w:tcPr>
          <w:p>
            <w:pPr>
              <w:spacing w:after="0"/>
              <w:rPr>
                <w:sz w:val="17"/>
                <w:szCs w:val="17"/>
                <w:color w:val="auto"/>
              </w:rPr>
            </w:pP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9. Changes in and Disagreements with Accountants on Accounting and Financial Disclosure.</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104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20" w:type="dxa"/>
            <w:vAlign w:val="bottom"/>
            <w:gridSpan w:val="25"/>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9A. Controls and Procedures</w:t>
              </w:r>
            </w:hyperlink>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104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12"/>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9B. Other Information</w:t>
              </w:r>
            </w:hyperlink>
          </w:p>
        </w:tc>
        <w:tc>
          <w:tcPr>
            <w:tcW w:w="6180" w:type="dxa"/>
            <w:vAlign w:val="bottom"/>
            <w:gridSpan w:val="13"/>
          </w:tcPr>
          <w:p>
            <w:pPr>
              <w:spacing w:after="0"/>
              <w:rPr>
                <w:sz w:val="15"/>
                <w:szCs w:val="15"/>
                <w:color w:val="auto"/>
              </w:rPr>
            </w:pPr>
          </w:p>
        </w:tc>
        <w:tc>
          <w:tcPr>
            <w:tcW w:w="2620" w:type="dxa"/>
            <w:vAlign w:val="bottom"/>
            <w:gridSpan w:val="4"/>
          </w:tcPr>
          <w:p>
            <w:pPr>
              <w:jc w:val="right"/>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104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80" w:type="dxa"/>
            <w:vAlign w:val="bottom"/>
            <w:gridSpan w:val="26"/>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PART III</w:t>
              </w:r>
            </w:hyperlink>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10. Directors, Executive Officers, and Corporate Governance</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40" w:type="dxa"/>
            <w:vAlign w:val="bottom"/>
            <w:gridSpan w:val="12"/>
            <w:shd w:val="clear" w:color="auto" w:fill="CCEEFF"/>
          </w:tcPr>
          <w:p>
            <w:pPr>
              <w:spacing w:after="0" w:line="17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Item 11. Executive Compensation</w:t>
              </w:r>
            </w:hyperlink>
          </w:p>
        </w:tc>
        <w:tc>
          <w:tcPr>
            <w:tcW w:w="6180" w:type="dxa"/>
            <w:vAlign w:val="bottom"/>
            <w:gridSpan w:val="13"/>
            <w:shd w:val="clear" w:color="auto" w:fill="CCEEFF"/>
          </w:tcPr>
          <w:p>
            <w:pPr>
              <w:spacing w:after="0"/>
              <w:rPr>
                <w:sz w:val="15"/>
                <w:szCs w:val="15"/>
                <w:color w:val="auto"/>
              </w:rPr>
            </w:pPr>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w w:val="98"/>
              </w:rPr>
            </w:pPr>
            <w:hyperlink w:anchor="page107">
              <w:r>
                <w:rPr>
                  <w:rFonts w:ascii="Arial" w:cs="Arial" w:eastAsia="Arial" w:hAnsi="Arial"/>
                  <w:sz w:val="18"/>
                  <w:szCs w:val="18"/>
                  <w:color w:val="0000EE"/>
                  <w:w w:val="98"/>
                </w:rPr>
                <w:t>Item 12. Security Ownership of Certain Beneficial Owners and Management and Related Stockholder Matters</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20" w:type="dxa"/>
            <w:vAlign w:val="bottom"/>
            <w:gridSpan w:val="25"/>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13. Certain Relationships and Related Transactions, and Director Independence</w:t>
              </w:r>
            </w:hyperlink>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80" w:type="dxa"/>
            <w:vAlign w:val="bottom"/>
            <w:gridSpan w:val="20"/>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14. Principal Accountant’s Fees and Services</w:t>
              </w:r>
            </w:hyperlink>
          </w:p>
        </w:tc>
        <w:tc>
          <w:tcPr>
            <w:tcW w:w="2540" w:type="dxa"/>
            <w:vAlign w:val="bottom"/>
            <w:gridSpan w:val="5"/>
          </w:tcPr>
          <w:p>
            <w:pPr>
              <w:spacing w:after="0"/>
              <w:rPr>
                <w:sz w:val="15"/>
                <w:szCs w:val="15"/>
                <w:color w:val="auto"/>
              </w:rPr>
            </w:pPr>
          </w:p>
        </w:tc>
        <w:tc>
          <w:tcPr>
            <w:tcW w:w="2620" w:type="dxa"/>
            <w:vAlign w:val="bottom"/>
            <w:gridSpan w:val="4"/>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Part IV</w:t>
              </w:r>
            </w:hyperlink>
          </w:p>
        </w:tc>
        <w:tc>
          <w:tcPr>
            <w:tcW w:w="8260" w:type="dxa"/>
            <w:vAlign w:val="bottom"/>
            <w:gridSpan w:val="24"/>
            <w:shd w:val="clear" w:color="auto" w:fill="CCEEFF"/>
          </w:tcPr>
          <w:p>
            <w:pPr>
              <w:spacing w:after="0"/>
              <w:rPr>
                <w:sz w:val="15"/>
                <w:szCs w:val="15"/>
                <w:color w:val="auto"/>
              </w:rPr>
            </w:pPr>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20" w:type="dxa"/>
            <w:vAlign w:val="bottom"/>
            <w:gridSpan w:val="25"/>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15. Exhibits and Financial Statement Schedules</w:t>
              </w:r>
            </w:hyperlink>
          </w:p>
        </w:tc>
        <w:tc>
          <w:tcPr>
            <w:tcW w:w="2620" w:type="dxa"/>
            <w:vAlign w:val="bottom"/>
            <w:gridSpan w:val="4"/>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80" w:type="dxa"/>
            <w:vAlign w:val="bottom"/>
            <w:gridSpan w:val="26"/>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SIGNATURES</w:t>
              </w:r>
            </w:hyperlink>
          </w:p>
        </w:tc>
        <w:tc>
          <w:tcPr>
            <w:tcW w:w="262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80" w:type="dxa"/>
            <w:vAlign w:val="bottom"/>
            <w:tcBorders>
              <w:top w:val="single" w:sz="8" w:color="0000EE"/>
              <w:bottom w:val="single" w:sz="8" w:color="auto"/>
            </w:tcBorders>
            <w:gridSpan w:val="5"/>
          </w:tcPr>
          <w:p>
            <w:pPr>
              <w:spacing w:after="0"/>
              <w:rPr>
                <w:sz w:val="24"/>
                <w:szCs w:val="24"/>
                <w:color w:val="auto"/>
              </w:rPr>
            </w:pPr>
          </w:p>
        </w:tc>
        <w:tc>
          <w:tcPr>
            <w:tcW w:w="5160" w:type="dxa"/>
            <w:vAlign w:val="bottom"/>
            <w:tcBorders>
              <w:top w:val="single" w:sz="8" w:color="CCEEFF"/>
              <w:bottom w:val="single" w:sz="8" w:color="auto"/>
            </w:tcBorders>
            <w:gridSpan w:val="16"/>
          </w:tcPr>
          <w:p>
            <w:pPr>
              <w:jc w:val="right"/>
              <w:ind w:right="500"/>
              <w:spacing w:after="0"/>
              <w:rPr>
                <w:sz w:val="20"/>
                <w:szCs w:val="20"/>
                <w:color w:val="auto"/>
              </w:rPr>
            </w:pPr>
            <w:r>
              <w:rPr>
                <w:rFonts w:ascii="Arial" w:cs="Arial" w:eastAsia="Arial" w:hAnsi="Arial"/>
                <w:sz w:val="18"/>
                <w:szCs w:val="18"/>
                <w:b w:val="1"/>
                <w:bCs w:val="1"/>
                <w:color w:val="auto"/>
              </w:rPr>
              <w:t>2</w:t>
            </w:r>
          </w:p>
        </w:tc>
        <w:tc>
          <w:tcPr>
            <w:tcW w:w="4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potential risks and uncertainties that could cause our actual financial condition, results of operations and future performance to differ materially from those expressed or implied in this Annual Report include: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and droughts, that affect the production, transportation, storage, import and export of fresh produce;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and currency exchange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this Annual Report.</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We urge you to carefully review this Annual Report, particularly the section entitled “Risk Factors,” for a complete discussion of the risks of an investment in our common stock.</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references to “we,” “us,” “our,” “our Company,” “the Company,” or “Limoneira” in this Annual Report mean Limoneira Company, a Delaware corporation, and its wholly owned subsidiaries.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the internet address of which is www.limoneira.com. All of our filings with the Securities and Exchange Commission (the “SEC”), including but not limited to, the annual reports on Form 10-K, quarterly reports on Form 10-Q, current reports on Form 8-K, and any amendments thereto, are available free of charge on our website as soon as reasonably practicable after such material is electronically filed or furnished to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agribusiness and real estate development company founded and based in Santa Paula, California, committed to responsibly using and managing our approximately 11,200 acres of land, water resources and other assets to maximize long-term stockholder value. Our current operations consist of fruit production, sales and marketing, rental operations, real estate development and capital investment activities.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Bernardino and San Luis Obispo Counties in California, Yuma County in Arizona and La Serena, Chile, which collectively consist of approximately 4,800 acres of lemons, 900 acres of avocados, 1,500 acres of oranges and 1,000 acres of specialty citrus and other crops. We also operate our own packinghouses in Santa Paula, California and Yuma, Arizona, where we process, pack and sell lemons that we grow, as well as lemons grown by others. We have a 47% interest in Rosales S.A. (“Rosales”), a citrus packing, marketing and sales business and a 90% interest in Fruticola Pan de Azucar S.A. (“PDA”), a lemon and orange orchard, both located near La Serena, Chile.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for our PDA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development. We currently have three active real estate development projects in California. These projects include multi-family housing and single-family homes comprising approximately 245 completed rental units and another approximately 1,700 units in various stages of planning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Highlights and Recent Developments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10, 2015, we entered into a joint venture with The Lewis Group of Companies (“Lewis”) for the residential development of our East Area I real estate development project. The first phase of the project broke ground to commence mass grading on November 8, 2017. Project plans include approximately 632 residential units in Phase 1. We anticipate Phase 1 site improvements will begin during the winter of this year. The lot sale process with home builders is expected to begin in the spring of 2018 and initial closings of lots sales are anticipated to begin in the first quarter of fiscal year 2019.</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consummate the joint venture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approximately $100.0 million from the Joint Venture over the estimated 7 to 10-year life of the project, including Lewis’ $20.0 million investment in the Joint Venture. The Joint Venture partners will share in capital contributions to fund project costs until loan proceeds and/or revenues are sufficient to fund the project. These funding requirements are currently estimated to total $10.0 to $15.0 million for each Joint Venture partner in the first two to three years of the project and we funded $7.5 million in fiscal year 2017, $2.3 million in fiscal year 2016 and an additional $3.5 million in the first quarter of fiscal year 2018. We also entered a lease agreement with the Joint Venture to lease back a portion of the contributed property, which allows us to continue farming the property during the phased build-out of the project.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93" w:lineRule="auto"/>
        <w:rPr>
          <w:sz w:val="20"/>
          <w:szCs w:val="20"/>
          <w:color w:val="auto"/>
        </w:rPr>
      </w:pPr>
      <w:r>
        <w:rPr>
          <w:rFonts w:ascii="Arial" w:cs="Arial" w:eastAsia="Arial" w:hAnsi="Arial"/>
          <w:sz w:val="16"/>
          <w:szCs w:val="16"/>
          <w:color w:val="auto"/>
        </w:rPr>
        <w:t>On February 24, 2017, we completed the acquisition of 90% of the outstanding stock of PDA, a privately-owned Chilean corporation, for $5.7 million in cash. PDA also had approximately $1.7 million in long-term debt on the acquisition date, which we assumed in the acquisition. PDA is a 200-acre lemon and orange orchard located near La Serena, Chile. PDA’s total assets of approximately $9.5 million on the acquisition date included a 13% equity interest in Rosales, in which we owned a 35% equity investment. After the acquisition, we own 47% of Rosales and PDA’s 10% stockholder owns the remaining 53% of Rosales. Rosales packs and sells all of PDA’s citrus production. PDA had approximately $450,000 of net income on approximately $1.9 million in sales for the year ended December 31, 2016. The results of operations of PDA are included in our consolidated results of operations from the acquisition date.</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2017, we entered into a Master Loan Agreement with Farm Credit West, FLCA (“Farm Credit West”) which includes a Revolving Credit Supplement and a Non-Revolving Credit Supplement (collectively, the “Farm Credit West Credit Facility”). The Farm Credit West Credit Facility provides for maximum borrowings of $100.0 million and the borrowing capacity based on collateral value was $100.0 million at October 31, 2017. Proceeds from the Farm Credit West Credit Facility were used to pay down all the remaining outstanding indebtedness under the revolving credit facility we had with Rabobank, N.A.</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we entered an agreement to sell our Centennial Square (“Centennial”) property for $3.2 million. This transaction was cancelled in October 2017 because the buyer was unsuccessful in arranging financing, and we recognized $0.1 million of other income from the non-refundable deposit. In October 2017, we entered an agreement with another buyer to sell Centennial for approximately $3.3 million. This transaction closed December 2017 and we received net proceeds of $0.2 million and issued a $3.0 million promissory note secured by the property for the balance of the purchase price. The promissory note matures in June 2018 but provides for potential extensions to December 2019. After transaction costs, the sale resulted in a gain of $0.2 million, which will be deferred until repayment of the promissory note.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2017, we entered an agreement to sell the commercial portion of our Sevilla project for approximately $1.5 million. This transaction closed in November 2017, and we recognized a gain of approximately $10,000.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entered an agreement to sell our Terraces at Pacific Crest (“Pacific Crest”) property for $3.5 million. After transaction costs, we expect to recognize a gain of approximately $40,000.</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19, 2017, we declared a $0.0625 per share dividend which is to be paid on January 17, 2018 in the aggregate amount of approximately $0.9 million to common shareholders of record as of January 2, 2018. This represents a 14% increase in our dividend compared to 2017.</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Tax Cut and Jobs Act was signed into law, which enacts significant changes to U.S. tax and related laws. Some of the provisions of the new tax law affecting corporations include, but are not limited to a reduction of the federal corporate income tax rate from 35% to 21%, limiting the interest expense deduction, expensing of cost of acquired qualified property and elimination of the domestic production activities deduction. We are currently evaluating the impact the new tax law will have on our financial condition and results of operations. Preliminarily, we anticipate a significant reduction in our effective income tax rate and our net deferred federal income tax liabilities as a result of the income tax rate reduction, with such changes being included in our financial statements beginning in the three months ending January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Agribusiness Division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segments: fresh lemons, lemon packing, avocados and other agribusiness, which represented approximately 96%, 95% and 95% of our fiscal year 2017, 2016 and 2015 consolidated revenues, respectively, of which fresh lemons and lemon packing combined represented 78%, 76% and 79% of our fiscal year 2017, 2016 and 2015 consolidated revenues, respectively.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Farming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California’s oldest citrus growers and one of the largest growers of lemons and avocados in the United States. In addition to growing lemons and avocados, we grow oranges and a variety of specialty citrus and other crops. We have agricultural plantings throughout Ventura, Tulare, San Bernardino and San Luis Obispo Counties in California, Yuma County in Arizona and La Serena, Chile, which collectively consist of approximately 4,800 acres of lemons, 900 acres of avocados, 1,500 acres of oranges and 1,000 acres of specialty citrus and other crops. With the acquisition of PDA, we have approximately 200 acres of lemon and oranges plantings in Chile. We also operate our own packinghouses in Santa Paula, California and Yuma, Arizona, where we process, pack and sell lemons we grow as well as lemons grown by others.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Lemons. </w:t>
      </w:r>
      <w:r>
        <w:rPr>
          <w:rFonts w:ascii="Arial" w:cs="Arial" w:eastAsia="Arial" w:hAnsi="Arial"/>
          <w:sz w:val="16"/>
          <w:szCs w:val="16"/>
          <w:color w:val="auto"/>
        </w:rPr>
        <w:t>Our lemon farming is included in our “fresh lemons” and “lemon packing” reportable segments within our financial statements. We market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lemons directly to food service, wholesale and retail customers throughout the United States, Canada, Asia, Australia and certain other international markets. We are one of the largest lemon growers in the United States with approximately 4,800 acres of lemons planted primarily in Ventura, Tulare and San Bernardino Counties in California and in Yuma County, Arizona. In California, the lemon growing area stretches from the Coachella Valley to Fresno and Monterey Counties, with the majority of the growing areas being located in the coastal areas from Ventura County to Monterey County. Ventura County is California’s top lemon producing county. Approximately 35% of our lemons are grown in Ventura County, 25% are grown in Tulare County, 25% are grown in Yuma County, Arizona and 15% are grown in San Bernardino County, California. We also grow lemons on approximately 100 acres near La Serena, Chile.</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over fifty varieties of lemons, with the Lisbon, Eureka and Genoa being the predominant varieties marketed on a worldwide basis. California-grown lemons are available throughout the year, with peak production periods occurring from January through August. Approximately 90% of our lemon plantings are of the Lisbon and Eureka varieties and approximately 10% are of other varieties such as sweet Meyer lemons, proprietary seedless lemons and pink variegated lemons. The storage life of fresh lemons generally ranges from 1 to 18 weeks, depending upon the maturity of the fruit, the growing methods used and the handling conditions in the distribution chain.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an average annual production of approximately 750,000 tons of lemons, California accounts for approximately 90% of the United States lemon crop, with Arizona producing the majority of the rest. Between 50% and 70% of the United States lemon crop is utilized in the fresh market, with the remainder going to the processed market for products such as juice, oils and essences. Most lemons are consumed as either a cooking ingredient, a garnish, or as juice in lemonade or carbonated beverages or other drinks. Demand for lemons is typically highest in the summer, although California producers through various geographical zones are typically able to harvest lemons year-round.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Avocados. </w:t>
      </w:r>
      <w:r>
        <w:rPr>
          <w:rFonts w:ascii="Arial" w:cs="Arial" w:eastAsia="Arial" w:hAnsi="Arial"/>
          <w:sz w:val="16"/>
          <w:szCs w:val="16"/>
          <w:color w:val="auto"/>
        </w:rPr>
        <w:t>Our avocado farming is included in our “avocados” reportable segment within our financial statements. We are one of the largest avocado growers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United States with approximately 900 acres of avocados planted throughout Ventura County. In California, the avocado growing area stretches from San Diego County to Monterey County, with the majority of the growing areas located approximately 100 miles north and south of Los Angeles County.</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 the last 75 years, the avocado has transitioned from a single specialty fruit to an array of 10 varieties ranging from the green-skinned Zutanos to the black-skinned Hass, which is the predominant avocado variety marketed on a worldwide basis. California-grown avocados are available year-round, with peak production periods occurring between February and September. Other avocado varieties have a more limited picking season and typically command a lower price. Because of superior eating quality, the Hass avocado has contributed greatly to the avocado’s growing popularity through its retail, restaurant and other food service uses. Approximately 98% of our avocado plantings are of the Hass variety. The storage life of fresh avocados generally ranges from 1 to 4 weeks, depending upon the maturity of the fruit, the growing methods used and the handling conditions in the distribution chain.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all of our avocado production to Calavo Growers, Inc. (“Calavo”), a packing and marketing company listed on the NASDAQ Global Select Market under the symbol CVGW. Calavo’s customers include many of the largest retail and food service companies in the United States and Canada. Our marketing relationship with Calavo dates back to 2003. Calavo receives fruit from our orchards at its packinghouse located in Santa Paula, California. Calavo’s proximity to our agricultural operations enables us to keep transportation and handling costs to a minimum. Our avocados are packed by Calavo and sold and distributed under its own brands to its customers primarily in the United States and Canada.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Primarily due to differing soil conditions, the care of avocado trees is intensive and during our 75-year history of growing avocados, growing techniques have changed dramatically.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i w:val="1"/>
          <w:iCs w:val="1"/>
          <w:color w:val="auto"/>
        </w:rPr>
        <w:t xml:space="preserve">Oranges. </w:t>
      </w:r>
      <w:r>
        <w:rPr>
          <w:rFonts w:ascii="Arial" w:cs="Arial" w:eastAsia="Arial" w:hAnsi="Arial"/>
          <w:sz w:val="18"/>
          <w:szCs w:val="18"/>
          <w:color w:val="auto"/>
        </w:rPr>
        <w:t>Our orange farming is included in our “other agribusiness” reportable segment within our financial statements. While we are primarily known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high-quality lemons, we also grow oranges. We have approximately 1,500 acres of oranges planted primarily in Tulare County, California. In California, the growing area for oranges stretches from Imperial County to Yolo County. For many decades, the Valencia variety of oranges was grown in Ventura County primarily for export to the Pacific Rim. Throughout the late twentieth century, developing countries began producing the larger, seedless Navel variety of oranges that successfully competed against the smaller Valencia variety. California grown Navel oranges are available from October to June, with peak production periods occurring between January and April. California grown Valencia oranges are available from March to October, with peak production periods occurring between June and September. Approximately 95% of our orange plantings are of the Navel variety and approximately 5% are of the Valencia variety.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Navel oranges comprise most of California’s orange crop, accounting for approximately 75% over the past three growing seasons. Valencia oranges account for a vast majority of the remainder of California’s orange crop. While California produces approximately 25% of the nation’s oranges, its crop accounts for approximately 80% of those going to the fresh market. The share of California’s crop going to fresh market, as opposed to the processed market (i.e., juices, oils and essences) varies by season, depending on the quality of the crop. We estimate approximately 70% of our oranges are sold to retail customers and approximately 30% are sold to wholesale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Specialty Citrus and Other Crops. </w:t>
      </w:r>
      <w:r>
        <w:rPr>
          <w:rFonts w:ascii="Arial" w:cs="Arial" w:eastAsia="Arial" w:hAnsi="Arial"/>
          <w:sz w:val="18"/>
          <w:szCs w:val="18"/>
          <w:color w:val="auto"/>
        </w:rPr>
        <w:t>Our specialty citrus and other crop farming is included in our “other agribusiness” reportable segment within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 few decades ago, we began growing specialty citrus varieties and other crops that we believed would appeal to changing North American and worldwide demand. As a result, we currently have approximately 1,000 acres of specialty citrus and other crops planted such as Moro blood oranges, Cara Cara oranges, Minneola tangelos, Star Ruby grapefruit, pummelos, pistachios and wine grapes.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Acreage devoted to specialty citrus and other crops in California has been growing significantly over the past few decades, especially with the popularity of the Clementine, a type of mandarin orange. Similar to our oranges, we utilize third-party packinghouses to process and pack our specialty citrus. A portion of our specialty citrus is marketed and sold under the Sunkist brand by Sunkist and orders are processed by Sunkist-member packinghouses. As an agricultural cooperative, Sunkist coordinates the sales and marketing of the specialty citrus and orders are processed by Sunkist-member packinghouses for direct shipment to customers.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market our other crops, such as pistachios and wine grapes, utilizing processors which are not members of agricultural cooperatives. Our pistachios are harvested and sold to a roaster, packager and marketer of nuts, and our wine grapes are sold to various wine producers.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Plantings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agricultural plantings on properties located in Ventura, Tulare, San Bernardino and San Luis Obispo Counties in California and in Yuma, Arizona and La Serena, Chile. The following is a description of our agriculture properties: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Specialty</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2"/>
          </w:tcPr>
          <w:p>
            <w:pPr>
              <w:ind w:left="1120"/>
              <w:spacing w:after="0"/>
              <w:rPr>
                <w:sz w:val="20"/>
                <w:szCs w:val="20"/>
                <w:color w:val="auto"/>
              </w:rPr>
            </w:pPr>
            <w:r>
              <w:rPr>
                <w:rFonts w:ascii="Arial" w:cs="Arial" w:eastAsia="Arial" w:hAnsi="Arial"/>
                <w:sz w:val="18"/>
                <w:szCs w:val="18"/>
                <w:b w:val="1"/>
                <w:bCs w:val="1"/>
                <w:color w:val="auto"/>
              </w:rPr>
              <w:t>Ranch Name</w:t>
            </w:r>
          </w:p>
        </w:tc>
        <w:tc>
          <w:tcPr>
            <w:tcW w:w="2400" w:type="dxa"/>
            <w:vAlign w:val="bottom"/>
            <w:gridSpan w:val="2"/>
          </w:tcPr>
          <w:p>
            <w:pPr>
              <w:ind w:left="600"/>
              <w:spacing w:after="0"/>
              <w:rPr>
                <w:sz w:val="20"/>
                <w:szCs w:val="20"/>
                <w:color w:val="auto"/>
              </w:rPr>
            </w:pPr>
            <w:r>
              <w:rPr>
                <w:rFonts w:ascii="Arial" w:cs="Arial" w:eastAsia="Arial" w:hAnsi="Arial"/>
                <w:sz w:val="18"/>
                <w:szCs w:val="18"/>
                <w:b w:val="1"/>
                <w:bCs w:val="1"/>
                <w:color w:val="auto"/>
              </w:rPr>
              <w:t>County / State</w:t>
            </w:r>
          </w:p>
        </w:tc>
        <w:tc>
          <w:tcPr>
            <w:tcW w:w="9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Acres</w:t>
            </w:r>
          </w:p>
        </w:tc>
        <w:tc>
          <w:tcPr>
            <w:tcW w:w="9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89"/>
              </w:rPr>
              <w:t>Lemons</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81"/>
              </w:rPr>
              <w:t>Avocados</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87"/>
              </w:rPr>
              <w:t>Oranges</w:t>
            </w:r>
          </w:p>
        </w:tc>
        <w:tc>
          <w:tcPr>
            <w:tcW w:w="9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Crops</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Limoneira/Olivelands</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Ventura, CA</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700</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Orchard Farm</w:t>
            </w:r>
          </w:p>
        </w:tc>
        <w:tc>
          <w:tcPr>
            <w:tcW w:w="2400" w:type="dxa"/>
            <w:vAlign w:val="bottom"/>
            <w:gridSpan w:val="2"/>
          </w:tcPr>
          <w:p>
            <w:pPr>
              <w:spacing w:after="0"/>
              <w:rPr>
                <w:sz w:val="20"/>
                <w:szCs w:val="20"/>
                <w:color w:val="auto"/>
              </w:rPr>
            </w:pPr>
            <w:r>
              <w:rPr>
                <w:rFonts w:ascii="Arial" w:cs="Arial" w:eastAsia="Arial" w:hAnsi="Arial"/>
                <w:sz w:val="18"/>
                <w:szCs w:val="18"/>
                <w:color w:val="auto"/>
              </w:rPr>
              <w:t>Ventura, CA</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1,100</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500</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Teague McKevett</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Ventura, CA</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La Campana</w:t>
            </w:r>
          </w:p>
        </w:tc>
        <w:tc>
          <w:tcPr>
            <w:tcW w:w="2400" w:type="dxa"/>
            <w:vAlign w:val="bottom"/>
            <w:gridSpan w:val="2"/>
          </w:tcPr>
          <w:p>
            <w:pPr>
              <w:spacing w:after="0"/>
              <w:rPr>
                <w:sz w:val="20"/>
                <w:szCs w:val="20"/>
                <w:color w:val="auto"/>
              </w:rPr>
            </w:pPr>
            <w:r>
              <w:rPr>
                <w:rFonts w:ascii="Arial" w:cs="Arial" w:eastAsia="Arial" w:hAnsi="Arial"/>
                <w:sz w:val="18"/>
                <w:szCs w:val="18"/>
                <w:color w:val="auto"/>
              </w:rPr>
              <w:t>Ventura, CA</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300</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200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Rancho La Cuesta</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Ventura, CA</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Limco Del Mar</w:t>
            </w:r>
          </w:p>
        </w:tc>
        <w:tc>
          <w:tcPr>
            <w:tcW w:w="2400" w:type="dxa"/>
            <w:vAlign w:val="bottom"/>
            <w:gridSpan w:val="2"/>
          </w:tcPr>
          <w:p>
            <w:pPr>
              <w:spacing w:after="0"/>
              <w:rPr>
                <w:sz w:val="20"/>
                <w:szCs w:val="20"/>
                <w:color w:val="auto"/>
              </w:rPr>
            </w:pPr>
            <w:r>
              <w:rPr>
                <w:rFonts w:ascii="Arial" w:cs="Arial" w:eastAsia="Arial" w:hAnsi="Arial"/>
                <w:sz w:val="18"/>
                <w:szCs w:val="18"/>
                <w:color w:val="auto"/>
              </w:rPr>
              <w:t>Ventura, CA</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200</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100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Porterville Ranches</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Tulare, CA</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400</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400</w:t>
            </w: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Ducor Ranches</w:t>
            </w:r>
          </w:p>
        </w:tc>
        <w:tc>
          <w:tcPr>
            <w:tcW w:w="2400" w:type="dxa"/>
            <w:vAlign w:val="bottom"/>
            <w:gridSpan w:val="2"/>
          </w:tcPr>
          <w:p>
            <w:pPr>
              <w:spacing w:after="0"/>
              <w:rPr>
                <w:sz w:val="20"/>
                <w:szCs w:val="20"/>
                <w:color w:val="auto"/>
              </w:rPr>
            </w:pPr>
            <w:r>
              <w:rPr>
                <w:rFonts w:ascii="Arial" w:cs="Arial" w:eastAsia="Arial" w:hAnsi="Arial"/>
                <w:sz w:val="18"/>
                <w:szCs w:val="18"/>
                <w:color w:val="auto"/>
              </w:rPr>
              <w:t>Tulare, CA</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300</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400</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300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Windfall Farms</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Luis Obispo, CA</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Sheldon Ranches</w:t>
            </w:r>
          </w:p>
        </w:tc>
        <w:tc>
          <w:tcPr>
            <w:tcW w:w="2400" w:type="dxa"/>
            <w:vAlign w:val="bottom"/>
            <w:gridSpan w:val="2"/>
          </w:tcPr>
          <w:p>
            <w:pPr>
              <w:spacing w:after="0"/>
              <w:rPr>
                <w:sz w:val="20"/>
                <w:szCs w:val="20"/>
                <w:color w:val="auto"/>
              </w:rPr>
            </w:pPr>
            <w:r>
              <w:rPr>
                <w:rFonts w:ascii="Arial" w:cs="Arial" w:eastAsia="Arial" w:hAnsi="Arial"/>
                <w:sz w:val="18"/>
                <w:szCs w:val="18"/>
                <w:color w:val="auto"/>
              </w:rPr>
              <w:t>Tulare, CA</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600</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Lemons 400</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Tulare, CA</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400</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Cadiz</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Bernardino, CA</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800</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600</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Associated Citrus Packers</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Yuma, AZ</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1,200</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Fruticola Pan de Azucar</w:t>
            </w:r>
          </w:p>
        </w:tc>
        <w:tc>
          <w:tcPr>
            <w:tcW w:w="2400" w:type="dxa"/>
            <w:vAlign w:val="bottom"/>
            <w:gridSpan w:val="2"/>
          </w:tcPr>
          <w:p>
            <w:pPr>
              <w:spacing w:after="0"/>
              <w:rPr>
                <w:sz w:val="20"/>
                <w:szCs w:val="20"/>
                <w:color w:val="auto"/>
              </w:rPr>
            </w:pPr>
            <w:r>
              <w:rPr>
                <w:rFonts w:ascii="Arial" w:cs="Arial" w:eastAsia="Arial" w:hAnsi="Arial"/>
                <w:sz w:val="18"/>
                <w:szCs w:val="18"/>
                <w:color w:val="auto"/>
              </w:rPr>
              <w:t>La Serena, Chile</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200</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agribusiness land</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counties, CA</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200</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2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Total</w:t>
            </w:r>
          </w:p>
        </w:tc>
        <w:tc>
          <w:tcPr>
            <w:tcW w:w="2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Limoneira/Olivelands Ranch</w:t>
      </w:r>
      <w:r>
        <w:rPr>
          <w:rFonts w:ascii="Arial" w:cs="Arial" w:eastAsia="Arial" w:hAnsi="Arial"/>
          <w:sz w:val="18"/>
          <w:szCs w:val="18"/>
          <w:color w:val="auto"/>
        </w:rPr>
        <w:t xml:space="preserve"> is the original site of our Company. Our headquarters, lemon packing operations and storage facilities are located on this property.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Teague McKevett Ranch</w:t>
      </w:r>
      <w:r>
        <w:rPr>
          <w:rFonts w:ascii="Arial" w:cs="Arial" w:eastAsia="Arial" w:hAnsi="Arial"/>
          <w:sz w:val="18"/>
          <w:szCs w:val="18"/>
          <w:color w:val="auto"/>
        </w:rPr>
        <w:t xml:space="preserve"> is the site of our real estate development project known as East Area I and described below under the “Real Estate Development Division” heading.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i w:val="1"/>
          <w:iCs w:val="1"/>
          <w:color w:val="auto"/>
        </w:rPr>
        <w:t xml:space="preserve">Windfall Farms - Creston, California. </w:t>
      </w:r>
      <w:r>
        <w:rPr>
          <w:rFonts w:ascii="Arial" w:cs="Arial" w:eastAsia="Arial" w:hAnsi="Arial"/>
          <w:sz w:val="16"/>
          <w:szCs w:val="16"/>
          <w:color w:val="auto"/>
        </w:rPr>
        <w:t>Windfall Farms is an approximately 700-acre former thoroughbred breeding farm and equestrian facility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Creston, California, near Paso Robles, California. During fiscal years 2014 and 2015, we planted approximately 200 acres of vineyards and an additional 100 acres in 2017. Vineyards are generally productive after four years. During the fourth quarter of 2017, the vineyards produced their second harvest from the 2014 planting and their first harvest from the 2015 planting, generating approximately 800 tons of grapes and $1.2 million of revenue. We expect to sell vineyard production by the ton to various wineries with current per ton prices of approximately $1,500 depending on the grape variety and other factors.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Limco Del Mar </w:t>
      </w:r>
      <w:r>
        <w:rPr>
          <w:rFonts w:ascii="Arial" w:cs="Arial" w:eastAsia="Arial" w:hAnsi="Arial"/>
          <w:sz w:val="18"/>
          <w:szCs w:val="18"/>
          <w:color w:val="auto"/>
        </w:rPr>
        <w:t>is owned by a limited partnership of which we are the general partner and own an interest of 28.1%, which is comprised of a 1.3%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interest and a 26.8% limited partner interest.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We manage the </w:t>
      </w:r>
      <w:r>
        <w:rPr>
          <w:rFonts w:ascii="Arial" w:cs="Arial" w:eastAsia="Arial" w:hAnsi="Arial"/>
          <w:sz w:val="17"/>
          <w:szCs w:val="17"/>
          <w:i w:val="1"/>
          <w:iCs w:val="1"/>
          <w:color w:val="auto"/>
        </w:rPr>
        <w:t>Cadiz Ranches</w:t>
      </w:r>
      <w:r>
        <w:rPr>
          <w:rFonts w:ascii="Arial" w:cs="Arial" w:eastAsia="Arial" w:hAnsi="Arial"/>
          <w:sz w:val="17"/>
          <w:szCs w:val="17"/>
          <w:color w:val="auto"/>
        </w:rPr>
        <w:t xml:space="preserve"> under operating lease arrangements. We purchased substantially all of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property in two separate transactions, which closed in September and December 2015. We previously managed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under operating lease arrangements.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other agribusiness land in the table above includes corporate and lemon packing facilities, land leased to other agricultural businesses, rental units, roads, creeks, hillsides and other open land.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years after planting. Currently, we have 1,600 acres of lemons, 100 acres of oranges and 500 acres of specialty citrus and other crops that are under development. Orchards may continue producing fruit longer than their depreciable lives. The following table presents the number of acres planted by fruit variety and approximate age of our orchards: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Age of Orchards</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County, State, Fruit Variety</w:t>
            </w:r>
          </w:p>
        </w:tc>
        <w:tc>
          <w:tcPr>
            <w:tcW w:w="15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0-4 Years</w:t>
            </w:r>
          </w:p>
        </w:tc>
        <w:tc>
          <w:tcPr>
            <w:tcW w:w="15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5-25 Years</w:t>
            </w:r>
          </w:p>
        </w:tc>
        <w:tc>
          <w:tcPr>
            <w:tcW w:w="15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4"/>
              </w:rPr>
              <w:t>Over 25 Years</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Ventura, CA</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640"/>
              <w:spacing w:after="0"/>
              <w:rPr>
                <w:sz w:val="20"/>
                <w:szCs w:val="20"/>
                <w:color w:val="auto"/>
              </w:rPr>
            </w:pPr>
            <w:r>
              <w:rPr>
                <w:rFonts w:ascii="Arial" w:cs="Arial" w:eastAsia="Arial" w:hAnsi="Arial"/>
                <w:sz w:val="18"/>
                <w:szCs w:val="18"/>
                <w:color w:val="auto"/>
              </w:rPr>
              <w:t>Lemons</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300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800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Avocados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500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Total Ventura, CA</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Tulare, CA</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640"/>
              <w:spacing w:after="0"/>
              <w:rPr>
                <w:sz w:val="20"/>
                <w:szCs w:val="20"/>
                <w:color w:val="auto"/>
              </w:rPr>
            </w:pPr>
            <w:r>
              <w:rPr>
                <w:rFonts w:ascii="Arial" w:cs="Arial" w:eastAsia="Arial" w:hAnsi="Arial"/>
                <w:sz w:val="18"/>
                <w:szCs w:val="18"/>
                <w:color w:val="auto"/>
              </w:rPr>
              <w:t>Lemons</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400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300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500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Oranges</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600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640"/>
              <w:spacing w:after="0"/>
              <w:rPr>
                <w:sz w:val="20"/>
                <w:szCs w:val="20"/>
                <w:color w:val="auto"/>
              </w:rPr>
            </w:pPr>
            <w:r>
              <w:rPr>
                <w:rFonts w:ascii="Arial" w:cs="Arial" w:eastAsia="Arial" w:hAnsi="Arial"/>
                <w:sz w:val="18"/>
                <w:szCs w:val="18"/>
                <w:color w:val="auto"/>
              </w:rPr>
              <w:t>Specialty citrus and other</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200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400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Tulare, CA</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Bernardino, CA - Lemons</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400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Luis Obispo, CA – Wine Grapes</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Yuma, AZ - Lemons</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500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Serena, Chile</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640"/>
              <w:spacing w:after="0"/>
              <w:rPr>
                <w:sz w:val="20"/>
                <w:szCs w:val="20"/>
                <w:color w:val="auto"/>
              </w:rPr>
            </w:pPr>
            <w:r>
              <w:rPr>
                <w:rFonts w:ascii="Arial" w:cs="Arial" w:eastAsia="Arial" w:hAnsi="Arial"/>
                <w:sz w:val="18"/>
                <w:szCs w:val="18"/>
                <w:color w:val="auto"/>
              </w:rPr>
              <w:t>Lemons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Oranges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La Serena, Chile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Percentage of Total</w:t>
            </w: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Borders>
              <w:bottom w:val="single" w:sz="8" w:color="CCEEFF"/>
            </w:tcBorders>
            <w:gridSpan w:val="2"/>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Summary by Crop</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Lemons</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1,600</w:t>
            </w:r>
          </w:p>
        </w:tc>
        <w:tc>
          <w:tcPr>
            <w:tcW w:w="1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640"/>
              <w:spacing w:after="0"/>
              <w:rPr>
                <w:sz w:val="20"/>
                <w:szCs w:val="20"/>
                <w:color w:val="auto"/>
              </w:rPr>
            </w:pPr>
            <w:r>
              <w:rPr>
                <w:rFonts w:ascii="Arial" w:cs="Arial" w:eastAsia="Arial" w:hAnsi="Arial"/>
                <w:sz w:val="18"/>
                <w:szCs w:val="18"/>
                <w:color w:val="auto"/>
              </w:rPr>
              <w:t>Avocados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500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Oranges</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640"/>
              <w:spacing w:after="0"/>
              <w:rPr>
                <w:sz w:val="20"/>
                <w:szCs w:val="20"/>
                <w:color w:val="auto"/>
              </w:rPr>
            </w:pPr>
            <w:r>
              <w:rPr>
                <w:rFonts w:ascii="Arial" w:cs="Arial" w:eastAsia="Arial" w:hAnsi="Arial"/>
                <w:sz w:val="18"/>
                <w:szCs w:val="18"/>
                <w:color w:val="auto"/>
              </w:rPr>
              <w:t>Specialty citrus and other</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500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400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Lemon Packing and Sales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the oldest continuous lemon packing operation in North America. We pack and sell lemons grown by us as well as lemons grown by others, which operations are included in our financial statements under the lemon packing segment. Lemons delivered to our packinghouses in Santa Paula,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A significant portion of the costs related to our lemon packing operation is fixed.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invest considerable time and research into refining and improving our lemon packing through innovation and are continuously in search of new techniques to refine how premium lemons are delivered to our consumers. In the second quarter of fiscal year 2016, our new lemon packing facility became operational, which is expected to double our lemon packing capacity and has increased the efficiency and financial results of these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Operations Division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rental operations division is provided for in our financial statements as its own reportable segment and includes our residential and commercial rentals, leased land operations and organic recycling. The rental operations division represented approximately 4%, 5% and 5% of our fiscal year 2017, 2016 and 2015 consolidated revenues,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and maintain approximately 245 residential housing units located in Ventura and Tulare Counties in California that we lease to employees, former employees and non-employees. The December 2017 Southern California wildfires destroyed 14 mobile homes, which we estimate to cost approximately $60,000 per unit to replace. In fiscal year 2015, we added 65 new agriculture workforce housing units in Santa Paula, California. These properties generate reliable cash flows which we use to partially fund the operating costs of our business and provide affordable housing for many of our employees and the community.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several commercial office buildings and a multi-use facility consisting of a retail convenience store, gas station, car wash, and quick-serve restaurant. As with our residential housing units, these properties generate reliable cash flows which we use to partially fund the operating costs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Land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October 31, 2017, we lease approximately 500 acres of our land to third-party agricultural tenants who grow a variety of row crops such as strawberries, raspberries, celery and cabbage. Our leased land business provides us with a profitable method to diversify the use of our land.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Recycling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help of one of our tenants, Agromin, Inc. (“Agromin”), a processor of premium soil products and a green waste recycler located in Oxnard, California, we have implemented an organic recycling program. Agromin provides green waste recycling for cities in Santa Barbara, Los Angeles and Ventura Counties. We worked with Agromin to develop an organic recycling facility on our land in Ventura County, to receive green materials (lawn clipping, leaves, bark and other plant materials) and convert such material into mulch that we spread throughout our agricultural properties to help curb erosion, improve water efficiency, reduce weeds and moderate soil temperatures. We receive a percentage of the gate fees Agromin collects from regional waste haulers and enjoy the benefits of the organic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Division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development division is provided for in our financial statements as its own reportable segment and includes our real estate development operations. The real estate development division had no significant revenues in fiscal years 2017 and 2016 and represented 1% of consolidated revenues in fiscal year 2015.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1,700 units in various stages of planning and development. The following is a summary of each of the strategic agricultural and development real estate investment properties in which we own an interest: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i w:val="1"/>
          <w:iCs w:val="1"/>
          <w:color w:val="auto"/>
        </w:rPr>
        <w:t xml:space="preserve">East Area I - Santa Paula, California. </w:t>
      </w:r>
      <w:r>
        <w:rPr>
          <w:rFonts w:ascii="Arial" w:cs="Arial" w:eastAsia="Arial" w:hAnsi="Arial"/>
          <w:sz w:val="17"/>
          <w:szCs w:val="17"/>
          <w:color w:val="auto"/>
        </w:rPr>
        <w:t>East Area I consists of 523 acres that we have used as agricultural land and is located in Santa Paula approximately ten</w:t>
      </w:r>
      <w:r>
        <w:rPr>
          <w:rFonts w:ascii="Arial" w:cs="Arial" w:eastAsia="Arial" w:hAnsi="Arial"/>
          <w:sz w:val="17"/>
          <w:szCs w:val="17"/>
          <w:i w:val="1"/>
          <w:iCs w:val="1"/>
          <w:color w:val="auto"/>
        </w:rPr>
        <w:t xml:space="preserve"> </w:t>
      </w:r>
      <w:r>
        <w:rPr>
          <w:rFonts w:ascii="Arial" w:cs="Arial" w:eastAsia="Arial" w:hAnsi="Arial"/>
          <w:sz w:val="17"/>
          <w:szCs w:val="17"/>
          <w:color w:val="auto"/>
        </w:rPr>
        <w:t>miles from the City of Ventura and the Pacific Ocean. This property is also known as our Teague McKevett Ranch. We believe East Area I is an ideal location for a master planned community of commercial and residential properties designed to satisfy expected demand in a region that we believe will have few other developments in this coming decade. In 2008, after we completed a process of community planning and environmental review, the citizens of Santa Paula voted to approve the annexation of East Area I into Santa Paula. This vote was a requirement of the Save Open-Space and Agricultural Resources (“SOAR”), ordinance that mandates a public vote of the City of Santa Paula for land use conversion.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10, 2015, we entered into the Joint Venture with Lewis for the residential development of our East Area I real estate development project. To consummate the transaction, we formed Limoneira Lewis Community Builders, LLC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$100.0 million from the Joint Venture over the estimated 7 to 10-year life of the project. The Joint Venture partners will share in capital contributions to fund project costs until loan proceeds and/or revenues are sufficient to fund the project. These funding requirements are currently estimated to total $10.0 to $15.0 million for each Joint Venture partner in the first two to three years of the project and we funded $7.5 million in fiscal year 2017, $2.3 million in fiscal year 2016 and an additional $3.5 million in the first quarter of fiscal year 2018. We also entered into a lease agreement with the Joint Venture to lease back a portion of the contributed property, which allows us to continue farming the property during the phased build-out of the project. We are planning approximately 632 units in Phase 1 of the project. Grading began in November 2017 and we anticipate Phase 1 site improvements during the winter of this year. The lot sale process with home builders is expected to begin in the spring of 2018 and initial closings of lots sales are anticipated to begin in the first quarter of fiscal year 2019.</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East Area II - Santa Paula, California. </w:t>
      </w:r>
      <w:r>
        <w:rPr>
          <w:rFonts w:ascii="Arial" w:cs="Arial" w:eastAsia="Arial" w:hAnsi="Arial"/>
          <w:sz w:val="18"/>
          <w:szCs w:val="18"/>
          <w:color w:val="auto"/>
        </w:rPr>
        <w:t>We and our design associates are in the process of formulating plans for East Area II, a parcel of approximately 30</w:t>
      </w:r>
      <w:r>
        <w:rPr>
          <w:rFonts w:ascii="Arial" w:cs="Arial" w:eastAsia="Arial" w:hAnsi="Arial"/>
          <w:sz w:val="18"/>
          <w:szCs w:val="18"/>
          <w:i w:val="1"/>
          <w:iCs w:val="1"/>
          <w:color w:val="auto"/>
        </w:rPr>
        <w:t xml:space="preserve"> </w:t>
      </w:r>
      <w:r>
        <w:rPr>
          <w:rFonts w:ascii="Arial" w:cs="Arial" w:eastAsia="Arial" w:hAnsi="Arial"/>
          <w:sz w:val="18"/>
          <w:szCs w:val="18"/>
          <w:color w:val="auto"/>
        </w:rPr>
        <w:t>acres adjacent to East Area I, also a part of our Teague McKevett Ranch, that we believe is suited to commercial and/or industrial development along the south side of California Highway 126, a heavily traveled corridor that connects Highway 101 at Ventura on the west with Interstate 5 at Santa Clarita on the east. When completed, we expect that the development will contribute to the economic vitality of the region and allow residents to work and shop within close proximity to their homes.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successful development of East Area II will be partly dependent on the success of East Area I described above. We expect that East Area II could accommodate large retailers, a medium or large employer, a complex of mixed business and retail, or some combination of the foregoing. We are actively cultivating prospects to buy land in or become future tenants in East Area II and expect that development will closely follow the build-out of East Area I.</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Santa Maria - Santa Barbara County, California. </w:t>
      </w:r>
      <w:r>
        <w:rPr>
          <w:rFonts w:ascii="Arial" w:cs="Arial" w:eastAsia="Arial" w:hAnsi="Arial"/>
          <w:sz w:val="18"/>
          <w:szCs w:val="18"/>
          <w:color w:val="auto"/>
        </w:rPr>
        <w:t>As of October 31, 2017, we were invested in three entitled development parcels in Santa Barbara County,</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a county that, in our experience, entitles very few parcels. Located in Santa Maria, each of these parcels offers a residential and/or commercial development opportunity. A brief description of each parcel follows:</w:t>
      </w:r>
    </w:p>
    <w:p>
      <w:pPr>
        <w:spacing w:after="0" w:line="181"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Centennial has been approved for 138 apartments on 6 acres and is close to medical facilities, shopping and transportation. We sold Centennial in December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Terraces at Pacific Crest (“Pacific Crest”) is an approximately 8-acre parcel approved for 112 attached-housing units. In December 2017, we entered an agreement to sell our Terraces at Pacific Crest (“Pacific Crest”) property for $3.5 million.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Sevilla is approved for 69 single-family homes adjacent to shopping, transportation, schools, parks and medical facilities, with a parcel of approximately 3 acres zoned for commercial use. We sold the commercial portion of Sevilla in November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avocados and oranges. The following is a brief list of what we believe are our significant competitive strengths with respect to our agribusiness division, which includes our fresh lemons, lemon packing, avocados and other agribusiness segments unless otherwise noted:</w:t>
      </w:r>
    </w:p>
    <w:p>
      <w:pPr>
        <w:spacing w:after="0" w:line="187"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agricultural properties in Ventura County are located near the Pacific Ocean, which provides an ideal environment for growing lemons, avocados and row crops. Our agricultural properties in Tulare County, which is in the San Joaquin Valley in Central California, and in Yuma, Arizona, are also located in areas that are well-suited for growing citrus crops.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Historically, a higher percentage of our crops go to the fresh market, which is commonly referred to as fresh utilization, than that of other growers and packers with which we compete.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contiguous and nearby land resources that permit us to efficiently use our agricultural land and resources.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all but one of our properties, we are not dependent on State or Federal water projects to support our agribusiness or real estate development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own approximately 90% of our agricultural land and take a long view on our fruit production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significant amount of our agribusiness property was acquired many years ago, which results in a low-cost basis and associated expenses.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well-trained and retentive labor force with many employees remaining with us for more than 30 years.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fresh lemons and lemon packing segments, our integrated business model with respect to growing, packing, marketing and selling lemons allows us to better serve our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lemon packing operations provide marketing opportunities with other citrus companies and their respective products.</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Since 2010, we have achieved and maintained GLOBALGAP Certification by successfully demonstrating our adherence to specific GLOBALGAP standards. GLOBALGAP is an internationally recognized set of farm standards dedicated to “Good Agricultural Practices” or GAP. We believe that GLOBALGAP Certification differentiates us from our competitors and serves as reassurance to consumers and retailers that food reaches acceptable levels of safety and quality, and has been produced sustainably, respecting the health, safety and welfare of workers and the environment, and in consideration of animal welfare issues.</w:t>
      </w:r>
    </w:p>
    <w:p>
      <w:pPr>
        <w:spacing w:after="0" w:line="188"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and provides a significant portion of the electricity required to operate four deep-water well pumps at one of our ranches in Tulare County, California. Additionally, these investments support our sustainable agricultural practices, reduce our dependence on fossil-based electricity generation and lower our carbon footprint. Moreover, electricity that we generate and do not use is conveyed seamlessly back to the investor-owned utilities operating in these two markets. Finally, over time, we expect that our customers and the end consumers of our fruit will value the investments that we have made in renewable energy as a part of our farming and packing operations, which we believe may help us differentiate our products from similar commodities.</w:t>
      </w:r>
    </w:p>
    <w:p>
      <w:pPr>
        <w:spacing w:after="0" w:line="178"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made various other investments in water rights and mutual water companies. We own shares in the following mutual water companies: Farmers Irrigation Co., Canyon Irrigation Co., San Cayetano Mutual Water Co., Middle Road Mutual Water Co. and Pioneer Water Company, Inc. In 2007, we acquired additional water rights in the adjudicated Santa Paula Basin (aquifer) and in September 2013 we acquired water rights in the YMIDD with our acquisition of Associated Citrus Packers, Inc. (“Associated”). In February 2017, we acquired water rights with our purchase of 90% of PDA.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rental operations division, we believe our competitive advantages are as follows:</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housing and land rentals provide a consistent, dependable source of cash flow that helps to counter the volatility typically associated with an agricultural business.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housing rental business allows us to offer a unique benefit to our employees, which in turn helps to provide us with a dependable, long-term employee base.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leased land business allows us to partner with other agricultural producers that can serve as a profitable alternative to under-producing tree crop acreage.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organic recycling tenant provides us with a low cost, environmentally friendly solution to weed and erosion control.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real estate development division, we believe our competitive advantages are as follows:</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real estate development activities are primarily focused in coastal areas north of Los Angeles and south of Santa Maria, which we believe have desirable climates for lifestyle families, retirees and athletic and sports enthusiasts.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entitlements to build approximately 1,500 residential units in our East Area I (Santa Paula Gateway) development and approximately 200 residential units in our Santa Maria property.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partnered with an experienced and financially strong land developer for our East Area I residential master plan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Several of our agricultural and real estate investment properties are unique and carry longer-term development potential.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East Area II property has approximately 30 acres of land commercially zoned, which is adjacent to our East Area I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each of our business divisions has a separate business strategy, we are an agribusiness and real estate development company that generates annual cash flows to support investments in agricultural and real estate development activities. As our agricultural and real estate development investments are monetized, we intend to seek to expand our agribusiness into new regions and markets and invest in cash-producing residential, commercial and industrial rental assets.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the key elements of our business strategy for each of our agribusiness, rental operations and real estate development business divisions.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agribusiness division, key elements of our strategy are:</w:t>
      </w:r>
    </w:p>
    <w:p>
      <w:pPr>
        <w:spacing w:after="0" w:line="225"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Acquire Additional Lemon Producing Properties</w:t>
      </w:r>
      <w:r>
        <w:rPr>
          <w:rFonts w:ascii="Arial" w:cs="Arial" w:eastAsia="Arial" w:hAnsi="Arial"/>
          <w:sz w:val="18"/>
          <w:szCs w:val="18"/>
          <w:color w:val="auto"/>
        </w:rPr>
        <w:t>. To the extent attractive opportunities arise and our capital availability permits,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the acquisition of additional lemon producing properties. In order to be considered, such properties would need to have certain characteristics to provide acceptable returns, such as an adequate source of water, a warm micro-climate and well-drained soils. We anticipate that the most attractive opportunities to acquire lemon producing properties will be in the San Joaquin Valley near our existing operations in Tulare County, California.</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Expand our Sources of Lemon Supply. </w:t>
      </w:r>
      <w:r>
        <w:rPr>
          <w:rFonts w:ascii="Arial" w:cs="Arial" w:eastAsia="Arial" w:hAnsi="Arial"/>
          <w:sz w:val="18"/>
          <w:szCs w:val="18"/>
          <w:color w:val="auto"/>
        </w:rPr>
        <w:t>Peak lemon production occurs at different times of the year depending on geographic region.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lemon production in California and Arizona and lemons we acquire from third-party growers, we plan to expand our lemon supply sources to international markets such as Mexico, Chile and Argentina. Increases in lemons procured from third-party growers and international sources improve our ability to provide our customers with fresh lemons throughout the year.</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Increase the Volume of our Lemon Packing Operations</w:t>
      </w:r>
      <w:r>
        <w:rPr>
          <w:rFonts w:ascii="Arial" w:cs="Arial" w:eastAsia="Arial" w:hAnsi="Arial"/>
          <w:sz w:val="17"/>
          <w:szCs w:val="17"/>
          <w:color w:val="auto"/>
        </w:rPr>
        <w:t>. We regularly monitor our costs for redundancies and opportunities for cost reductions.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regard, cost per carton is a function of throughput. We continually seek to acquire additional lemons from third-party growers to pack through our plant. Third-party growers are only added if we determine their fruit is of good quality and can be cost effective for both us and the grower. Of most importance is the overall fresh utilization rate for our fruit, which is directly related to quality.</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Expand International Production and Marketing of Lemons</w:t>
      </w:r>
      <w:r>
        <w:rPr>
          <w:rFonts w:ascii="Arial" w:cs="Arial" w:eastAsia="Arial" w:hAnsi="Arial"/>
          <w:sz w:val="17"/>
          <w:szCs w:val="17"/>
          <w:color w:val="auto"/>
        </w:rPr>
        <w:t>. We estimate that we currently have approximately 5% of the fresh lemon market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a larger share of the United States lemon export market. We intend to explore opportunities to expand our international production and marketing of lemons. We have the ability to supply a wide range of customers and markets and, because we produce high quality lemons, we can export our lemons to international customers, which many of our competitors are unable to supply.</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Construction of a New Lemon Packinghouse</w:t>
      </w:r>
      <w:r>
        <w:rPr>
          <w:rFonts w:ascii="Arial" w:cs="Arial" w:eastAsia="Arial" w:hAnsi="Arial"/>
          <w:sz w:val="18"/>
          <w:szCs w:val="18"/>
          <w:color w:val="auto"/>
        </w:rPr>
        <w:t>. Over the years, new machinery and equipment along with upgrades have been added to our nearly 80-year old packinghouse and cold storage facilities. This, along with an aggressive and proactive maintenance program, has allowed us to operate an efficient, competitive lemon packing facility. A project to double the capacity and increase the efficiency of our lemon packing facilities became operational in fiscal year 2016. We expect that this project will ultimately increase fresh lemon processing capacity and has lowered packing costs by reducing labor and handling inputs.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Opportunistically Expand our Plantings of Oranges, Specialty Citrus and Other Crops</w:t>
      </w:r>
      <w:r>
        <w:rPr>
          <w:rFonts w:ascii="Arial" w:cs="Arial" w:eastAsia="Arial" w:hAnsi="Arial"/>
          <w:sz w:val="18"/>
          <w:szCs w:val="18"/>
          <w:color w:val="auto"/>
        </w:rPr>
        <w:t>. Our plantings of oranges, specialty citrus and other crops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profitable and have been pursued to diversify our product line. Agricultural land that we believe is not suitable for lemons is typically planted with oranges, specialty citrus or other crops. While we intend to expand our orange, specialty citrus and other crops, we expect to do so on an opportunistic basis in locations that we believe offer a record of historical profitability.</w:t>
      </w:r>
    </w:p>
    <w:p>
      <w:pPr>
        <w:spacing w:after="0" w:line="18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Opportunistically Expand our Plantings of Avocados</w:t>
      </w:r>
      <w:r>
        <w:rPr>
          <w:rFonts w:ascii="Arial" w:cs="Arial" w:eastAsia="Arial" w:hAnsi="Arial"/>
          <w:sz w:val="16"/>
          <w:szCs w:val="16"/>
          <w:color w:val="auto"/>
        </w:rPr>
        <w:t>. We may opportunistically expand our plantings of avocados primarily because our profitability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flow realized from our avocados frequently offset occasional losses in other crops we grow and help to diversify our fruit production base.</w:t>
      </w:r>
    </w:p>
    <w:p>
      <w:pPr>
        <w:spacing w:after="0" w:line="123"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Maintain and Grow our Relationship with Calavo</w:t>
      </w:r>
      <w:r>
        <w:rPr>
          <w:rFonts w:ascii="Arial" w:cs="Arial" w:eastAsia="Arial" w:hAnsi="Arial"/>
          <w:sz w:val="17"/>
          <w:szCs w:val="17"/>
          <w:color w:val="auto"/>
        </w:rPr>
        <w:t>. Our alignment with and ownership stake in Calavo comprises our current marketing strategy for</w:t>
      </w:r>
      <w:r>
        <w:rPr>
          <w:rFonts w:ascii="Arial" w:cs="Arial" w:eastAsia="Arial" w:hAnsi="Arial"/>
          <w:sz w:val="17"/>
          <w:szCs w:val="17"/>
          <w:i w:val="1"/>
          <w:iCs w:val="1"/>
          <w:color w:val="auto"/>
        </w:rPr>
        <w:t xml:space="preserve"> </w:t>
      </w:r>
      <w:r>
        <w:rPr>
          <w:rFonts w:ascii="Arial" w:cs="Arial" w:eastAsia="Arial" w:hAnsi="Arial"/>
          <w:sz w:val="17"/>
          <w:szCs w:val="17"/>
          <w:color w:val="auto"/>
        </w:rPr>
        <w:t>avocados. Calavo has expanded its sourcing into other regions of the world, including Mexico, Chile and Peru, which allows it to supply avocados to its retail and food service customers on a year-round basis. California avocados occupy a unique market window in the year-round supply chain and Calavo has experienced a general expansion of volume as consumption has grown. Thus, we intend to continue to have a strong and viable market for our California avocados as well as an equity participation in Calavo’s overall expansion and profitability.</w:t>
      </w:r>
    </w:p>
    <w:p>
      <w:pPr>
        <w:spacing w:after="0" w:line="17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Diversify our Agribusiness Portfolio with the Development of a Vineyard at Windfall Farms. </w:t>
      </w:r>
      <w:r>
        <w:rPr>
          <w:rFonts w:ascii="Arial" w:cs="Arial" w:eastAsia="Arial" w:hAnsi="Arial"/>
          <w:sz w:val="17"/>
          <w:szCs w:val="17"/>
          <w:color w:val="auto"/>
        </w:rPr>
        <w:t>Our Windfall Farms property has approximately 500</w:t>
      </w:r>
      <w:r>
        <w:rPr>
          <w:rFonts w:ascii="Arial" w:cs="Arial" w:eastAsia="Arial" w:hAnsi="Arial"/>
          <w:sz w:val="17"/>
          <w:szCs w:val="17"/>
          <w:i w:val="1"/>
          <w:iCs w:val="1"/>
          <w:color w:val="auto"/>
        </w:rPr>
        <w:t xml:space="preserve"> </w:t>
      </w:r>
      <w:r>
        <w:rPr>
          <w:rFonts w:ascii="Arial" w:cs="Arial" w:eastAsia="Arial" w:hAnsi="Arial"/>
          <w:sz w:val="17"/>
          <w:szCs w:val="17"/>
          <w:color w:val="auto"/>
        </w:rPr>
        <w:t>acres suitable for vineyard development. During fiscal years 2014 and 2015, we planted approximately 200 acres of vineyards and an additional 100 acres in fiscal year 2017. We intend to continue to plant vineyards at the property up to the 500 suitable acres. We believe the vineyards are consistent with our agribusiness strategy and provide diversification to our crop production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rental operations division, key elements of our strategy include the following:</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Secure Additional Rental and Housing Units</w:t>
      </w:r>
      <w:r>
        <w:rPr>
          <w:rFonts w:ascii="Arial" w:cs="Arial" w:eastAsia="Arial" w:hAnsi="Arial"/>
          <w:sz w:val="18"/>
          <w:szCs w:val="18"/>
          <w:color w:val="auto"/>
        </w:rPr>
        <w:t>. Our housing, commercial and land rental operations provide us with a consistent, dependable source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that helps to fund our overall activities. Additionally, we believe our housing rental operation allows us to offer a unique benefit to our employees. We have built and leased 65 out of a total of 71 approved additional units through infill projects on existing sites and groupings of units on new sites within our owned acreage.</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Opportunistically Lease Land to Third-Party Crop Farmers</w:t>
      </w:r>
      <w:r>
        <w:rPr>
          <w:rFonts w:ascii="Arial" w:cs="Arial" w:eastAsia="Arial" w:hAnsi="Arial"/>
          <w:sz w:val="18"/>
          <w:szCs w:val="18"/>
          <w:color w:val="auto"/>
        </w:rPr>
        <w:t>. We regularly monitor the profitability of our fruit-producing acreage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per acre returns. When we determine that leasing the land to third-party row crop farmers would be more profitable than farming the land, we intend to seek third-party row crop tenants.</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Opportunistically Expand our Income-Producing Commercial and Industrial Rental Assets</w:t>
      </w:r>
      <w:r>
        <w:rPr>
          <w:rFonts w:ascii="Arial" w:cs="Arial" w:eastAsia="Arial" w:hAnsi="Arial"/>
          <w:sz w:val="18"/>
          <w:szCs w:val="18"/>
          <w:color w:val="auto"/>
        </w:rPr>
        <w:t>. We intend to redeploy our future financial gains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additional income-producing real estate investments and agricultural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real estate development division, key elements of our strategy include: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Selectively and Responsibly Develop our Agricultural Land</w:t>
      </w:r>
      <w:r>
        <w:rPr>
          <w:rFonts w:ascii="Arial" w:cs="Arial" w:eastAsia="Arial" w:hAnsi="Arial"/>
          <w:sz w:val="18"/>
          <w:szCs w:val="18"/>
          <w:color w:val="auto"/>
        </w:rPr>
        <w:t>. We recognize that long-term strategies are required for successful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Opportunistically Increase our Real Estate Holdings</w:t>
      </w:r>
      <w:r>
        <w:rPr>
          <w:rFonts w:ascii="Arial" w:cs="Arial" w:eastAsia="Arial" w:hAnsi="Arial"/>
          <w:sz w:val="18"/>
          <w:szCs w:val="18"/>
          <w:color w:val="auto"/>
        </w:rPr>
        <w:t>. We intend to redeploy our future financial gains to acquire additional income-producing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investments and agricultural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our fresh lemons and lemon packing segments, we have marketed and sold our lemons directly to our food service, wholesale and retail customers in the United States, Canada, Asia, Australia and certain other international markets since 2010. Previously, Sunkist marketed and sold the majority of our lemons. We sold lemons to approximately 200 U.S. and international customers during fiscal year 2017. In terms of our avocado segment, we sell all of our avocados to Calavo. In our other agribusiness segment, our oranges, specialty citrus and other crops are sold through Sunkist and other packinghouses and our wine grapes are sold to wine producers.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fresh lemons and lemon packing segments, paper is considered to be a material raw product for our business because most of our products are packed in cardboard cartons for shipment. Paper is readily available and we have numerous suppliers for such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Geographic Areas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fiscal year 2017, lemon sales were comprised of 73% domestic sales, 23% sales to domestic exporters and 4% international sales. Additionally, in fiscal year 2017, we had approximately $1.1 million of lemon and orange sales in Chile by PDA. During fiscal year 2016, lemon sales were comprised of 77% domestic sales, 20% sales to domestic exporters and 3% international sales. During fiscal year 2015, lemon sales were comprised of 75% domestic sales, 21% sales to domestic exporters and 4% international sales. All of our avocados, oranges and specialty citrus and other crops are sold to packinghouses and processors located in the United States. Most of our long-lived assets are located within the United States, we have an investment in a citrus packing, marketing and sales business in La Serena, Chile and we own a 90% interest in a 200-acre lemon and orange ranch in La Serena, Chile.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with any agribusiness enterprise, our agribusiness division operations are predominantly seasonal in nature. The harvest and sale of our lemons, avocados, oranges and specialty citrus and other crops occurs in all quarters, but is generally more concentrated during our third quarter. With respect to our fresh lemons and lemon packing segment, our lemons are generally grown and marketed throughout the year. In terms of our avocado segment, our avocados are sold generally throughout the year with the peak months being February through September. In terms of our other agribusiness segment, our Navel oranges are primarily sold from January through April; our Valencia oranges are primarily sold from June through September; our specialty citrus is sold from November through June and our specialty crops, such as pistachios and wine grapes, are sold in September and/or October.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agribusiness division crop markets, including those in which all of our agribusiness segments operate,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Calavo similar to that of Limoneira. We also compete with other fruits and vegetables for the share of consumer expenditures devoted to fresh fruit and vegetables: apples, pears, melons, pineapples and other tropical fruit. In our avocado segment specifically, avocado products compete in the supermarket with hummus products and other dips and salsas. U.S. producers of fruit and tree nuts generate approximately $19 billion of fruit and tree nuts each year, about 15% of which is exported. For our specific crops, the size of the U.S. market is approximately $375 million for lemons, approximately $300 to $400 million for avocados depending on the year, and approximately $1.5 to $2.0 billion for oranges, both fresh and juice. Competition in the various markets in which our agribusiness division operates is affected by reliability of supply, product quality, brand recognition and perception, price and the ability to satisfy changing customer preferences through innovative product offerings.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and Santa Barbara Counties comes from other residential and commercial developments in nearby areas.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numerous trademarks and brands under which we market and sell our fruits, particularly lemons, domestically and internationally, many of which have been owned for decades. In our fresh lemons and lemon packing segment, the brands of Limoneira lemons which are of importance include: Santa®, Paula®, Bridal Veil®, Fountain®, Golden Bowl® and Level®; these examples of trademarks are owned by us and registered with the United States Patent and Trademark Office. We also acquired certain lemon brands with the acquisition of Associated including Kiva® and Kachina®.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2017, we had 284 employees, 82 of which were salaried and 202 of which were hourly. None of our employees are subject to a collective bargaining agreement. We believe that our relations with our employees are good.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our agribusiness division, our research and development programs concentrate on sustaining the productivity of our agricultural lands, product quality and value-added product development. Agricultural research is directed toward sustaining and improving product yields and product quality by examining and improving agricultural practices in all phases of production (such as the development of specifically adapted plant varieties, land preparation, fertilization, pest and disease control, post-harvest handling, packing and shipping procedures), and includes on-site technical services and the implementation and monitoring of recommended agricultural practices. Research efforts are also directed towards integrated pest management. We conduct agricultural research at field facilities throughout our growing areas. We also sponsor research related to environmental improvements and the protection of worker and community health. The aggregate amounts we spent on research and development in each of the last three years have not been material in any such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Regulatory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which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in our common stock involves a high degree of risk. There are numerous and varied risks, known and unknown, that may prevent us from achieving our goals. The risks described below are not the only ones we will face. If any of the following risks or other risks actually occurs, our business, financial condition, results of operations or future prospects could be materially and adversely affected. In such event, the trading price of our common stock could decline and investors in our common stock could lose all or part of their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Agribusiness Division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crops are subject to damage from frosts and freezes, and this has happened periodically in the recent past. In some cases, the fruit is damaged or ruined; in the case of extended periods of cold, the trees can also be damaged or killed.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260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Fresh produce is also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One such pest is ACP, an aphid–like insect that is a serious pest to all citrus plants because it can transmit the disease, Huanglongbing (“HLB”), when it feeds on the plants’ leaves and trees. By itself, ACP causes only minor cosmetic damage to citrus trees. HLB, however, is considered to be one of the most devastating diseases of citrus in the world. Trees infected with HLB decline in health, produce inedible fruit and eventually die, usually in 3 to 5 years after becoming infected. Currently, there is no cure for the disease and infected trees must be removed and destroyed to prevent further spreading.</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ACP and HLB exist domestically in Florida, Louisiana, Georgia, South Carolina and Texas and internationally in countries such as Mexico. ACP exists in California, including in our orchards, however, to date, only a few instances of HLB have been detected in Los Angeles County, California. There can be no assurance that HLB will not be further detected in the future. Due to the discovery of ACP in our orchards, we have experienced costs related to the quarantine and treatment of ACP and incurred approximately $0.9 million of costs in fiscal year 2017 related to pest control efforts targeted against ACP.</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are a number of registered insecticides known to be effective against ACP. However, certain markets and customer responses to the discovery of ACP and the related quarantine could result in a significant decline in revenue due to restrictions on where our lemons can be sold and lower demand for our lemons. Additional government regulations and other quarantine requirements or customer handling and inspection requirements could increase agribusiness costs to us. Our citrus orchards could be at risk if ACP starts to transmit the HLB disease to our trees. Agribusiness costs could also increase significantly as a result of HLB. For example, a recent study in Florida indicated the presence of HLB has increased citrus production costs by as much as 40%.</w:t>
      </w:r>
    </w:p>
    <w:p>
      <w:pPr>
        <w:spacing w:after="0" w:line="15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and we cannot assure you that we will maintain our current market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Important factors with respect to our competitors include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cannot predict the pricing or promotional actions of our competitors or whether those actions will have a negative effect on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strategy of marketing and selling our lemons directly to our food service, wholesale and retail customers may not continue to be successful.</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 leverage of the major grocery retailers in our markets, which may put further downward pressure on our pricing and volume and could adversely affect our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We depend on our relationship with Calavo and their ability to sell our avocados. Any disruption in this relationship could harm our sales.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sell 100% of the avocados we grow to Calavo and depend on their willingness and ability to market and sell our avocados to consumers. Calavo sources its avocados from many growers and we cannot control who they will purchase from and how large their orders may be. Should there be any change in our current relationship structure, whereby they buy our entire avocado crop, we would need to find replacement buyers to purchase our remaining crop, which could take time and expense and may result in less favorable terms of sale. Any loss of Calavo as a customer on a whole may cause a material loss in our profits, as they currently purchase 100% of our avocado crop and it may take time to fill any such void.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are sensitive to fluctuations in market supply and prices and demand for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Excess supplies often cause severe price competition in our industry. Growing conditions in various parts of the world, particularly weather conditions such as windstorms, floods, droughts and freezes, as well as diseases and pests, are primary factors affecting market prices because of their influence on the supply and quality of product.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produce is highly perishable and generally must be brought to market and sold soon after harvest. Some items, such as avocados, oranges and specialty citrus,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seasonal variability.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earnings may be affected by seasonal factors,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seasonality of our supplies and consumer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process products during critical harvest periods;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effects of ripening and perishability.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lemons are generally grown and marketed throughout the year. Our Navel oranges are sold generally from January through April and our Valencia oranges are sold generally from June through September. Our avocados are sold generally throughout the year with the peak months being February through September. Our specialty citrus is sold generally from November through June and our pistachios and wine grapes are sold generally in September and October.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fluctuation may impact the results of our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distribute our products both nationally and internationally. Our international sales are transacted in U.S. dollars. Our results of operations are affected by fluctuations in currency exchange rates in both sourcing and selling locations. In the past, periods of a strong U.S. dollar relative to other currencies have led international customers, particularly in Asia, to find alternative sources of fruit.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commodity or raw product costs, such as fuel and paper, could adversely affect our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The cost of paper is also significant to us because some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labor, personnel and benefits costs could adversely affect our operating results.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our labor contractors are subject to government mandated wage and benefit laws and regulations. For example, the State of California, where a substantial number of our labor contractors are located, passed regulations which increased minimum wage rates from $10.50 per hour to $11.00 per hour, effective January 1, 2018, and will gradually increase to $15.00 per hour by 2022. The State of Arizona also increased minimum wage rates from $10.00 per hour to $10.50 per hour, effective January 1, 2018, and will gradually increase to $12.00 per hour by 2020. In addition, current or future federal or state healthcare legislation and regulation, including the Affordable Care Act, may increase our medical costs or the medical costs of our labor contractors that could be passed on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immigration laws could impact the ability of Limoneira to harvest its crops.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grove operations,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sufficient water would severely impact our ability to produce crops or develop real estate.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average rainfall in Ventura, Tulare, San Luis Obispo and San Bernardino Counties in California is substantially below amounts required to grow crops and therefore we are dependent on our rights to pump water from underground aquifers. Extended periods of drought in California may put additional pressure on the use and availability of water for agricultural uses, and in some cases governmental authorities have diverted water to other uses. As California has grown, there are increasing and multiple pressures on the use and distribution of water, which many view as a finite resource. Lack of available potable water can also limit real estate development.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we use ground water in San Bernardino County. Following our acquisition of Associated, we began using federal project water in Arizona from the Colorado River through the YMIDD.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California has historically experienced periods of below average precipitation. Though recent precipitation has brought relief to California’s drought conditions,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was provided to San Joaquin Valley farmers this year compared to 75% in 2016 and zero in 2015 and 2014.</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fiscal year 2017, irrigation costs for our agricultural operations were $0.1 million lower than fiscal year 2016. However, costs may increase as we pump more water than our historical averages and federal, state and local water delivery infrastructure costs may increase to access these limited water supplies. We have an ongoing plan for irrigation improvements in fiscal year 2018 that includes drilling new wells and upgrading existing wells and irrigation systems.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We believe we have access to adequate supplies of water for our agricultural operations as well as our real estate development and rental operations segments of our business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herbicides, pesticides and other potentially hazardous substances in our operations may lead to environmental damage and result in increased costs to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which became effective on June 14, 2011, fundamentally changed the pesticide approval process from the current risk base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we do not believe that such regulation is reasonably likely to have a material effect in the foreseeable future on our business, results of operations, capital expenditures or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capital and credit market issues affect our liquidity, increase our borrowing costs and may affect the operations of our suppliers and customers.</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capital and credit markets have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global economic downturn may have an adverse impact on participants in our industry, which cannot be fully predicted.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impact of a global economic downturn on customers, vendors and other business partners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 partner that is unable to meet its contractual commitments to us. Similarly, stresses and pressures in the industry may result in impacts on our business partners and competitors, which could have wide ranging impacts on the future of the industry.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are subject to the risk of product contamination and product liability claims.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transportation risks.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extended interruption in our ability to ship our products could have a material adverse effect on our business, financial condition and results of operations. Similarly, any extended disruption in the distribution of our products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or rumors relating to LIMONEIRA or our other trademarks and related brands could significantly impact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Consumer and institutional recognition of the LIMONEIRA, Santa®, Paula®, Bridal Veil®, Fountain®, Golden Bowl®, Level®, Kiva® and Kachina®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key personnel and the loss of one or more of those key personnel may materially and adversely affect our prospects</w:t>
      </w:r>
      <w:r>
        <w:rPr>
          <w:rFonts w:ascii="Arial" w:cs="Arial" w:eastAsia="Arial" w:hAnsi="Arial"/>
          <w:sz w:val="17"/>
          <w:szCs w:val="17"/>
          <w:i w:val="1"/>
          <w:iCs w:val="1"/>
          <w:color w:val="auto"/>
        </w:rPr>
        <w: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depend heavily on the services of our key management personnel. The loss of any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can have a significant adverse effect on our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Inflation can have a major impact on our farming operations. The farming operations are most affected by escalating costs and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could increase our costs of production and increase legal and regulatory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Growing, packaging, storing and distributing food products are activities subject to extensive federal, state and local regulation, as well as foreign regulation. These aspects of our operations are regulated by the U.S. Food and Drug Administration (the “FDA”), the USDA and various state and local public health and agricultural agencies. On January 4, 2011, the FDA Food Safety Modernization Act, which is intended to ensure food safety, was enacted. This Act provides direct recall authority to the FDA and includes a number of other provisions designed to enhance food safety, including increased inspections by the FDA of food facilities. The Federal Perishables Commodities Act, which specifies standards for the sale, shipment, inspection and rejection of agricultural products, governs our relationships with our fresh food suppliers with respect to the grading and commercial acceptance of product shipments. Our business is also affected by import and export controls and similar laws and regulations, both in the United States and elsewhere.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strategy to expand international production and marketing may not be successful and may subject us to risks associated with doing business in corrupt environments.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intend to expand our lemon supply sources to international markets and explore opportunities to expand our international production and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other businesses could pose risks to our operating income.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continue to consider acquisition prospects that we think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infrastructure to have sufficient capacity to handle our annual lemon production needs.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an infrastructure that has sufficient capacity for our lemon production needs, but if we lose machinery or facilities due to natural disasters or mechanical failure, we may not be able to operate at a sufficient capacity to meet our lemon production needs. This could have a material adverse effect on our business, which could impact our results of operations and our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generate sufficient cash flow to service our debt obligations.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service our debt, we require a significant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14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difficulties, increased operating costs or pricing pressures we may experience;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implementing any strategic projects.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revolving and non-revolving credit and term loan facilities contain various restrictive covenants that limit our ability to take certain actions. In particular, these agreements limit our ability to, among other things:</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 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certain liens on our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certain types of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transfer substantially all our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revolving and non-revolving credit facility with the Farm Credit West Credit Facility and our Wells Fargo Term Loan contain a financial covenant that requires us to maintain compliance with a specified debt service coverage ratio on an annual basis. At October 31, 2017 and 2016, we were in compliance with such debt service coverage ratio. Our failure to comply with this covenant in the future may result in the declaration of an event of default under our Farm Credit West Credit Facility and Wells Fargo Term Loan.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Despite our relatively high current indebtedness levels and the restrictive covenants set forth in agreements governing our indebtedness, we may still incur significant additional indebtedness, including secured indebtedness. Incurring more indebtedness could increase the risks associated with our substantial indebtedness.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restrictions in our credit facilities, we may incur significant additional indebtedness. If new debt is added to our current debt levels, the related risks that we now face could increase.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Some of our debt is based on variable rates of interest, which could result in higher interest expenses in the event of an increase in the interest rates.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Farm Credit West Credit Facility and certain of our term loans that we have with Farm Credit West and its affiliates currently bear interest at variable rates, which will generally change as interest rates change. We bear the risk that the rates we are charged by our lenders will increase faster than the earnings and cash flow of our business, which could reduce profitability, adversely affect our ability to service our debt, cause us to breach covenants contained in our Farm Credit West Credit Facility, or our Farm Credit West Term Loans or our Wells Fargo Term Loan, any of which could materially adversely affect our business, financial condition and results of operations. In addition, while we have entered into interest rate swaps as hedging instruments to fix a substantial portion of the variable component of our indebtedness, such interest rate swaps could also have an adverse impact on the comparative results of our operation if prevailing interest rates remain below fixed rates established in such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Real Estate Development Division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a cyclical industry and are affected by changes in general and local economic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real estate development industry is cyclical and is significantly affected by changes in general and local economic conditions,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levels;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confidence;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the developed product, whether residential or industrial;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supply of similar product, whether residential or industrial;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state and federal government regulation, including eminent domain laws, which may result in taking for less compensation than the owner believes the property is worth.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recession in the global economy, or a downturn in national or regional economic conditions, could adversely impact our real estate development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economic instability or tightening in the credit markets could lead to another housing market collapse, which could adversely affect our real estate development operations. Our future real estate sales, revenues, financial condition and results of operations could suffer as a result. Our business is especially sensitive to economic conditions in California and Arizona, where our properties are located.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Higher interest rates and lack of available financing can have significant impacts on the real estate industry.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Since the most recent recession, the U.S. Federal Reserve has taken actions which have resulted in low interest rates prevailing in the marketplace for a historically long period of time. In June and December 2017, the U.S. Federal Reserve raised its benchmark interest rate by a quarter of a percentage point, respectively. Market interest rates may continue to increase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land use regulations and require governmental approvals for our developments that could be denied.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many states, cities and counties (including Ventura County) have in the past approved various “slow growth” or “urban limit line” measures.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If unforeseen regulatory challenges with East Areas I and II occur, we may not be able to develop these projects as planned and the approximately $74.5 million investment we have in the projects could be impaired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litigation could increase the time and cost of our real estate development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where a significant amount of our developable land is located,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developable land is concentrated entirely in California and Arizona.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our developable land is located in California and Arizona, and our business is especially sensitive to the economic conditions within California. Any adverse change in the economic climate of California, Arizona, or our regions of those states, and any adverse change in the political or regulatory climate of California or Arizona, or the counties where our land is located in such states, could adversely affect our real estate development activities. Ultimately, our ability to sell or lease lots may decline as a result of weak economic conditions or restrictive regulations.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real estate industry weakens or instability of the mortgage industry and commercial real estate financing exists, it could have an adverse effect on our real estate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residential housing projects are currently in various stages of planning and entitlement, and therefore they have not been impacted by the downturn in the housing market or the mortgage lending crisis. Recent trends in the housing market have been improving; however, 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third party advisors to assist us in carrying out our real estate development projects and are subject to risks associated with such arrangements.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third party contractor and consultant arrangements to assist us in operating our real estate development segment. These contractual arrangements may not be as effective in providing direct control over this business segment. For example, our third-party advisors could fail to take actions required for our real estate development businesses despite its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complete land development projects within forecasted time and budget expectations, if at all, our financial results may be negatively affected.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delays or cost overruns that may increase project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zoning, occupancy and other required governmental permits and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 costs incurred for projects that are not pursued to completion;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Earthquakes, hurricanes, floods, fires or other natural disasters that could adversely affect a project;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Defects in design or construction that may result in additional costs to remedy or require all or a portion of a property to be closed during the period required to rectify the situation;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governmental assessments such as park fees or affordable housing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restrictions on the nature and size of a project or timing of completion;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lack of adequate building/construction capacity for large development 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development project is not completed on time or within budget, our financial results may be negatively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required land use entitlements at reasonable costs, or at all, our operating results would be adversely affected.</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performance of our real estate development segment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experience a reduction in revenues or reduced cash flows if we are unable to obtain reasonably priced financing to support our real estate development projects and land development activities.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encounter risks associated with the real estate joint venture we entered into on November 10, 2015 with the Lewis Group of Companies including: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joint venture may not perform financially or operationally as expected;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land values, project costs, sales absorption or other assumptions included in the development plans may cause the joint venture’s operating results to be less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joint venture may not be able to obtain project loans on acceptable terms;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joint venture partners may not be able to provide capital to the joint venture in the event external financing or project cash flows are not sufficient to finance the joint venture’s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joint venture partners may not manage the project properly; 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disagreements could occur between the joint venture partners that could affect the operating results of the joint venture or could result in a sale of a partner’s interest or the joint venture at undesirable values.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other risks that could impact our ability to develop our 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also encounter other difficulties in developing our land,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risks, such as geological and soil problems, earthquakes, fire, heavy rains and flooding and heavy winds;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trades people;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reliance on local contractors, who may be inadequately capitalized;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materials;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cost of certain materials.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common stock could be volatile.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investors’ and analysts’ perception of the business risks and conditions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meet the earnings estimates and other performance expectations of financial analysts or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commentary or downgrades of our stock by equity research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stock prices of our peer companies or in stock markets in general;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or political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Concentrated ownership of our common stock creates a risk of sudden change in our share price.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October 31, 2017, directors and members of our executive management team beneficially owned or controlled approximately 4.6%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contain provisions that may delay, defer or prevent a change of control.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the change in control would be beneficial to stockholders. These provisions include the following: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with each class serving a staggered three-year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removal of directors by stockholders by a supermajority of two-thirds of the outstanding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of the board of directors to authorize the issuance of preferred stock in series without stockholder approval;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prohibitions on our stockholders that prevent them from acting by written consent and limitations on calling special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publicly traded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Company with publicly traded securities, we have incurred, and will continue to incur, significant legal, accounting and other expenses not historically incurred.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52"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own our corporate headquarters in Santa Paula, California. We own approximately 8,700 acres of farm land in California, with approximately 4,100 acres located in Ventura County, approximately 3,900 acres located in Tulare County in the San Joaquin Valley and approximately 700 acres in San Luis Obispo County. Additionally, we own approximately 1,300 acres located in Yuma, Arizona and 200 acres in La Serena, Chile. We lease approximately 30 acres of land located in Ventura County, approximately 80 acres in Tulare County and approximately 600 acres in San Bernardino County. We also have an interest in a partnership that owns approximately 200 acres of land in Ventura County. The land used for agricultural plantings consists of approximately 4,800 acres of lemons, approximately 900 acres of avocados, approximately 1,500 acres of oranges and approximately 1,000 acres of specialty citrus and other crops. Our agribusiness land holdings are summarized below as of October 31, 2017 (in thousands, except per acre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Book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ind w:left="1560"/>
              <w:spacing w:after="0"/>
              <w:rPr>
                <w:sz w:val="20"/>
                <w:szCs w:val="20"/>
                <w:color w:val="auto"/>
              </w:rPr>
            </w:pPr>
            <w:r>
              <w:rPr>
                <w:rFonts w:ascii="Arial" w:cs="Arial" w:eastAsia="Arial" w:hAnsi="Arial"/>
                <w:sz w:val="18"/>
                <w:szCs w:val="18"/>
                <w:b w:val="1"/>
                <w:bCs w:val="1"/>
                <w:color w:val="auto"/>
              </w:rPr>
              <w:t>Ranch Name</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Acres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Book Value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Acquisition Date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per Acre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Limoneira/Olivelands Ranch</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1907, 1913, 1920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La Campana Ranch</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1964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Orchard Farm Ranch</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Teague McKevett Ranch</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8,253</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1994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Rancho La Cuesta Ranch</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Porterville Ranch</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6,427</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1997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Ducor Ranch</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6,064</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Jencks Ranch</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Windfall Farms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Stage Coach Ranch</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Martinez Ranch</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Associated Citrus Packers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15,035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Lemons 400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Sheldon Ranches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14,110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Fruticola Pan de Azucar</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agribusiness land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4,685</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various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book value of our agribusiness land holdings of $88.8 million differs from the land balance of $78.9 million included in property plant and equipment in the notes to the consolidated financial statements in Item 8 of this Form 10-K. The table above presents our current land holdings in agribusiness operations and, therefore, excludes leased farm land, rental and real estate development land and includes the Teague McKevett Ranch, which is classified as real estate development in the consolidated financial statements because of its planned development as East Areas I and II.</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our packing facilities located in Santa Paula, California and Yuma, Arizona, where we process and pack our lemons as well as lemons for other growers. We commissioned a new $29.0 million lemon packing facility in the second quarter of 2016 to increase capacity and efficiency of our lemon packing operations. In 2008, we entered into an operating lease agreement and completed the installation of a 5.5 acre, one-megawatt ground-based photovoltaic solar generator, which provides the majority of the power to operate our packing facility. In 2009, we completed the installation of a one-megawatt solar array (which we also lease through an operating lease agreement), which provides us with a majority of the electricity required to operate four deep water well pumps at one of our ranches in the San Joaquin Valley.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own approximately 245 residential units in Ventura and Tulare Counties that we lease as part of our rental operations segment to our employees, former employees and outside tenants and we own several commercial office buildings and properties that are leased to various tenants. We have built 65 out of a total approved 71 additional residential rental units in Ventura County, California which we began renting in May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real estate development property in the California counties of Santa Barbara and Ventura. These properties are in various stages of development for up to approximately 1,700 residential units and approximately 811,000 square feet of commercial space.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Water and Mineral Rights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segments of our business and currently do not anticipate that the California drought will have a material impact on our operating results. Water for our farming operations located in Ventura County, California is sourced from the existing water resources associated with our land, which includes approximately 8,600 acre feet of adjudicated water rights in the Santa Paula Basin (aquifer) and the un-adjudicated Fillmore Basin. We use a combination of ground water provided by wells which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which derive water from the Paso Robles Basin. Our Associated farming operations in Yuma, Arizona source water from the Colorado River through the YMIDD, where we have access to approximately 11,700 acre feet of Class 3 Colorado River water rights. In February 2017, we acquired water rights with our purchase of 90% of PDA.</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to extract groundwater from the Santa Paula Basin are governed by the Santa Paula Basin Judgment (the “Judgment”). The Judgment was entered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Membership in the Association is governed by the Association's Bylaws.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Judgment adjudicated and allocated water rights in the Santa Paula Basin among the Association's members and the City of Ventura. The water rights are established and governed by a seven-year moving average (i.e., production can rise or fall in any particular year so long as the seven-year average is not exceeded). Under California law, the water rights are considered "property." A perpetual right to water, evidenced by the Judgment, can be exchanged for interests in real property under IRS Code Section 1031 and if condemned by a public agency, just compensation must be paid to the rightful owner. Our rights under the Judgment are perpetual and considered very firm and reliable which reflects favorably upon their fair market value.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ease of administration, the Association is appointed by the Judgment as the trustee of its members’ water rights and is responsible for coordinating and promoting the interests of its members. The Judgment includes provisions for staged reductions in production rights should shortage conditions develop. It also allows the adjudicated water rights to be leased or sold among the parties. The Judgment established a Technical Advisory Committee composed of the United Water Conservation District, the City of Ventura and the Association to assist the Superior Court of the State of California, Ventura County (the “Court”), with the technical aspects of Santa Paula Basin management. Finally, the Judgment reserves continuing jurisdiction to the Court to hear motions for enforcement or modification of the Judgment as necessary.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California water resources include approximately 17,000 acre feet of water affiliated with our owned properties, of which approximately 8,600 acre feet are adjudicated. In connection with our September 6, 2013 acquisition of Associated and its property ownership in Yuma, Arizona and its related membership in the YMIDD, we have been allocated approximately 11,000 acre feet of water sourced from the Colorado River. In December 2013, and revised in December 2014 and 2015, Associated entered into an agreement with the YMIDD to participate in a Pilot Fallowing Program in which Associated has agreed to forego its water allocation for approximately 300 acres of land in exchange for $750 per acre through December 31, 2016. Additionally, we own shares in five not-for-profit mutual benefit water companies. Our investments in these water companies provide us with the right to receive a proportionate share of water from each of the water companies.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own oil, gas and mineral rights related to our Ventura County, California properties and in fiscal year 2013 we signed a five-year lease with Vintage Petroleum, LLC (“Vintage”) to allow seismic testing on approximately 1,500 acres. In August 2015, Vintage released its interest in a portion of the lease, reducing its leased acreage to approximately 30 acres. We will receive a 20% royalty if any oil and gas is extracted.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4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high and low per share price quotations of our common stock for the two most recently completed fiscal years as reported on NASDAQ.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 Ended October 31, 2017</w:t>
            </w:r>
          </w:p>
        </w:tc>
        <w:tc>
          <w:tcPr>
            <w:tcW w:w="2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23.97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July 31, 2017</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 Ended April 30, 2017</w:t>
            </w:r>
          </w:p>
        </w:tc>
        <w:tc>
          <w:tcPr>
            <w:tcW w:w="2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20.99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Ended January 31, 2017</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October 31, 2016</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 Ended July 31, 2016</w:t>
            </w:r>
          </w:p>
        </w:tc>
        <w:tc>
          <w:tcPr>
            <w:tcW w:w="2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April 30, 2016</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First Quarter Ended January 31, 2016</w:t>
            </w:r>
          </w:p>
        </w:tc>
        <w:tc>
          <w:tcPr>
            <w:tcW w:w="2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17.57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2017, there were approximately 241 registered holders of our common stock. The number of registered holders includes banks and brokers who act as nominees, each of whom may represent more than one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dividends per common share declared and paid in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Dividend</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5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Fourth Quarter Ended October 31, 2017</w:t>
            </w:r>
          </w:p>
        </w:tc>
        <w:tc>
          <w:tcPr>
            <w:tcW w:w="5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0.055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July 31, 2017</w:t>
            </w:r>
          </w:p>
        </w:tc>
        <w:tc>
          <w:tcPr>
            <w:tcW w:w="5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Second Quarter Ended April 30, 2017</w:t>
            </w:r>
          </w:p>
        </w:tc>
        <w:tc>
          <w:tcPr>
            <w:tcW w:w="5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0.055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Ended January 31, 2017</w:t>
            </w:r>
          </w:p>
        </w:tc>
        <w:tc>
          <w:tcPr>
            <w:tcW w:w="5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0.055</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October 31, 2016</w:t>
            </w:r>
          </w:p>
        </w:tc>
        <w:tc>
          <w:tcPr>
            <w:tcW w:w="5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Third Quarter Ended July 31, 2016</w:t>
            </w:r>
          </w:p>
        </w:tc>
        <w:tc>
          <w:tcPr>
            <w:tcW w:w="5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0.050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April 30, 2016</w:t>
            </w:r>
          </w:p>
        </w:tc>
        <w:tc>
          <w:tcPr>
            <w:tcW w:w="5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First Quarter Ended January 31, 2016</w:t>
            </w:r>
          </w:p>
        </w:tc>
        <w:tc>
          <w:tcPr>
            <w:tcW w:w="5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0.050</w:t>
            </w:r>
          </w:p>
        </w:tc>
      </w:tr>
      <w:tr>
        <w:trPr>
          <w:trHeight w:val="634"/>
        </w:trPr>
        <w:tc>
          <w:tcPr>
            <w:tcW w:w="42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jc w:val="right"/>
              <w:ind w:right="3930"/>
              <w:spacing w:after="0"/>
              <w:rPr>
                <w:sz w:val="20"/>
                <w:szCs w:val="20"/>
                <w:color w:val="auto"/>
              </w:rPr>
            </w:pPr>
            <w:r>
              <w:rPr>
                <w:rFonts w:ascii="Arial" w:cs="Arial" w:eastAsia="Arial" w:hAnsi="Arial"/>
                <w:sz w:val="18"/>
                <w:szCs w:val="18"/>
                <w:b w:val="1"/>
                <w:bCs w:val="1"/>
                <w:color w:val="auto"/>
              </w:rPr>
              <w:t>29</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In December 2017, we increased our quarterly dividend to $0.0625 per common share and we expect to continue to pay quarterly dividends at a similar rate to the extent permitted by the financial results of our business and other factors beyond management’s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 (as defined in Part III of this Annual Report).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154940</wp:posOffset>
            </wp:positionV>
            <wp:extent cx="4776470" cy="4107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76470"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selected financial data are derived from our audited consolidated financial statements. The information set forth below should be read in conjunction with "Management's Discussion and Analysis of Financial Condition and Results of Operations,” the financial statements and related notes to the consolidated financial statements included elsewhere in this Annual Report (in thousands, except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rPr>
              <w:t>Years Ended October 31,</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111,789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103,462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11,863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9,188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4,583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9,893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Limoneira Company</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Basic and diluted net income per common share</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0.46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339,031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305,448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269,370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246,683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Current and long-term debt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105,113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90,672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89,668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68,150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fiscal year 2017, we completed the acquisition of 90% of the outstanding stock of PDA, a privately-owned Chilean corporation, for $5.7 million in cash. PDA also had approximately $1.7 million in long term debt on the acquisition date, which we assumed in the acquisition. We capitalized approximately $7.9 million of costs related to our East Areas I &amp; II real estate development projects, $5.2 million of costs related to orchard development and $1.9 million of costs related to vineyard development. Additionally, we contributed $7.5 million to the joint venture for our East Area I real estate development project.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year 2016, we capitalized approximately $3.7 million of costs for the expansion of our lemon packing facility, which became operational in March 2016. We purchased the Sheldon Ranch for approximately $15.1 million and capitalized approximately $6.9 million of costs related to our East Areas I &amp; II real estate development projects. Additionally, we capitalized approximately $5.5 million of costs related to orchard development and $1.0 million of costs related to vineyard development.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year 2015, we capitalized approximately $15.6 million of costs for the expansion of our lemon packing facility and capitalized approximately $8.0 million of costs related to our East Areas I &amp; II and Windfall Farms real estate development projects. We capitalized approximately $2.7 million of costs in fiscal year 2015 for our agriculture workforce housing project, which was substantially completed in May 2015. Additionally, in February 2015, we purchased $1.2 million of existing lemon trees and irrigation systems on 200 acres of land we lease from Cadiz.</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further described in notes to the consolidated financial statements, during March and April 2014, pursuant to a Series B-2 Stock Purchase Agreement dated March 21, 2014, we issued an aggregate of 9,300 shares of Series B-2, 4% voting preferred stock with a par value of $100 per share (“Series B-2 Preferred Stock”) to WPI-ACP Holdings, LLC (“WPI”), which is affiliated with Water Asset Management, LLC (“WAM”) for total proceeds of $9.3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6, 2013, we completed the acquisition of all of the outstanding stock of Associated, a privately-owned Arizona corporation, for $18.6 million. The purchase price consisted of the issuance of 705,000 unregistered shares of our Company’s common stock with an aggregate value of $16.0 million based on our Company’s stock price on the acquisition date, $1.0 million in cash and the repayment of $1.6 million in Associated’s long-term debt. The acquisition was structured as a tax-free reorganization under Section 368 of the Internal Revenue Code.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11, 2013, we completed the acquisition of Lemons 400 for $8.8 million in cash. This property, located in the town of Porterville in Tulare County, California, consists of approximately 400 acres of productive lemon orchards and 360 acres primarily leased for cattle grazing. The acquisition also included water assets and agricultural equipment and supplies.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we completed the sale of 2,070,000 shares of common stock, at a price of $18.50 per share, to institutional and other investors in a registered offering under our shelf registration statement. The offering represented 16% of our outstanding common stock on an after-issued basis. Upon completion of the offering and issuance of common stock, we had 13,307,085 shares of common stock outstanding. The gross proceeds of the offering totaled $38.3 million and after an underwriting discount of $2.1 million and other offering expenses of $0.3 million, the net proceeds were $35.9 million. During February 2013, we used the net offering proceeds to repay long-term debt.</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Certain reclassifications have been made to the Selected Financial Data above to conform to the October 31, 2017 presentation. We reclassified debt issuance costs of $204,000 and $142,000 as of October 31, 2014 and 2013, respectively, from other assets to long-term debt. We reclassified net current deferred income tax assets of $508,000 as of October 31, 2013 from prepaid expenses and other current assets to deferred income taxes.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11,200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one of California’s oldest citrus growers. According to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and La Serena, Chile, which collectively consist of approximately 4,800 acres of lemons, 900 acres of avocados, 1,500 acres of oranges and 1,000 acres of specialty citrus and other crops. We also operate our own packinghouses in Santa Paula, California and Yuma, Arizona, where we process and pack lemons that we grow, as well as lemons grown by others. We have a 47% interest in Rosales, a citrus packing, marketing and sales business and a 90% interest in PDA, a lemon and orange orchard, both located near La Serena, Chile.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We use ground water provided by wells for our PDA farming operations in Chile.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active real estate development projects in California. These projects include multi-family housing and single-family homes comprised of approximately 245 completed units and another approximately 1,700 units in various stages of development.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three business divisions: agribusiness, rental operations and real estate development. Our agribusiness division is comprised of four reportable segments, fresh lemons, lemon packing, avocados and other agribusiness, and currently generates the majority of our revenue from its farming, harvesting and lemon packing and sales operations; our rental operations division generates revenue from our housing, organic recycling and commercial and leased land operations; and our real estate development division primarily generates revenues from the sale of real estate development projects. From a general view, we see our Company as a land and farming company that generates annual cash flows to support its progress into diversified real estate development activities. As real estate developments are monetized, our agriculture business will then be able to expand more rapidly into new regions and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 Refer to Part I, Item 1 “Fiscal Year 2017 Highlights and Recent Developments”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80" w:type="dxa"/>
            <w:vAlign w:val="bottom"/>
            <w:gridSpan w:val="6"/>
          </w:tcPr>
          <w:p>
            <w:pPr>
              <w:spacing w:after="0"/>
              <w:rPr>
                <w:sz w:val="20"/>
                <w:szCs w:val="20"/>
                <w:color w:val="auto"/>
              </w:rPr>
            </w:pPr>
            <w:r>
              <w:rPr>
                <w:rFonts w:ascii="Arial" w:cs="Arial" w:eastAsia="Arial" w:hAnsi="Arial"/>
                <w:sz w:val="18"/>
                <w:szCs w:val="18"/>
                <w:color w:val="auto"/>
              </w:rPr>
              <w:t>The following table shows the results of operations for ($ in thousands):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5"/>
              </w:rPr>
              <w:t>Years Ended October 31,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Agribusiness</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115,869</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96%</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106,130</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95,124</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Real estate development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121,309</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111,789</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Agribusiness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91,162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83,604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77,186</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3,932</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3,617</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3,440</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development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Impairment of real estate development assets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13,947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13,319</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109,446</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102,601</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95,728</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Agribusiness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24,707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22,526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17,938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1,508</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1,986</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Real estate development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(2,005)</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(1,247)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(13,947)</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(13,319)</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(13,772)</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income</w:t>
            </w:r>
          </w:p>
        </w:tc>
        <w:tc>
          <w:tcPr>
            <w:tcW w:w="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(1,778)</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(1,409)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investments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Gain on sale of stock in Calavo Growers, Inc.</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3,419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5,033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conservation easement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Gain on sale of Wilson Ranch</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other (expense) income</w:t>
            </w:r>
          </w:p>
        </w:tc>
        <w:tc>
          <w:tcPr>
            <w:tcW w:w="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10,626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13,325</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11,056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provision</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(4,077)</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(5,267)</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(3,974)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Limoneira Company</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33</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income which management considers to be the most directly comparable financial measure calculated and presented in accordance with GAAP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Years Ended October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Limoneira Company</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6,467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5,339</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18,917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Impairment of real estate development assets</w:t>
            </w:r>
          </w:p>
        </w:tc>
        <w:tc>
          <w:tcPr>
            <w:tcW w:w="9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fiscal year 2017 was $121.3 million compared to $111.8 million for fiscal year 2016. The 9% increase of $9.5 million was primarily the result of increased agribusiness revenues, as detailed below ($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11"/>
          </w:tcPr>
          <w:p>
            <w:pPr>
              <w:ind w:left="820"/>
              <w:spacing w:after="0"/>
              <w:rPr>
                <w:sz w:val="20"/>
                <w:szCs w:val="20"/>
                <w:color w:val="auto"/>
              </w:rPr>
            </w:pPr>
            <w:r>
              <w:rPr>
                <w:rFonts w:ascii="Arial" w:cs="Arial" w:eastAsia="Arial" w:hAnsi="Arial"/>
                <w:sz w:val="18"/>
                <w:szCs w:val="18"/>
                <w:b w:val="1"/>
                <w:bCs w:val="1"/>
                <w:color w:val="auto"/>
                <w:w w:val="91"/>
              </w:rPr>
              <w:t>Agribusiness Revenues for the Years Ended October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Lemons</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94,199</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85,267</w:t>
            </w:r>
          </w:p>
        </w:tc>
        <w:tc>
          <w:tcPr>
            <w:tcW w:w="6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Avocados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10,767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(1,245)</w:t>
            </w:r>
          </w:p>
        </w:tc>
        <w:tc>
          <w:tcPr>
            <w:tcW w:w="440" w:type="dxa"/>
            <w:vAlign w:val="bottom"/>
          </w:tcPr>
          <w:p>
            <w:pPr>
              <w:spacing w:after="0"/>
              <w:rPr>
                <w:sz w:val="18"/>
                <w:szCs w:val="18"/>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Navel and Valencia oranges</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18"/>
                <w:szCs w:val="18"/>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Specialty citrus and other crops</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5,049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1,096</w:t>
            </w:r>
          </w:p>
        </w:tc>
        <w:tc>
          <w:tcPr>
            <w:tcW w:w="440" w:type="dxa"/>
            <w:vAlign w:val="bottom"/>
          </w:tcPr>
          <w:p>
            <w:pPr>
              <w:spacing w:after="0"/>
              <w:rPr>
                <w:sz w:val="19"/>
                <w:szCs w:val="19"/>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19"/>
                <w:szCs w:val="19"/>
                <w:color w:val="auto"/>
              </w:rPr>
            </w:pP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Agribusiness revenues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92"/>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7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Lemons: The increase in fiscal year 2017 was primarily the result of increased volume of fresh lemons sold partially offset by lower prices. During fiscal years 2017 and 2016, fresh lemon sales were $76.5 million and $71.7 million, respectively, on 3.2 million and 2.9 million cartons of fresh lemons sold at average per carton prices of $23.91 and $24.72, respectively. The lower average per carton price in fiscal year 2017 compared to fiscal year 2016 was primarily due to less favorable overall market conditions. Lemon revenues in fiscal year 2017 include $8.8 million shipping and handling, $5.4 million lemon by-products and $3.5 million other lemon sales. Other lemon sales in fiscal year 2017 include $0.8 million of lemon sales in Chile by PDA and $0.3 million of commissions earned on 0.3 million cartons of brokered fruit sales. Lemon revenues in fiscal year 2016 include $4.8 million shipping and handling, $5.0 million lemon by-products and $3.8 million other lemon sales. Other lemon sales in fiscal year 2016 include $0.3 million of commissions earned on 0.2 million cartons of brokered fruit sales.</w:t>
      </w:r>
    </w:p>
    <w:p>
      <w:pPr>
        <w:spacing w:after="0" w:line="178"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Avocados: The decrease in fiscal year 2017 was primarily due to decreased volume partially offset by higher prices. The California avocado crop typically experiences alternating years of high and low production due to plant physiology. During fiscal years 2017 and 2016, 6.3 million and 11.4 million pounds of avocados were sold at average per pound prices of $1.51 and $0.95, respectively. Higher prices in fiscal year 2017 were primarily due to decreased supply in the marketplace.</w:t>
      </w:r>
    </w:p>
    <w:p>
      <w:pPr>
        <w:spacing w:after="0" w:line="186"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Navel and Valencia oranges: The increase in fiscal year 2017 was primarily due to higher prices for oranges sold partially offset by lower volume. During fiscal years 2017 and 2016, orange sales were $7.1 million and $6.1 million, respectively, on 893,000 and 1,049,000 40-pound carton equivalents of oranges sold at average per carton prices of $7.95 and $5.86, respectively. Orange revenues in fiscal year 2017 include $0.3 million of orange sales in Chile by PDA.</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Specialty citrus and other crops: The increase in fiscal year 2017 was primarily due to higher volume of wine grapes sold compared to fiscal year 2016. In fiscal year 2017, we sold approximately 800 tons of wine grapes for $1.2 million compared to approximately 200 tons of wine grapes for $0.3 million in fiscal year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Rental operations revenue was $5.4 million in fiscal year 2017 compared to $5.6 million in fiscal year 2016. The decrease in fiscal year 2017 was primarily due to decreased revenues from land leased to third-party agricultural tenants.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development revenue was zero in fiscal year 2017 compared to $0.1 million in fiscal year 2016. Fiscal year 2016 revenue was comprised primarily of incidental alfalfa sales at our Windfall Farms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costs and expenses for fiscal year 2017 were $109.4 million compared to $102.6 million for fiscal year 2016. This 7% increase of $6.8 million was primarily attributable to increases in our agribusiness costs. Costs associated with our agribusiness division include packing costs, harvest costs, growing costs, costs related to the lemons we procure from third-party growers and depreciation expense. These costs are discussed further below ($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720" w:type="dxa"/>
            <w:vAlign w:val="bottom"/>
            <w:gridSpan w:val="14"/>
          </w:tcPr>
          <w:p>
            <w:pPr>
              <w:ind w:left="780"/>
              <w:spacing w:after="0"/>
              <w:rPr>
                <w:sz w:val="20"/>
                <w:szCs w:val="20"/>
                <w:color w:val="auto"/>
              </w:rPr>
            </w:pPr>
            <w:r>
              <w:rPr>
                <w:rFonts w:ascii="Arial" w:cs="Arial" w:eastAsia="Arial" w:hAnsi="Arial"/>
                <w:sz w:val="18"/>
                <w:szCs w:val="18"/>
                <w:b w:val="1"/>
                <w:bCs w:val="1"/>
                <w:color w:val="auto"/>
              </w:rPr>
              <w:t>Agribusiness Costs and Expenses for the Years Ended October 31,</w:t>
            </w:r>
          </w:p>
        </w:tc>
      </w:tr>
      <w:tr>
        <w:trPr>
          <w:trHeight w:val="223"/>
        </w:trPr>
        <w:tc>
          <w:tcPr>
            <w:tcW w:w="3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Packing costs</w:t>
            </w:r>
          </w:p>
        </w:tc>
        <w:tc>
          <w:tcPr>
            <w:tcW w:w="21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23,778</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21,939</w:t>
            </w:r>
          </w:p>
        </w:tc>
        <w:tc>
          <w:tcPr>
            <w:tcW w:w="7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1,839</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Harvest costs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13,717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13,263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40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Growing costs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21,345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Third-party grower costs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26,833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25,307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1,526</w:t>
            </w:r>
          </w:p>
        </w:tc>
        <w:tc>
          <w:tcPr>
            <w:tcW w:w="40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4"/>
              </w:rPr>
              <w:t>27%</w:t>
            </w:r>
          </w:p>
        </w:tc>
        <w:tc>
          <w:tcPr>
            <w:tcW w:w="100" w:type="dxa"/>
            <w:vAlign w:val="bottom"/>
            <w:shd w:val="clear" w:color="auto" w:fill="CCEEFF"/>
          </w:tcPr>
          <w:p>
            <w:pPr>
              <w:spacing w:after="0"/>
              <w:rPr>
                <w:sz w:val="19"/>
                <w:szCs w:val="19"/>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Agribusiness costs and expenses</w:t>
            </w:r>
          </w:p>
        </w:tc>
        <w:tc>
          <w:tcPr>
            <w:tcW w:w="1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91,162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7,558</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9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Packing costs: Packing costs consist of the costs to pack lemons for sale such as labor and benefits, cardboard cartons, fruit treatments, packing and shipping supplies and facility operating costs. Lemon packing costs were $21.6 million and $21.9 million in fiscal years 2017 and 2016, respectively. The decrease in fiscal year 2017 was primarily attributable to lower average per carton costs partially offset by higher volume of fresh lemons packed and sold compared to fiscal year 2016. In fiscal year 2017, we packed and sold 3.2 million cartons of lemons at average per carton costs of $6.75 compared to 2.9 million cartons of lemons sold at average per carton costs of $7.55 in fiscal year 2016. Lemon packing efficiency has improved primarily as a result of our new facility that became operational in March 2016. Additionally, packing costs include $1.3 million of shipping costs in fiscal year 2017 compared to $1.0 million in fiscal year 2016. Further, in fiscal year 2017 we incurred $2.2 million of packing service charges from an independent packinghouse to have a portion of our oranges and specialty citrus packed in Limoneira branded cartons.</w:t>
      </w:r>
    </w:p>
    <w:p>
      <w:pPr>
        <w:spacing w:after="0" w:line="16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Harvest costs: The increase in fiscal year 2017 was primarily attributable to higher lemon and wine grape harvest volumes partially offset by lower avocado harvest volume compared to fiscal year 2016.</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fiscal year 2017 is primarily due to the acquisition of PDA in February 2017 and a full year of wine grape production compared to fiscal year 2016.</w:t>
      </w:r>
    </w:p>
    <w:p>
      <w:pPr>
        <w:spacing w:after="0" w:line="181"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Third-party grower costs: We sell lemons that we grow and lemons that we procure from other growers. The cost of procuring lemons from other growers is referred to as third-party grower costs. The increase is primarily due to higher volume of third-party grower lemons sold, partially offset by lower prices. Of the 3.2 million and 2.9 million cartons sold during fiscal years 2017 and 2016, respectively, 1.4 million (44%) and 1.2 million (42%) were procured from third-party growers at average per carton prices of $19.02 and $20.59, respectively. Additionally, in fiscal year 2017 we incurred $0.2 million of costs for purchased, packed fruit for resale compared to $0.6 million in fiscal year 2016.</w:t>
      </w:r>
    </w:p>
    <w:p>
      <w:pPr>
        <w:spacing w:after="0" w:line="17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expense in fiscal year 2017 was $1.2 million higher than fiscal year 2016 primarily due to the acquisition of PDA in February 2017 and an increase in assets placed into service.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Real estate development expenses for fiscal year 2017 were $0.4 million compared to $2.1 million in fiscal year 2016. Real estate development costs and expenses in fiscal year 2017 include $0.1 million impairment on our Pacific Crest real estate development project. Real estate development costs and expenses in fiscal year 2016 include $1.2 million of transaction costs paid upon entering into a joint venture with Lewis for the residential development of our East Area I real estate development project.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fiscal year 2017 were $13.9 million compared to $13.3 million for fiscal year 2016. This 5% increase of $0.6 million was primarily attributable to the following: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$0.3 million increase in lemon selling expenses primarily due to an increase in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$0.3 million net increase in salaries and benefits primarily due to compensation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$0.2 million increase in legal and consulting expenses associated with our acquisition of PDA in February 2017;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$0.1 million decrease in incentive compensation primarily due to lower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(expense) income, for fiscal year 2017 was $1.2 million of expense compared to $4.1 million of income for fiscal year 2016. The $5.4 million decrease in income is primarily the result of:</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$0.4 million increase in net interest expense;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$0.6 million decrease in equity in earnings of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$3.4 million gain on the sales of stock in Calavo in fiscal year 2016;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 million sale of a conservation easement in fiscal year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provision of $4.1 million for fiscal year 2017 on pre-tax income of $10.6 million compared to an income tax provision of $5.3 million for fiscal year 2016 on pre-tax income of $13.3 million. Our effective tax rate is 38.4% for fiscal year 2017 compared to an effective rate of 39.5% for fiscal year 2016. The decrease in our effective tax rate in fiscal year 2017 is primarily attributable to increased Domestic Production Activities Deduction resulting from higher qualified production activities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of the net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Compared to Fiscal Year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fiscal year 2016 was $111.8 million compared to $100.3 million for fiscal year 2015. The 11% increase of $11.5 million was primarily the result of increased agribusiness revenues, as detailed below ($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11"/>
          </w:tcPr>
          <w:p>
            <w:pPr>
              <w:ind w:left="820"/>
              <w:spacing w:after="0"/>
              <w:rPr>
                <w:sz w:val="20"/>
                <w:szCs w:val="20"/>
                <w:color w:val="auto"/>
              </w:rPr>
            </w:pPr>
            <w:r>
              <w:rPr>
                <w:rFonts w:ascii="Arial" w:cs="Arial" w:eastAsia="Arial" w:hAnsi="Arial"/>
                <w:sz w:val="18"/>
                <w:szCs w:val="18"/>
                <w:b w:val="1"/>
                <w:bCs w:val="1"/>
                <w:color w:val="auto"/>
                <w:w w:val="91"/>
              </w:rPr>
              <w:t>Agribusiness Revenues for the Years Ended October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Lemons</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85,267</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78,978</w:t>
            </w:r>
          </w:p>
        </w:tc>
        <w:tc>
          <w:tcPr>
            <w:tcW w:w="6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Avocados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10,767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3,635</w:t>
            </w:r>
          </w:p>
        </w:tc>
        <w:tc>
          <w:tcPr>
            <w:tcW w:w="46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4"/>
              </w:rPr>
              <w:t>51%</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Navel and Valencia oranges</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18"/>
                <w:szCs w:val="18"/>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Specialty citrus and other crops</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460" w:type="dxa"/>
            <w:vAlign w:val="bottom"/>
          </w:tcPr>
          <w:p>
            <w:pPr>
              <w:spacing w:after="0"/>
              <w:rPr>
                <w:sz w:val="19"/>
                <w:szCs w:val="19"/>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4"/>
              </w:rPr>
              <w:t>17%</w:t>
            </w:r>
          </w:p>
        </w:tc>
        <w:tc>
          <w:tcPr>
            <w:tcW w:w="100" w:type="dxa"/>
            <w:vAlign w:val="bottom"/>
          </w:tcPr>
          <w:p>
            <w:pPr>
              <w:spacing w:after="0"/>
              <w:rPr>
                <w:sz w:val="19"/>
                <w:szCs w:val="19"/>
                <w:color w:val="auto"/>
              </w:rPr>
            </w:pP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Agribusiness revenues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94"/>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71"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Lemons: The increase in fiscal year 2016 was primarily the result of increased volume of fresh lemons sold and increased lemon by-product and other lemon sales partially offset by lower prices. During fiscal years 2016 and 2015, fresh lemon sales were $71.7 million and $67.0 million, respectively, on 2.9 million and 2.7 million cartons of fresh lemons sold at average per carton prices of $24.72 and $24.81, respectively. The lower average per carton price in fiscal year 2016 compared to fiscal year 2015 was primarily due to less favorable overall market conditions. Lemon revenues in fiscal year 2016 include $4.8 million shipping and handling, $5.0 million lemon by-products and $3.8 million other lemon sales. Other lemon sales in fiscal year 2016 include $0.3 million of commissions earned on 0.2 million cartons of brokered fruit sales. Lemon revenues in fiscal year 2015 include $4.2 million shipping and handling, $4.2 million lemon by-products and $3.6 million other lemon sales. Other lemon sales in fiscal year 2015 include $0.1 million of commissions earned on 0.2 million cartons of brokered fruit sales.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765" w:gutter="0" w:footer="0" w:header="0"/>
        </w:sectPr>
      </w:pPr>
    </w:p>
    <w:bookmarkStart w:id="37" w:name="page38"/>
    <w:bookmarkEnd w:id="37"/>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Avocados: The increase in fiscal year 2016 was primarily due to increased production partially offset by lower prices. The California avocado crop typically experiences alternating years of high and low production due to plant physiology. During fiscal years 2016 and 2015, 11.4 million and 7.0 million pounds of avocados were sold at average per pound prices of $0.95 and $1.02, respectively. Lower prices in fiscal year 2016 were primarily due to increased supply in the marketplace.</w:t>
      </w:r>
    </w:p>
    <w:p>
      <w:pPr>
        <w:spacing w:after="0" w:line="186" w:lineRule="exact"/>
        <w:rPr>
          <w:rFonts w:ascii="Arial" w:cs="Arial" w:eastAsia="Arial" w:hAnsi="Arial"/>
          <w:sz w:val="18"/>
          <w:szCs w:val="18"/>
          <w:color w:val="auto"/>
        </w:rPr>
      </w:pPr>
    </w:p>
    <w:p>
      <w:pPr>
        <w:jc w:val="both"/>
        <w:ind w:left="680" w:hanging="321"/>
        <w:spacing w:after="0" w:line="264" w:lineRule="auto"/>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Navel and Valencia oranges: The increase in fiscal year 2016 was primarily due to higher volume of oranges sold partially offset by lower prices. During fiscal years 2016 and 2015, orange sales were $6.1 million and $5.6 million, respectively, on 1,049,000 and 744,000 40-pound carton equivalents of oranges sold at average per carton prices of $5.86 and $7.56, respectively.</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Specialty citrus and other crops: The increase in fiscal year 2016 was primarily due to higher volume of specialty citrus sold partially offset by lower prices. In fiscal years 2016 and 2015, we sold 349,000 and 253,000 40-pound carton equivalents of specialty citrus at average per carton prices of $8.33 and $10.79, respectively. Additionally, we sold approximately 200 tons of wine grapes for $0.3 million in fiscal year 2016 compared to zero in fiscal year 2015.</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Rental operations revenue was $5.6 million in fiscal year 2016 compared to $5.1 million in fiscal year 2015. The increase in fiscal year 2016 was primarily due to a full year of rental revenue from 65 newly completed agricultural workforce housing units that we began renting in May 2015.</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Real estate development revenue was $0.1 million in fiscal years 2016 and 2015, comprised primarily of incidental alfalfa sales at our Windfall Farms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costs and expenses for fiscal year 2016 were $102.6 million compared to $95.7 million for fiscal year 2015. This 7% increase of $6.9 million was primarily attributable to increases in our agribusiness costs. Costs associated with our agribusiness division include packing costs, harvest costs, growing costs, costs related to the lemons we procure from third-party growers and depreciation expense. These costs are discussed further below ($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720" w:type="dxa"/>
            <w:vAlign w:val="bottom"/>
            <w:gridSpan w:val="14"/>
          </w:tcPr>
          <w:p>
            <w:pPr>
              <w:ind w:left="780"/>
              <w:spacing w:after="0"/>
              <w:rPr>
                <w:sz w:val="20"/>
                <w:szCs w:val="20"/>
                <w:color w:val="auto"/>
              </w:rPr>
            </w:pPr>
            <w:r>
              <w:rPr>
                <w:rFonts w:ascii="Arial" w:cs="Arial" w:eastAsia="Arial" w:hAnsi="Arial"/>
                <w:sz w:val="18"/>
                <w:szCs w:val="18"/>
                <w:b w:val="1"/>
                <w:bCs w:val="1"/>
                <w:color w:val="auto"/>
              </w:rPr>
              <w:t>Agribusiness Costs and Expenses for the Years Ended October 31,</w:t>
            </w:r>
          </w:p>
        </w:tc>
      </w:tr>
      <w:tr>
        <w:trPr>
          <w:trHeight w:val="223"/>
        </w:trPr>
        <w:tc>
          <w:tcPr>
            <w:tcW w:w="3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Packing costs</w:t>
            </w:r>
          </w:p>
        </w:tc>
        <w:tc>
          <w:tcPr>
            <w:tcW w:w="21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21,939</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20,644</w:t>
            </w:r>
          </w:p>
        </w:tc>
        <w:tc>
          <w:tcPr>
            <w:tcW w:w="6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Harvest costs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13,263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1,521</w:t>
            </w:r>
          </w:p>
        </w:tc>
        <w:tc>
          <w:tcPr>
            <w:tcW w:w="40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Growing costs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18,774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9"/>
              </w:rPr>
              <w:t>(7)%</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Third-party grower costs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25,307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21,328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3,979</w:t>
            </w:r>
          </w:p>
        </w:tc>
        <w:tc>
          <w:tcPr>
            <w:tcW w:w="40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94"/>
              </w:rPr>
              <w:t>19%</w:t>
            </w:r>
          </w:p>
        </w:tc>
        <w:tc>
          <w:tcPr>
            <w:tcW w:w="100" w:type="dxa"/>
            <w:vAlign w:val="bottom"/>
          </w:tcPr>
          <w:p>
            <w:pPr>
              <w:spacing w:after="0"/>
              <w:rPr>
                <w:sz w:val="18"/>
                <w:szCs w:val="18"/>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4"/>
              </w:rPr>
              <w:t>29%</w:t>
            </w:r>
          </w:p>
        </w:tc>
        <w:tc>
          <w:tcPr>
            <w:tcW w:w="100" w:type="dxa"/>
            <w:vAlign w:val="bottom"/>
            <w:shd w:val="clear" w:color="auto" w:fill="CCEEFF"/>
          </w:tcPr>
          <w:p>
            <w:pPr>
              <w:spacing w:after="0"/>
              <w:rPr>
                <w:sz w:val="19"/>
                <w:szCs w:val="19"/>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Agribusiness costs and expenses</w:t>
            </w:r>
          </w:p>
        </w:tc>
        <w:tc>
          <w:tcPr>
            <w:tcW w:w="1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83,604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Packing costs: Packing costs consist of the costs to pack lemons for sale such as labor and benefits, cardboard cartons, fruit treatments, packing and shipping supplies and facility operating costs. The increase in fiscal year 2016 was primarily due to higher volume of cartons packed, partially offset by lower average per carton costs compared to fiscal year 2015. In fiscal years 2016 and 2015, we packed and sold 2.9 million and 2.7 million cartons of lemons at average per carton costs of $7.55 and $7.63, respectively. Additionally, packing costs include $1.0 million of shipping costs in fiscal year 2016 compared to $0.9 million in fiscal year 2015.</w:t>
      </w:r>
    </w:p>
    <w:p>
      <w:pPr>
        <w:spacing w:after="0" w:line="18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Harvest costs: The increase in fiscal year 2016 was primarily attributable to higher lemon, avocado, orange and specialty citrus harvest volumes compared to fiscal year 2015.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decrease in fiscal year 2016 is primarily due to decreased lease expense and fertilization and soil amendments of $0.8 million and $0.6 million, respectively, compared to fiscal year 2015.</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left="660" w:hanging="328"/>
        <w:spacing w:after="0" w:line="27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Third-party grower costs: We sell lemons that we grow and lemons that we procure from other growers. The cost of procuring lemons from other growers is referred to as third-party grower costs. The increase is primarily due to higher volume of third-party grower lemons sold, partially offset by lower prices. Of the 2.9 million and 2.7 million cartons sold during fiscal years 2016 and 2015, respectively, 1.2 million (42%) and 0.9 million (36%) were procured from third-party growers at average per carton prices of $20.59 and $22.36, respectively. Additionally, we incurred $0.6 million of costs for purchased, packed fruit for resale compared to $0.9 million in fiscal year 2015.</w:t>
      </w:r>
    </w:p>
    <w:p>
      <w:pPr>
        <w:spacing w:after="0" w:line="17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expense in fiscal year 2016 was $1.0 million higher than fiscal year 2015 primarily due to the acquisition of Sheldon Ranches in December 2015 and placement of our new, expanded lemon packing facility into service in March 2016.</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Real estate development expenses for fiscal year 2016 were $2.1 million compared to $1.3 million in fiscal year 2015. The increase was primarily due to $1.2 million of transaction costs paid upon entering into a joint venture with Lewis Group of Companies for the residential development of our East Area I project.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expenses for fiscal year 2016 were $13.3 million compared to $13.8 million for fiscal year 2015. This 3% decrease of $0.5 million was primarily attributable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$1.2 million decrease in legal and consulting expenses associated with our East Area I real estate development project, which resulted in entering into a real estate development joint venture with Lewis on November 10, 2015;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 million net increase in salaries, benefits and incentive compensation primarily due to incentive compensation increases as a result of an increase in operating results in fiscal year 2016.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$0.3 million net decrease in other selling, general and administrative expenses, including certain corporate overhead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income for fiscal year 2016 was $4.1 million compared to $6.5 million for fiscal year 2015. The $2.3 million decrease in income is primarily the result of:</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 million increase in net interest expense;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$0.4 million increase in earnings from equity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$1.6 million decrease in gain on the sales of stock in Calavo Growers,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 million sale of a conservation easement in fiscal year 2016;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$0.9 million sale of Wilson Ranch in fiscal year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income tax provision of $5.3 million for fiscal year 2016 on pre-tax income of $13.3 million compared to an income tax provision of $4.0 million for fiscal year 2015 on pre-tax income of $11.1 million. Our effective tax rate is 39.5% for fiscal year 2016 compared to an effective rate of 35.9% for fiscal year 2015. The increase in our effective tax rate in fiscal year 2016 is primarily attributable to decreased Domestic Production Activities Deduction resulting from the current year federal net operating loss. The federal net operating loss was primarily generated by accelerated federal tax depreciation related to new lemon packinghouse assets.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24 - Segment Information, in the notes to consolidated financial statements included in this Annual Report for additional information regarding our operating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Fresh</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Lemon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Avocados</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Rental</w:t>
            </w:r>
          </w:p>
        </w:tc>
        <w:tc>
          <w:tcPr>
            <w:tcW w:w="100" w:type="dxa"/>
            <w:vAlign w:val="bottom"/>
          </w:tcPr>
          <w:p>
            <w:pPr>
              <w:spacing w:after="0"/>
              <w:rPr>
                <w:sz w:val="14"/>
                <w:szCs w:val="14"/>
                <w:color w:val="auto"/>
              </w:rPr>
            </w:pPr>
          </w:p>
        </w:tc>
        <w:tc>
          <w:tcPr>
            <w:tcW w:w="10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5"/>
              </w:rPr>
              <w:t>Real Estate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Lemons</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Packing</w:t>
            </w:r>
          </w:p>
        </w:tc>
        <w:tc>
          <w:tcPr>
            <w:tcW w:w="1000" w:type="dxa"/>
            <w:vAlign w:val="bottom"/>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85,439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8,760</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9,522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12,148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115,869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5,440</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121,309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Intersegment revenue</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19,156</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(19,156)</w:t>
            </w: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85,439</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27,916</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(19,156)</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9,522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12,148</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115,869</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5,440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121,309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67,414</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21,567</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(19,156)</w:t>
            </w:r>
          </w:p>
        </w:tc>
        <w:tc>
          <w:tcPr>
            <w:tcW w:w="1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4,136</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11,712</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85,673</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3,170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405</w:t>
            </w: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13,731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102,979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5,489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18,025</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6,349</w:t>
            </w:r>
          </w:p>
        </w:tc>
        <w:tc>
          <w:tcPr>
            <w:tcW w:w="1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24,707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(13,947</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2016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Fresh</w:t>
            </w:r>
          </w:p>
        </w:tc>
        <w:tc>
          <w:tcPr>
            <w:tcW w:w="10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Lemon</w:t>
            </w:r>
          </w:p>
        </w:tc>
        <w:tc>
          <w:tcPr>
            <w:tcW w:w="10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Avocados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Rental</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Lemons</w:t>
            </w:r>
          </w:p>
        </w:tc>
        <w:tc>
          <w:tcPr>
            <w:tcW w:w="100" w:type="dxa"/>
            <w:vAlign w:val="bottom"/>
          </w:tcPr>
          <w:p>
            <w:pPr>
              <w:spacing w:after="0"/>
              <w:rPr>
                <w:sz w:val="14"/>
                <w:szCs w:val="14"/>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Packing</w:t>
            </w:r>
          </w:p>
        </w:tc>
        <w:tc>
          <w:tcPr>
            <w:tcW w:w="1080" w:type="dxa"/>
            <w:vAlign w:val="bottom"/>
            <w:gridSpan w:val="4"/>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8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Agribusiness</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Agribusiness</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Operations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from external customers</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80,437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4,830</w:t>
            </w:r>
          </w:p>
        </w:tc>
        <w:tc>
          <w:tcPr>
            <w:tcW w:w="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10,767</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10,096</w:t>
            </w:r>
          </w:p>
        </w:tc>
        <w:tc>
          <w:tcPr>
            <w:tcW w:w="2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106,130</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5,603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56</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111,789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Intersegment revenue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17,123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(17,123)</w:t>
            </w:r>
          </w:p>
        </w:tc>
        <w:tc>
          <w:tcPr>
            <w:tcW w:w="1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80,437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21,953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10,767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106,130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5,603</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111,789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61,742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21,939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(17,123)</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79,283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2,885</w:t>
            </w:r>
          </w:p>
        </w:tc>
        <w:tc>
          <w:tcPr>
            <w:tcW w:w="26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13,088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97,262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732</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1,986</w:t>
            </w: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(2,005</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(13,319</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9,188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2015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Fresh</w:t>
            </w:r>
          </w:p>
        </w:tc>
        <w:tc>
          <w:tcPr>
            <w:tcW w:w="100" w:type="dxa"/>
            <w:vAlign w:val="bottom"/>
          </w:tcPr>
          <w:p>
            <w:pPr>
              <w:spacing w:after="0"/>
              <w:rPr>
                <w:sz w:val="14"/>
                <w:szCs w:val="14"/>
                <w:color w:val="auto"/>
              </w:rPr>
            </w:pPr>
          </w:p>
        </w:tc>
        <w:tc>
          <w:tcPr>
            <w:tcW w:w="7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Lemon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Avocados</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Rental</w:t>
            </w:r>
          </w:p>
        </w:tc>
        <w:tc>
          <w:tcPr>
            <w:tcW w:w="100" w:type="dxa"/>
            <w:vAlign w:val="bottom"/>
          </w:tcPr>
          <w:p>
            <w:pPr>
              <w:spacing w:after="0"/>
              <w:rPr>
                <w:sz w:val="14"/>
                <w:szCs w:val="14"/>
                <w:color w:val="auto"/>
              </w:rPr>
            </w:pPr>
          </w:p>
        </w:tc>
        <w:tc>
          <w:tcPr>
            <w:tcW w:w="10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5"/>
              </w:rPr>
              <w:t>Real Estate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Lemons</w:t>
            </w:r>
          </w:p>
        </w:tc>
        <w:tc>
          <w:tcPr>
            <w:tcW w:w="100" w:type="dxa"/>
            <w:vAlign w:val="bottom"/>
          </w:tcPr>
          <w:p>
            <w:pPr>
              <w:spacing w:after="0"/>
              <w:rPr>
                <w:sz w:val="14"/>
                <w:szCs w:val="14"/>
                <w:color w:val="auto"/>
              </w:rPr>
            </w:pPr>
          </w:p>
        </w:tc>
        <w:tc>
          <w:tcPr>
            <w:tcW w:w="7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3"/>
              </w:rPr>
              <w:t>Packing</w:t>
            </w:r>
          </w:p>
        </w:tc>
        <w:tc>
          <w:tcPr>
            <w:tcW w:w="1000" w:type="dxa"/>
            <w:vAlign w:val="bottom"/>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from external customers</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74,798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4,180</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7,132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9,014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95,124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5,104</w:t>
            </w:r>
          </w:p>
        </w:tc>
        <w:tc>
          <w:tcPr>
            <w:tcW w:w="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100,311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Intersegment revenue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4"/>
                <w:szCs w:val="14"/>
                <w:color w:val="auto"/>
                <w:w w:val="97"/>
              </w:rPr>
              <w:t>16,175</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(16,175)</w:t>
            </w: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74,798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20,355</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(16,175)</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7,132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9,014</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95,124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100,311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57,297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w w:val="97"/>
              </w:rPr>
              <w:t>20,644</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(16,175)</w:t>
            </w:r>
          </w:p>
        </w:tc>
        <w:tc>
          <w:tcPr>
            <w:tcW w:w="1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4,026</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8,053</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73,845</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1,284</w:t>
            </w: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13,556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91,544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3,341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17,938</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(1,247</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(13,772</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4,583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lemons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Fresh lemon segment revenue is comprised of sales of fresh lemons, lemon by-products and other lemon revenue such as brokerage commissions. For fiscal year 2017, our fresh lemons segment revenue was $85.4 million compared to $80.4 million for fiscal year 2016, a 6% increase of $5.0 million.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associated with our fresh lemon segment include harvest costs, growing costs, cost of fruit we procure from third-party growers and packing service charges incurred from the lemon packing segment to pack lemons for sale. For fiscal year 2017, our fresh lemon costs and expenses were $67.4 million compared to $61.7 million for fiscal year 2016. The 9% increase of $5.7 million primarily consisted of the following:</w:t>
      </w:r>
    </w:p>
    <w:p>
      <w:pPr>
        <w:spacing w:after="0" w:line="16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Harvest costs for fiscal year 2017 were $0.8 million higher than fiscal year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Growing costs for fiscal year 2017 were $1.3 million higher than fiscal year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Third-party grower costs for fiscal year 2017 were $1.5 million higher than fiscal year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Intersegment packing charges for fiscal year 2017 were $2.1 million higher than fiscal year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emon packing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fiscal year 2017, our lemon packing segment revenue was $27.9 million compared to $22.0 million for fiscal year 2016, a 27% increase of $5.9 million primarily due to increased volume of lemons packed and increased shipping and handling revenues.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2017, our lemon packing costs and expenses were $21.6 million compared to $21.9 million for fiscal year 2016. The 1% decrease of $0.3 million was primarily due to lower average per carton costs partially offset by increased volume of lemons packed.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Lemon packing segment operating income per carton sold was $1.98 and $0.01 for fiscal years 2017 and 2016, respectively.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lemon packing segment includes $19.2 million and $17.1 million of intersegment revenues for fiscal years 2017 and 2016, respectively, that are charged to the fresh lemon segment to pack lemons for sale. Such intersegment revenues and expenses are eliminated in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2017, our avocados segment revenue was $9.5 million compared to $10.7 million for fiscal year 2016, a 12% decrease of $1.2 million.</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Costs and expenses associated with our avocados segment include harvest costs and growing costs. For fiscal year 2017, our avocado costs and expenses were $4.1 million compared to $4.6 million for fiscal year 2016. The 10% increase of $0.5 million primarily consisted of the following:</w:t>
      </w:r>
    </w:p>
    <w:p>
      <w:pPr>
        <w:spacing w:after="0" w:line="14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Harvest costs for fiscal year 2017 were $0.5 million lower than fiscal year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Growing costs for fiscal year 2017 were similar to fiscal year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year 2017, our other agribusiness segment revenue was $12.1 million compared to $10.1 million for fiscal year 2016. The 20% increase of $2.1 million primarily consists of the following:</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Navel and Valencia orange revenue in fiscal year 2017 was $1.0 million higher than in fiscal year 2016.</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Specialty citrus and other crop revenue for fiscal year 2017 was $1.1 million higher than fiscal year 2016.</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Costs and expenses associated with our other agribusiness segment include harvest and growing costs. Our other agribusiness costs and expenses for fiscal year 2017 were $11.7 million compared to $8.1 million for fiscal year 2016. The 44% increase of $3.6 million primarily consists of the following:</w:t>
      </w:r>
    </w:p>
    <w:p>
      <w:pPr>
        <w:spacing w:after="0" w:line="147" w:lineRule="exact"/>
        <w:rPr>
          <w:sz w:val="20"/>
          <w:szCs w:val="20"/>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Orange and specialty citrus packing service charges for fiscal year 2017 were $2.2 million compared to zero in fiscal year 2016. In fiscal year 2017, we contracted with an independent packinghouse to pack a portion of our oranges and specialty citrus in Limoneira branded cartons.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Harvest costs for fiscal year 2017 were $0.1 million higher than fiscal year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Growing costs for fiscal year 2017 were $1.3 million higher than fiscal year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lemons, lemon packing, avocados and other agribusiness depreciation and amortization for fiscal year 2017 were $5.5 million compared to $4.3 million in fiscal year 2016. The 27% increase of $1.2 million was primarily due to the acquisition of PDA in February 2017 and an increase in assets placed into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rental operations segment had revenues of approximately $5.4 million and $5.6 million in fiscal years 2017 and 2016, respectively. The $0.2 million decrease in fiscal year 2017 was primarily due to decreased revenues from land leased to third-party agricultural tenants.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rental operations segment were approximately $3.9 million and $3.6 million in fiscal years 2017 and 2016,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$0.8 million and $0.7 million in fiscal years 2017 and 2016,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development segment had revenues of zero and $0.1 million in fiscal years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Costs and expenses in our real estate development segment were approximately $0.4 million and $2.1 million in fiscal years 2017 and 2016,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include corporate and other costs and expenses not allocated to the operating segments. Selling, general and administrative expenses for fiscal year 2017 were $0.6 million lower than fiscal year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Compared to Fiscal Year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lemons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Fresh lemon segment revenue is comprised of sales of fresh lemons, lemon by-products, and other lemon revenue such as brokerage commissions. For fiscal year 2016, our fresh lemons segment revenue was $80.4 million compared to $74.8 million for fiscal year 2016, a 7% increase of $5.6 million.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associated with our fresh lemon segment include harvest costs, growing costs, cost of fruit we procure from third-party growers and packing service charges incurred from the lemon packing segment to pack lemons for sale. For fiscal year 2016, our fresh lemon costs and expenses were $61.7 million compared to $57.3 million for fiscal year 2016. The 8% increase of $4.4 million primarily consisted of the following:</w:t>
      </w:r>
    </w:p>
    <w:p>
      <w:pPr>
        <w:spacing w:after="0" w:line="16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Harvest costs for fiscal year 2016 were $0.1 million higher than fiscal year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Growing costs for fiscal year 2016 were $0.6 million lower than fiscal year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Third-party grower costs for fiscal year 2016 were $4.0 million higher than fiscal year 2015.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Intersegment packing charges for fiscal year 2016 were $0.9 million higher than fiscal year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emon packing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fiscal year 2016, our lemon packing segment revenue was $22.0 million compared to $20.4 million for fiscal year 2015, an 8% increase of $1.6 million primarily due to increased volume of lemons packed.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2016, our lemon packing costs and expenses were $21.9 million compared to $20.6 million for fiscal year 2015. The 6% increase of $1.3 million is primarily due to increased volume of lemons packed partially offset by lower average per carton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Lemon packing segment operating income (loss) per carton sold was $0.01 and ($0.11) for fiscal years 2016 and 2015,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lemon packing segment includes $17.1 million and $16.2 million of intersegment revenues that are charged to the fresh lemon segment to pack lemons for sale. Such intersegment revenues and expenses are eliminated in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2016, our avocados segment revenue was $10.7 million compared to $7.1 million for fiscal year 2015, a 51% increase of $3.6 million.</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Costs and expenses associated with our avocados segment include harvest costs and growing costs. For fiscal year 2016, our avocado costs and expenses were $4.6 million compared to $4.0 million for fiscal year 2015. The 15% increase of $0.6 million primarily consisted of the following:</w:t>
      </w:r>
    </w:p>
    <w:p>
      <w:pPr>
        <w:spacing w:after="0" w:line="14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Harvest costs for fiscal year 2016 were $0.5 million higher than fiscal year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Growing costs for fiscal year 2016 were $0.1 million higher than fiscal year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year 2016, our other agribusiness segment revenue was $10.1 million compared to $9.0 million for fiscal year 2015. The 12% increase of $1.1 million primarily consists of the following:</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Navel and Valencia orange revenue in fiscal year 2016 was $0.5 million higher than in fiscal year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Specialty citrus and other crop revenue for fiscal year 2016 was $0.6 million higher than fiscal year 2015.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and expenses associated with our other agribusiness segment include harvest and growing costs. Our other agribusiness costs and expenses for fiscal year 2016 were similar to fiscal year 2015 and consisted of the following:</w:t>
      </w:r>
    </w:p>
    <w:p>
      <w:pPr>
        <w:spacing w:after="0" w:line="17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Harvest costs for fiscal year 2016 were $0.8 million higher than fiscal year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Growing costs for fiscal year 2016 were $0.8 million lower than fiscal year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lemons, lemon packing, avocados and other agribusiness depreciation and amortization for fiscal year 2016 were $4.3 million compared to $3.3 million for fiscal year 2015. The 29% increase of $1.0 million was primarily due to the acquisition of Sheldon Ranches in December 2015 and placement of our new, expanded lemon packing facility into service in March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rental operations segment had revenues of approximately $5.6 million and $5.1 million in fiscal years 2016 and 2015, respectively. The $0.5 million increase in fiscal year 2016 was primarily due to a full year of rental revenue from 65 additional agriculture workforce housing units that we began renting in May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rental operations segment were approximately $3.6 million and $3.4 million in fiscal years 2016 and 2015,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$0.7 million and $0.6 million in fiscal years 2016 and 2015, respectively.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development segment had revenues of approximately $0.1 million in fiscal years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Costs and expenses in our real estate development segment were approximately $2.1 million and $1.3 million in fiscal years 2016 and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include corporate and other costs and expenses not allocated to the operating segments. Selling, general and administrative expenses for fiscal year 2016 were $0.5 million lower than fiscal year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our operating results for each of the fiscal quarters in the periods ended October 31, 2017 and October 31, 2016, respectively (in thousands, except per share amounts). The information for each of these quarters is derived from our unaudited interim financial statements and should be read in conjunction with the audited consolidated financial statements included in this Annual Report. All necessary adjustments, which consist only of normal and recurring accruals, have been included to fairly present our unaudited quarterly results. As with any agribusiness enterprise, our agribusiness operations are highly seasonal in nature. The harvest and sale of our lemons, avocados, oranges and specialty citrus and other crops occurs in all quarters, but is generally more concentrated during the third quarter.</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loss, net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(Loss) income before income tax benefit (provision)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(provision)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attributable to noncontrolling interest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(loss) income attributable to Limoneira Company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Three Months Ended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Oct. 31,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Jul. 31,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Apr. 30,</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Jan. 31,</w:t>
            </w:r>
          </w:p>
        </w:tc>
        <w:tc>
          <w:tcPr>
            <w:tcW w:w="60" w:type="dxa"/>
            <w:vAlign w:val="bottom"/>
          </w:tcPr>
          <w:p>
            <w:pPr>
              <w:spacing w:after="0"/>
              <w:rPr>
                <w:sz w:val="19"/>
                <w:szCs w:val="19"/>
                <w:color w:val="auto"/>
              </w:rPr>
            </w:pPr>
          </w:p>
        </w:tc>
      </w:tr>
      <w:tr>
        <w:trPr>
          <w:trHeight w:val="425"/>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15,929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40,395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36,893</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28,092</w:t>
            </w:r>
          </w:p>
        </w:tc>
        <w:tc>
          <w:tcPr>
            <w:tcW w:w="6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20,207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27,227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30,681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31,331</w:t>
            </w:r>
          </w:p>
        </w:tc>
        <w:tc>
          <w:tcPr>
            <w:tcW w:w="60" w:type="dxa"/>
            <w:vAlign w:val="bottom"/>
          </w:tcPr>
          <w:p>
            <w:pPr>
              <w:spacing w:after="0"/>
              <w:rPr>
                <w:sz w:val="20"/>
                <w:szCs w:val="20"/>
                <w:color w:val="auto"/>
              </w:rPr>
            </w:pPr>
          </w:p>
        </w:tc>
      </w:tr>
      <w:tr>
        <w:trPr>
          <w:trHeight w:val="195"/>
        </w:trPr>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(4,278)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13,168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6,212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(3,239)</w:t>
            </w:r>
          </w:p>
        </w:tc>
        <w:tc>
          <w:tcPr>
            <w:tcW w:w="60" w:type="dxa"/>
            <w:vAlign w:val="bottom"/>
          </w:tcPr>
          <w:p>
            <w:pPr>
              <w:spacing w:after="0"/>
              <w:rPr>
                <w:sz w:val="16"/>
                <w:szCs w:val="16"/>
                <w:color w:val="auto"/>
              </w:rPr>
            </w:pPr>
          </w:p>
        </w:tc>
      </w:tr>
      <w:tr>
        <w:trPr>
          <w:trHeight w:val="244"/>
        </w:trPr>
        <w:tc>
          <w:tcPr>
            <w:tcW w:w="2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195"/>
        </w:trPr>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(4,516)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12,760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5,694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(3,312)</w:t>
            </w:r>
          </w:p>
        </w:tc>
        <w:tc>
          <w:tcPr>
            <w:tcW w:w="6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(5,017)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w:t>
            </w:r>
          </w:p>
        </w:tc>
        <w:tc>
          <w:tcPr>
            <w:tcW w:w="6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7,743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(2,072)</w:t>
            </w:r>
          </w:p>
        </w:tc>
      </w:tr>
      <w:tr>
        <w:trPr>
          <w:trHeight w:val="230"/>
        </w:trPr>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-1320165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-1036955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-745490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9"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per common share: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Basic</w:t>
            </w:r>
          </w:p>
        </w:tc>
        <w:tc>
          <w:tcPr>
            <w:tcW w:w="1000" w:type="dxa"/>
            <w:vAlign w:val="bottom"/>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w w:val="98"/>
              </w:rPr>
              <w:t>Number of shares used in per common share computations: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14,405</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14,396</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14,269</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14,202</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14,405</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14,989</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14,719</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14,202</w:t>
            </w:r>
          </w:p>
        </w:tc>
      </w:tr>
      <w:tr>
        <w:trPr>
          <w:trHeight w:val="634"/>
        </w:trPr>
        <w:tc>
          <w:tcPr>
            <w:tcW w:w="5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43</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type w:val="continuous"/>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5"/>
              </w:rPr>
              <w:t>Three Months Ended 2016</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Oct. 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Jul. 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Apr. 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Jan.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19,534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39,903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27,365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20,421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25,709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25,150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(loss),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 (provision) benefit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(6,693)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per common share: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Number of shares used in per common share computations: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14,174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14,178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15,066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14,174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compares our fourth quarter ended October 31, 2017 to the fourth quarter ended October 31, 2016. Information concerning comparisons of our first, second and third quarters can be found in our quarterly reports on Form 10-Q.</w:t>
      </w:r>
    </w:p>
    <w:p>
      <w:pPr>
        <w:spacing w:after="0" w:line="170" w:lineRule="exact"/>
        <w:rPr>
          <w:sz w:val="20"/>
          <w:szCs w:val="20"/>
          <w:color w:val="auto"/>
        </w:rPr>
      </w:pPr>
    </w:p>
    <w:p>
      <w:pPr>
        <w:jc w:val="both"/>
        <w:ind w:left="660" w:hanging="328"/>
        <w:spacing w:after="0" w:line="293"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Total revenues decreased $3.6 million in the three months ended October 31, 2017 compared to the three months ended October 31, 2016 primarily due to decreased lemon revenues of $4.4 million partially offset by increased specialty citrus and other crop revenues of $0.8 million. During the fourth quarter of fiscal year 2017, we sold 414,000 cartons of fresh lemons, including 223,000 cartons procured from third-party growers, at an average per carton price of $21.01, compared to 521,000 cartons of fresh lemons, including 249,000 cartons procured from third party growers, at an average per carton price of $25.91 in the fourth quarter of fiscal year 2016. The increase in specialty citrus and other crop revenues in the fourth quarter of fiscal year 2017 compared to the fourth quarter of fiscal year 2016 is primarily due to increased wine grape revenues.</w:t>
      </w:r>
    </w:p>
    <w:p>
      <w:pPr>
        <w:spacing w:after="0" w:line="16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costs and expenses decreased $0.2 million in the three months ended October 31, 2017 compared to the three months ended October 31, 2016 primarily due to decreases in agribusiness costs of $0.4 million offset by increases in selling, general and administrative expenses of $0.2 million. The decrease in agribusiness costs is primarily due to decreased third-party grower costs partially offset by increased packing, growing and depreciation costs and expenses. In the fourth quarter of fiscal year 2017, we sold 223,000 cartons of lemons procured from third-party growers at an average per carton cost of $14.16 compared to 249,000 cartons procured from third-party growers at an average per carton cost of $18.92 in the fourth quarter of fiscal year 2016.</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other income decreased $1.3 million in the three months ended October 31, 2017 compared to the three months ended October 31, 2016 primarily due to the fourth quarter fiscal year 2017 $0.4 million decrease in equity in earnings of investments and the fourth quarter of fiscal year 2016 $1.0 million sale of a conservation easement.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tax provision decreased $2.0 million in the three months ended October 31, 2017 compared to the three months ended October 31, 2016 primarily due to the decrease in pre-tax income of $4.7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divisions and to supplement operating cash flows, we utilize our revolving and non-revolving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which are readily available from local sources.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fiscal years ended October 31, 2017, 2016 and 2015, net cash provided by operating activities was $18.5 million, $14.3 million and $7.7 million, respectively. The significant components of our cash flows provided by operating activities are as follows:</w:t>
      </w:r>
    </w:p>
    <w:p>
      <w:pPr>
        <w:spacing w:after="0" w:line="170" w:lineRule="exact"/>
        <w:rPr>
          <w:sz w:val="20"/>
          <w:szCs w:val="20"/>
          <w:color w:val="auto"/>
        </w:rPr>
      </w:pPr>
    </w:p>
    <w:p>
      <w:pPr>
        <w:jc w:val="both"/>
        <w:ind w:left="660" w:hanging="328"/>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Net income was $6.5 million, $8.1 million and $7.1 million for fiscal years 2017, 2016 and 2015, respectively. The components of net income in fiscal year 2017 compared to fiscal year 2016 consist of an increase in operating income of $2.7 million, a decrease in other income of $5.4 million and a decrease in income tax provision of $1.2 million. The components of net income in fiscal year 2016 compared to fiscal year 2015 consist of an increase in operating income of $4.6 million, a decrease in other income of $2.3 million and an increase in income tax provision of $1.3 million.</w:t>
      </w:r>
    </w:p>
    <w:p>
      <w:pPr>
        <w:spacing w:after="0" w:line="154"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Depreciation and amortization was $6.5 million, $5.3 million and $4.2 million for fiscal years 2017, 2016 and 2015, respectively. The increase in fiscal year 2017 compared to fiscal year 2016 was primarily the result of the acquisition of PDA in February 2017 and an increase in assets placed in service. The increase in fiscal year 2016 compared to fiscal year 2015 was primarily the result of the acquisition of Sheldon Ranches in December 2015 and placement of our new, expanded lemon packing facility into service in March 2016.</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Non-cash impairments of real estate development assets were $0.1 million, zero and zero for fiscal years 2017, 2016 and 2015, respectively.</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Loss on disposals of fixed assets of $0.3 million, $0.1 million and $0.4 million in fiscal years 2017, 2016 and 2015, respectively, were primarily the result of expenses incurred from orchard removals related to real estate development and our on-going orchard redevelopment plans.</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Non-cash stock compensation expense was $1.3 million, $1.3 million and $1.1 million for fiscal years 2017, 2016 and 2015, respectively, which is primarily comprised of expense recognition and vesting of 2014, 2015, 2016 and 2017 grants to management under our stock grant performance bonus program plus the directors’ stock incentive compensation.</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Equity in earnings of investments of $49,000, $0.6 million and $0.2 million for fiscal years 2017, 2016 and 2015, respectively, is primarily comprised of net earnings from our investments in Limco Del Mar, Ltd and Rosales.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distributions from equity investments of $0.7 million, $0.6 million and $0.8 million in fiscal years 2017, 2016 and 2015, respectively, were primarily from our investments in Limco Del Mar. Ltd and Rosales.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sold 60,000 and 140,000 shares of common stock in Calavo in fiscal years 2016 and 2015, respectively, which resulted in gains of $3.4 million and $5.0 million, respectively. No such transactions occurred in fiscal year 2017.</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sold a conservation easement for $1.0 million in fiscal year 2016 and we sold our Wilson Ranch in fiscal year 2015 which resulted in a gain of $0.9 million. No such transactions occurred in fiscal year 2017.</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Accounts receivable, net balance at October 31, 2017 was $11.0 million compared to $9.3 million at October 31, 2016, resulting in a corresponding decrease in operating cash flows of $1.6 million for fiscal year 2017. Accounts receivable, net balance at October 31, 2016 was $9.3 million compared to $7.4 million at October 31, 2015, resulting in a corresponding decrease in operating cash flows of $1.9 million for fiscal year 2016. Accounts receivable, net balance was $7.4 million at October 31, 2015 compared to $7.2 million at October 31, 2014, resulting in a corresponding decrease in operating cash flows of $0.2 million for fiscal year 2015. The decreases in operating cash flows for fiscal years 2017, 2016 and 2015 are primarily due to fluctuations in price and volume related to agribusiness revenues.</w:t>
      </w:r>
    </w:p>
    <w:p>
      <w:pPr>
        <w:spacing w:after="0" w:line="178"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Cultural costs provided $0.2 million of operating cash flows in fiscal year 2017 compared to providing $0.1 million of operating cash flows in fiscal year 2016, primarily due to an initial higher amount of inventory carried at the beginning of fiscal year 2017. Cultural costs provided $0.1 million of operating cash flows in fiscal year 2016 compared to using $0.2 million of operating cash flows in fiscal year 2015, primarily due to an initial higher amount of inventory carried at the beginning of fiscal year 2016.</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Prepaid expenses and other current assets provided $0.1 million of operating cash flows in fiscal years 2017 and 2016. Prepaid expenses and other current assets provided $0.1 million of operating cash flows in fiscal year 2016 compared to providing $0.2 million in fiscal year 2015.</w:t>
      </w:r>
    </w:p>
    <w:p>
      <w:pPr>
        <w:spacing w:after="0" w:line="14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Income taxes receivable balance was $0.6 million at October 31, 2017 compared to $2.8 million at October 31, 2016 resulting in a corresponding increase in operating cash flows of $2.2 million for fiscal year 2017. Income taxes receivable balance was $2.8 million at October 31, 2016 compared to zero at October 31, 2015 resulting in a corresponding decrease in operating cash flows of $2.8 million for fiscal year 2016. Income taxes receivable balance was zero at October 31, 2015 compared to $1.1 million at October 31, 2014 resulting in a corresponding increase in operating cash flows of $1.1 million for fiscal year 2015.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left="66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Accounts payable and growers payable provided $0.5 million of operating cash flows in fiscal year 2017, provided $0.8 million of operating cash flows in fiscal year 2016 and used $0.9 million of operating cash flows in fiscal year 2015. The $0.5 million of cash provided in fiscal year 2017 was primarily the result of a $1.0 million increase in accounts payable and growers payable partially offset by $0.4 million of capital expenditures accrued but not paid at year-end. The $0.8 million of cash provided in fiscal year 2016 was primarily the result of a $1.7 million increase in accounts payable and growers payable partially offset by $0.5 million of capital expenditures accrued but not paid at year-end and $0.3 million accrued equity investment contribution. The $0.9 million of cash used in fiscal year 2015 was primarily the result of a $0.3 million increase in accounts payable and growers payable offset by $1.1 million of capital expenditures accrued but not paid at year-end. The increases in accounts payable and growers payable in fiscal years 2017 and 2016 were primarily due to higher operating expenses, resulting in corresponding higher levels of payables at year-end.</w:t>
      </w:r>
    </w:p>
    <w:p>
      <w:pPr>
        <w:spacing w:after="0" w:line="197"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Accrued liabilities used operating cash flows of $1.3 million in fiscal year 2017, provided operating cash flows of $1.2 million in fiscal year 2016 and used operating cash flows of $1.7 million in fiscal year 2015. The $1.3 million of cash used in fiscal year 2017 is primarily the result of $1.1 million decrease in accrued payments to lemon suppliers. The $1.3 million of cash provided in fiscal year 2016 is primarily the result of $0.7 million increase in accrued compensation and $0.5 increase in accrued payments to lemon suppliers. The $1.7 million of cash flows used in fiscal year 2015 is primarily the result of a $1.6 million decrease in accrued compensation related to incentive compensation payments.</w:t>
      </w:r>
    </w:p>
    <w:p>
      <w:pPr>
        <w:spacing w:after="0" w:line="172"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long-term liabilities provided operating cash flows of $0.2 million in fiscal year 2017 and consisted of $0.9 million of non-cash pension expense offset by $0.7 million of pension contributions. Other long-term liabilities provided operating cash flows of $0.1 million in fiscal year 2016 and consisted of $0.6 million of non-cash pension expense offset by $0.5 million of pension contributions. Other long-term liabilities provided operating cash flows of $2.5 million in fiscal year 2015 and consisted primarily of $2.0 million contribution deposit received for joint venture interest and $0.9 million of non-cash pension expense offset by $0.4 million of pension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October 31, 2017, 2016 and 2015, net cash used in investing activities was $26.4 million, $11.5 million and $25.8 million, respectively, and is primarily comprised of capital expenditures, business acquisitions, sales of assets and investments. Capital expenditures for fiscal year 2016 and 2015 include amounts incurred on two significant projects to expand and modernize our lemon packing operations and add 65 additional farm worker housing units.</w:t>
      </w:r>
    </w:p>
    <w:p>
      <w:pPr>
        <w:spacing w:after="0" w:line="187" w:lineRule="exact"/>
        <w:rPr>
          <w:sz w:val="20"/>
          <w:szCs w:val="20"/>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 expenditures for fiscal year 2017 were comprised of $11.6 million for property, plant and equipment primarily related to orchard and vineyard development and $1.3 million for real estate development projects. Additionally, in fiscal year 2017, we purchased PDA for $5.7 million and contributed $7.5 million to the Joint Venture for the development of our East Area I real estate development project.</w:t>
      </w:r>
    </w:p>
    <w:p>
      <w:pPr>
        <w:spacing w:after="0" w:line="18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Capital expenditures for fiscal year 2016 were comprised of $12.9 million for property, plant and equipment primarily related to orchard development and construction and equipment purchased for our lemon packing facilities and $3.4 million for real estate development projects. In November 2015, we received $18.0 million for 50% interest in a joint venture that will develop our East Area I real estate development project. We contributed $2.3 million to this joint venture in fiscal year 2016 and purchased $0.6 million of additional limited partnership units in Limco Del Mar, Ltd. In December 2015, we purchased 757 acres of agriculture property for $15.1 million. We received $4.0 million net proceeds from sale of stock in Calavo and $1.0 million net proceeds from the sale of a conservation easement.</w:t>
      </w:r>
    </w:p>
    <w:p>
      <w:pPr>
        <w:spacing w:after="0" w:line="17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 expenditures for fiscal year 2015 were comprised of $24.7 million for property, plant and equipment, $6.5 million for real estate development projects and $3.4 million for an agriculture property acquisition. These investment activities were partially offset by $2.7 million net proceeds from sale of Wilson Ranch and $6.4 million net proceeds from sale of stock in Calavo.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October 31, 2017, 2016 and 2015 net cash provided by (used in) financing activities was $8.4 million, ($2.8) million and $18.1 million, respectively.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$8.4 million of cash provided by financing activities for fiscal year 2017 is primarily comprised of net borrowings of long-term debt in the amount of $12.5 million partially offset by common and preferred dividends, in aggregate, of $3.7 million in fiscal year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$2.8 million of cash used by financing activities for fiscal year 2016 is primarily comprised of net borrowings of long-term debt in the amount of $1.0 million partially offset by common and preferred dividends, in aggregate, of $3.5 million in fiscal year 2016.</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$18.1 million of cash provided by financing activities for fiscal year 2015 is primarily comprised of net borrowings of long-term debt in the amount of $21.5 million partially offset by common and preferred dividends, in aggregate, of $3.2 million in fiscal year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Affecting Liquidity and Capital Resources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20, 2017, we entered into a Master Loan Agreement (the “Loan Agreement”) with Farm Credit West, FLCA which includes a Revolving Credit Supplement and a Non-Revolving Credit Supplement (the “Supplements”). The Supplements provide aggregate borrowing capacity of $100.0 million comprised of $60.0 million under the Revolving Credit Supplement and $40.0 million under the Non-Revolving Credit Supplement. The interest rate for any amount outstanding under the Supplements is based on the one 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 We may prepay any amounts outstanding under the Supplements without penalty.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 Proceeds from the Supplements were used to pay down all the remaining outstanding indebtedness under the revolving credit facility we had with Rabobank, N.A.</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with which we were in compliance at October 31, 2017.</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In addition, we have the Farm Credit West Term Loans, the Wells Fargo Term Loan and the Banco de Chile term loan. Additional information regarding the Farm Credit West Credit Facility, the Farm Credit West Term Loans, the Wells Fargo Term Loan and the Banco de Chile term loan can be found in the Notes to Consolidated Financial Statements included in this Annual Report.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fiscal year 2018.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31, 2017, our outstanding borrowings under the Farm Credit West Credit Facility were $74.6 million and we had $24.5 million of availability. The Farm Credit West Credit Facility currently bears interest at a variable rate equal to the one-month LIBOR plus 1.85%. The interest rate resets on the first of each month and was 3.08% at October 31, 2017. We have the ability to prepay any amounts outstanding under the Farm Credit West Credit Facility without penalty. The line of credit provides for maximum borrowings of $100.0 million and the borrowing capacity based on collateral value was $100.0 million at October 31, 2017.</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October 31, 2017, we had an aggregate of approximately $21.0 million outstanding under Farm Credit West Term Loans, which are further discussed here:</w:t>
      </w:r>
    </w:p>
    <w:p>
      <w:pPr>
        <w:spacing w:after="0" w:line="170" w:lineRule="exact"/>
        <w:rPr>
          <w:sz w:val="20"/>
          <w:szCs w:val="20"/>
          <w:color w:val="auto"/>
        </w:rPr>
      </w:pPr>
    </w:p>
    <w:p>
      <w:pPr>
        <w:jc w:val="both"/>
        <w:ind w:left="660" w:hanging="328"/>
        <w:spacing w:after="0" w:line="25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October 31, 2017, we had $3.2 million outstanding under the Farm Credit West Term Loan that matures</w:t>
      </w:r>
      <w:r>
        <w:rPr>
          <w:rFonts w:ascii="Arial" w:cs="Arial" w:eastAsia="Arial" w:hAnsi="Arial"/>
          <w:sz w:val="18"/>
          <w:szCs w:val="18"/>
          <w:i w:val="1"/>
          <w:iCs w:val="1"/>
          <w:color w:val="auto"/>
        </w:rPr>
        <w:t xml:space="preserve"> </w:t>
      </w:r>
      <w:r>
        <w:rPr>
          <w:rFonts w:ascii="Arial" w:cs="Arial" w:eastAsia="Arial" w:hAnsi="Arial"/>
          <w:sz w:val="18"/>
          <w:szCs w:val="18"/>
          <w:color w:val="auto"/>
        </w:rPr>
        <w:t>in 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3.70% at October 31, 2017. This term loan is secured by certain of our agricultural properties.</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October 31, 2017, Windfall had $1.2 million outstanding under the Farm Credit West Term Loan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matures in 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3.70% at October 31, 2017. This term loan is secured by the Windfall Farms property.</w:t>
      </w:r>
    </w:p>
    <w:p>
      <w:pPr>
        <w:spacing w:after="0" w:line="18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October 31, 2017, we had $9.5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4.70% and is payable in monthly installments through March 2036. This term loan is secured by certain of our agricultural properties.</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October 31, 2017, we had $7.1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October 31, 2017, we had $7.7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our Company will maintain a debt service coverage ratio, as defined in the loan agreement, of less than 1.25 to 1.0 measured annually at October 31, with which we were in compliance at October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beginning January 2018. This loan is unsecured and contains certain pre-payment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2017, we had an interest rate swap agreement which locks in the interest rate on $40.0 million of our $105.3 million in debt at 4.30% until June 2018.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2011, the Company entered into a forward interest rate swap agreement with Rabobank International, Utrecht to fix the interest rate at 4.30% on $40.0 million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 Additional information regarding the interest rate swap can be found in the notes to the consolidated financial statements included in this Annual Report.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remaining $65.3 million in debt bears interest at fixed and variable rates, ranging from 3.08% to 6.48% at October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Activities and Related Capital Resources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 party sources of capital to partner with us to move those development projects forward. While we are frequently in discussions with potential external sources of capital in respect to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10, 2015, we entered into the Joint Venture with Lewis for the residential development of our East Area I real estate development project. To consummate the transaction, we formed Limoneira Lewis Community Builders, LLC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$100.0 million from the Joint Venture over the estimated 7 to 10-year life of the project. The Joint Venture partners will share in capital contributions to fund project costs until loan proceeds and or revenues are sufficient to fund the project. These funding requirements are currently estimated to total $10.0 to $15.0 million for each Joint Venture partner in the first two to three years of the project and we funded $7.5 million in fiscal year 2017, $2.3 million in fiscal year 2016 and an additional $3.5 million in the first quarter of fiscal year 2018. We also entered to a lease agreement with the Joint Venture to lease back a portion of the contributed property, which allows us to continue farming the property during the phased build-out of the project. We are planning approximately 632 units in Phase 1 of the project. Grading began in November 2017, and we anticipate Phase 1 site improvements during the winter of this year. The lot sale process with home builders is expected to begin in the spring of 2018 and initial closings of lots sales are anticipated to begin in the first quarter of fiscal year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 organic foods have become an increasingly significant element of the public dialogue on health and nutrition. As a result, consumption of fresh fruit and vegetables has markedly increased. According to the USDA, Americans consumed 37 more pounds of fresh fruit and vegetables per capita in 2008 than they did in 1988.</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USDA reports that per capita fresh lemon consumption was 3.8 pounds in 2012, and since 2004, has averaged 3.1 pounds per capita versus 2.7 pounds in the 1990s. Approximately 64% of the California crop has gone into the fresh market in the past decade. The fresh market is significantly more profitable than the processed market and the amount of production sold in the fresh market is referred to as fresh utilization. Our fresh utilization has historically been comparable to the California industry average and we expect that our fresh utilization will increase due to increased flexibility to sell lemons directly to food service wholesale and retail customers and increased customer interaction resulting from our direct lemon sales strategy.</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According to the USDA, the U.S. per capita consumption of avocados has increased in recent years from 3.1 pounds per capita in 2004 to 7.1 pounds per capita in 2016. A growing Hispanic population, an increasing awareness of healthier foods and the acceptance of mono-unsaturated fats has helped to spur demand for avocados. California is the largest U.S. producer of avocados and the 2011 crop of 550 million pounds was the second largest in the last ten years and fourth largest in California avocado production history. According to the California Avocado Commission, the 2017 crop produced approximately 215 million pounds compared to 393 million pounds in 2016 and 279 million pounds in 2015.</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Navel oranges comprise most of California’s orange crop, accounting for approximately 75% over the past three growing seasons. Valencia oranges account for a vast majority of the remainder of California’s orange crop. While California produces approximately 25% of the nation’s oranges, its crop accounts for approximately 80% of those going to the fresh market. The share of California’s crop going to fresh market, as opposed to the processed market (i.e., juices, oils and essences) varies by season, depending on the quality of the crop.</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the residential real estate market is recovering in the locations that we own real estate development property following the well-known economic downturn of the recent past. We incurred impairment charges on one of our real estate development projects in fiscal year 2017 and future impairment is possible. Due to these factors, we anticipate maintaining a cautious and patient perspective with respect to our real estate development activities. However, interest rates are also at historically low levels, which provide a favorable buying opportunity for potential home buyers. Additionally, we believe that our real estate development properties have certain unique characteristics and are located in desirable locations, particularly East Area I, and as economic or real estate market conditions improve or other factors arise, we will take advantage of such opportunities to develop our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contractual obligations at October 31, 2017 for which cash flows are fixed and determinable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8"/>
                <w:szCs w:val="18"/>
                <w:b w:val="1"/>
                <w:bCs w:val="1"/>
                <w:color w:val="auto"/>
              </w:rPr>
              <w:t>Payments due by Period</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&lt; 1 year</w:t>
            </w:r>
          </w:p>
        </w:tc>
        <w:tc>
          <w:tcPr>
            <w:tcW w:w="1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3-5 years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19"/>
                <w:szCs w:val="19"/>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rate debt (principal)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Variable rate debt (principal)</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78,878</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75,925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110,807</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18,019</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fixed and variable rate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7,902</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borrowing capacity from existing and available and credit facilities will be sufficient to satisfy our future capital expenditure, debt service, working capital and other contractual obligations for fiscal year 2018.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accompanying notes to the consolidated financial statements included in this Annual Report. The table above assumes that long-term debt is held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Payments on Fixed and Variable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table assumes that our fixed rate and long-term debt is held to maturity and the interest rates on our variable rate debt remains unchanged for the remaining life of the debt from those in effect at October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commencing July 1, 1997 and totaled approximately $0.2 million in fiscal year 2017 and $0.3 million in each of the fiscal years 2016 and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and April 2014, we issued, in aggregate, 9,300 shares of Series B-2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totaled $0.4 million in each of the fiscal years 2017,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$0.7 million, $0.5 million and $0.4 million in fiscal years 2017, 2016 and 2015, respectively and we plan to contribute approximately $0.6 million to the Plan in fiscal year 2018.</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numerous operating lease commitments with remaining terms ranging from less than one year to ten years. In fiscal year 2008, we installed a one mega-watt photovoltaic solar array on one of our agricultural properties located in Ventura County that produces a significant portion of the power to run our lemon packinghouse. The construction of this array was financed by Farm Credit Leasing and we have a long-term lease with Farm Credit Leasing for this array. Annual payments for this lease are $0.5 million, and at the end of ten years we have an option to purchase the array for $1.1 million. In fiscal year 2009, we entered into a similar transaction with Farm Credit Leasing for a second photovoltaic array at one of our agricultural properties located in the San Joaquin Valley to supply a significant portion of the power to operate four deep water well pumps located our property. Annual lease payments for this facility range from $0.3 million to $0.8 million, and at the end of ten years we have the option to purchase the array for $1.3 million.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approximately 80 acres of lemons in Lindsay, California at a base rent of $500 per acre plus 50% of the operating profit of the leased acreage as defined in the lease. The lease expires December 2021 and includes four five-year renewal options. Estimated aggregate lease expense is approximately $0.1 million per year.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 2013, we entered into a lease agreement with Cadiz, Inc. (“Cadiz”) to develop new lemon orchards on Cadiz’s agricultural property in eastern San Bernardino County, California (the “Cadiz Ranch”). Under the terms of the Lease Agreement, we have the right to lease and plant up to 1,280 acres of lemons over the next five years at the Cadiz Ranch operations in the Cadiz Valley and have leased 320 acres initially, subject to a mutually agreed upon planting schedule. The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property. Pursuant to the terms of the Lease Agreement, the annual rental payment will not exceed a total of $1,200 per acre. We incurred approximately $0.1 million of lease expense in fiscal years 2017, 2016 and 2015.</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3, 2015, we amended our lease agreement with Cadiz. The amendment, among other things; increased by 200 acres the amount of property leased by us under the lease agreement dated July 1, 2013. In connection with the amendment, we paid a total of $1.2 million to acquire existing lemon trees and irrigations systems from Cadiz and a Cadiz tenant. In February 2016, Cadiz assigned this lease to Fenner Valley Farms, LLC, a subsidiary of Water Asset Management, LLC (“WAM”). An entity affiliated with WAM is the holder of 9,300 shares of our Series B-2 convertible preferred stock.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10, 2015 (the “Transaction Date”), we entered into the Joint Venture with Lewis for the residential development of our East Area I real estate development project. To consummate the transaction, we formed Limoneira Lewis Community Builders, LLC as the development entity, contributed our East Area I property to the Joint Venture and sold a 50% interest in the Joint Venture to Lewis for $20.0 million, comprised of a $2.0 million deposit received in September 2015 and $18.0 million received on the Transaction Date. We received net cash of approximately $18.8 million after transaction costs of approximately $1.2 million, which were expensed in the first quarter of fiscal year 2016. In addition, on the Transaction Date, we incurred a Success Fee with Parkstone Companies, Inc., in the amount of $2.1 million, which was capitalized as a component of our investment in the Joint Venture.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will lease certain of the contributed East Area I property back to Limoneira for continuation of agricultural operations, and certain other permitted uses, on the property until the Joint Venture requires the property for development. The Lease Agreement will terminate in stages corresponding to the Joint Venture's development of the property, which is to occur in stages pursuant to a phased master development plan. The Joint Venture is required to provide Limoneira with written notice 180 days prior to the termination of any portion of the Lease Agreement. In any event, the Lease Agreement will terminate five years from the Transaction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Limoneira and the Joint Venture entity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receive approximately $100.0 million from the Joint Venture over the estimated 7 to 10-year life of the project including $20.0 million received on the consummation of the Joint Venture. The Joint Venture partners will share in capital contributions to fund project costs until project loan proceeds and or revenues are sufficient to fund the project. These funding requirements are currently estimated to total $10.0 to $15.0 million for each Joint Venture partner in the first two to three years of the project and we funded $7.5 million in fiscal year 2017, $2.3 million in fiscal year 2016 and an additional $3.5 million in the first quarter of fiscal year 2018. The Joint Venture partners may be required to provide loans guarantees for project loans.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2013, we began a construction project that includes design, construction services and equipment for the expansion of our lemon packing facilities. The project is expected to double the capacity and increase the efficiency of our packing facilities. The project became operational in March 2016 with total construction services and equipment costs of approximately $29.0 million.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2015 and December 2015, we completed the acquisition of 914 acres of lemon, orange and specialty citrus orchards in California’s San Joaquin Valley for approximately $18.5 million. The orchards were acquired pursuant to purchase options contained in certain operating leases we have been party to since 2012 for approximately 1,000 acres of lemon, orange and specialty citrus and other crops, which we refer to as the Sheldon Ranch leases.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noted above under “Transactions Affecting Liquidity and Capital Resources,” we have the ability to control the timing of a portion of our investing cash flows to the extent necessary based upon our liquidity demands. In order for our real estate development operations to reach their maximum potential benefit to our Company, however, we will need to be successful over time in identifying other third-party sources of capital to partner with us to move those development projects forward. While we are frequently engaged in discussions with several external sources of capital in respect of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7 – Real Estate Development and Note 8 – Equity Investments of the notes to consolidated financial statements in this Annual Report, we have investments in joint ventures and partnerships that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could have an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PDA’s functional currency is the Chilean Peso. Its balance sheet is translated to U.S. dollars at exchange rates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date and its income statement is translated at average exchange rates during the reporting period. The resulting foreign currency translation adjustments are recorded as a separate component of accumulated other comprehensive income.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a general policy, revenue and related costs are recognized when (i) persuasive evidence of an arrangement exists, (ii) delivery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(iii) selling price is fixed or determinable and (iv) collectability is reasonably assured. We record a sales allowance in the period revenue is recognized as a provision for estimated customer discounts and concessions.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spacing w:after="0" w:line="269" w:lineRule="auto"/>
        <w:rPr>
          <w:sz w:val="20"/>
          <w:szCs w:val="20"/>
          <w:color w:val="auto"/>
        </w:rPr>
      </w:pPr>
      <w:r>
        <w:rPr>
          <w:rFonts w:ascii="Arial" w:cs="Arial" w:eastAsia="Arial" w:hAnsi="Arial"/>
          <w:sz w:val="17"/>
          <w:szCs w:val="17"/>
          <w:i w:val="1"/>
          <w:iCs w:val="1"/>
          <w:color w:val="auto"/>
        </w:rPr>
        <w:t xml:space="preserve">Agribusiness Revenue - </w:t>
      </w:r>
      <w:r>
        <w:rPr>
          <w:rFonts w:ascii="Arial" w:cs="Arial" w:eastAsia="Arial" w:hAnsi="Arial"/>
          <w:sz w:val="17"/>
          <w:szCs w:val="17"/>
          <w:color w:val="auto"/>
        </w:rPr>
        <w:t>Revenue from lemon sales is generally recognized FOB shipping point when the customer takes possession of the fruit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Calavo and other third-party packinghouses are agricultural cooperatives or function in a similar manner as an agricultural cooperative. As such, we apply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(i) the related fruits have been delivered to and accepted by Calavo and other third-party packinghouses (i.e., title has transferred to Calavo and other third-party packinghouses) and (ii)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us by Calavo and other third-party packinghouses at the time of delivery have not materially differed from the actual amounts that are paid after the monthly pools are closed. We also earn commissions on certain brokered fruit sales, which totaled $324,000, $263,000 and $114,000 in fiscal years 2017, 2016 and 2015, respectively.</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Specifically, we deliver all of our avocado production from our orchards to Calavo. These avocados are then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arrangements with third-party packinghouses are such that we are the producer and supplier of the product and the third-party packinghouses are our customers. The revenues we recognize related to the fruits sold to the third-party packinghouses are based on the volume and quality of the fruits delivered, and the market price for such fruit, less the packinghouses’ charges to pack and market the fruit. Such packinghouse charges include the grading, sizing, packing, cooling, ripening and marketing of the related fruit. We bear inventory risk until the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related to a “Vendor’s Income Statement Characterization of Consideration Given to a Customer.”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 of operations.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crop insurance proceeds is recorded when the amount of and the right to receive the payment can be reasonably determined. We recorded agribusiness revenues from crop insurance proceeds of $74,000, $83,000 and $9,000 in fiscal years 2017, 2016 and 2015,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Rental Revenue - </w:t>
      </w:r>
      <w:r>
        <w:rPr>
          <w:rFonts w:ascii="Arial" w:cs="Arial" w:eastAsia="Arial" w:hAnsi="Arial"/>
          <w:sz w:val="18"/>
          <w:szCs w:val="18"/>
          <w:color w:val="auto"/>
        </w:rPr>
        <w:t>Minimum rental revenues are generally recognized on a straight-line basis over the respective initial lease term. Contingent rental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contractually defined as to the percentage of rent received by us and are based on fees collected by the lessee. Our rental arrangements generally require payment on a monthly or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We recognize revenue on real estate development projects in accordance with FASB ASC 360-20,</w:t>
      </w:r>
      <w:r>
        <w:rPr>
          <w:rFonts w:ascii="Arial" w:cs="Arial" w:eastAsia="Arial" w:hAnsi="Arial"/>
          <w:sz w:val="18"/>
          <w:szCs w:val="18"/>
          <w:i w:val="1"/>
          <w:iCs w:val="1"/>
          <w:color w:val="auto"/>
        </w:rPr>
        <w:t xml:space="preserve"> Real Estate Sales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for profit to be recognized in full when real estate is sold, provided that a sale has been consummated and profit is determinable, 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Costs </w:t>
      </w:r>
      <w:r>
        <w:rPr>
          <w:rFonts w:ascii="Arial" w:cs="Arial" w:eastAsia="Arial" w:hAnsi="Arial"/>
          <w:sz w:val="18"/>
          <w:szCs w:val="18"/>
          <w:color w:val="auto"/>
        </w:rPr>
        <w:t>- We capitalize the planning, entitlement, construction and development costs associated with our various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For fiscal year 2017, we capitalized approximately $8.4 million of costs related to our real estate projects and expensed approximately $0.4 million of costs.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The acquisition method requires identifiable assets acquired and liabilities assumed and any noncontrolling interest in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6" w:lineRule="exact"/>
        <w:rPr>
          <w:sz w:val="20"/>
          <w:szCs w:val="20"/>
          <w:color w:val="auto"/>
        </w:rPr>
      </w:pPr>
    </w:p>
    <w:p>
      <w:pPr>
        <w:jc w:val="both"/>
        <w:ind w:firstLine="45"/>
        <w:spacing w:after="0" w:line="271"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We use derivative financial instruments for purposes other than trading to manage our exposure to interest rates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these assets may not be recoverable. As a result of various factors, in recent years we recorded impairment charges of $0.1 million, zero and zero in fiscal years 2017, 2016 and 2015, respectively.</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 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 of return and mortality tables. During 2017, the Society of Actuaries (“SOA”) released a new mortality improvement scale table, referred to as MP-2017, which is believed to better reflect mortality improvements and is to be used in calculating defined benefit pension obligations. In addition, during fiscal year 2017, the assumed discount rate to measure the pension obligation remained unchanged at 3.6%. The Company used the latest mortality tables released by the SOA through October 31, 2017 to measure its pension obligation as of October 31, 2017 and combined with the assumed discount rate and other demographic assumptions, its pension obligation decreased by approximately $1.8 million as of October 31, 2017 with a corresponding increase in other comprehensive income recognized net of tax. Further changes in any of these estimates could materially affect the amounts recorded that are related to our defined benefit retirement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Accounting Standards Board (“FASB”) – Accounting Standards Update (“ASU”) 2014-09, Revenue from Contracts with Customers (Topic 606).</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will supersede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2016, the FASB issued ASU 2016-08 (ASU 2016-08), Revenue from Contracts with Customers (Topic 606): Principal versus Agent Considerations (Reporting Revenue Gross versus Net). ASU 2016-08 clarifies the implementation guidance on principal versus agent considerations.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the FASB issued ASU 2016-10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May 2016, the FASB issued, ASU 2016-12 (ASU 2016-12), Revenue from Contracts with Customers (Topic 606): Narrow-Scope Improvements and Practical Expedients. ASU 2016-12 provides clarifying guidance in certain narrow areas and adds some practical expedients.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We currently anticipate adopting the standard in the first quarter of our fiscal year ending October 31, 2019 and we anticipate using the modified retrospective method. We have inventoried and evaluated our current revenue streams and related contracts with customers. We continue to evaluate the effect this ASU may have on our consolidated financial statements.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FASB ASU 2014-15, Presentation of Financial Statements—Going Concern (Subtopic 205-40): Disclosure of Uncertainties about an Entity’s Ability to Continue as a Going Concern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ASU 2014-15 is intended to define management’s 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This ASU provides guidance to an organization’s management, with principles and definitions that are intended to reduce diversity in the timing and content of disclosures that are commonly provided by organizations today in the financial statement footnotes.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ASU is effective for annual periods ending after December 15, 2016, and interim periods within annual periods beginning after December 15, 2016. The adoption of this ASU had no impact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2015-11, Inventory (Topic 330): Simplifying the Measurement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do not apply to inventory that is measured using last-in, first-out (LIFO) or the retail inventory method. The amendments apply to all other inventory, which includes inventory that is measured using first-in, first-out (FIFO) or average cost.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entity should measure in scope inventory at the lower of cost and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The amendments in this ASU more closely align the measurement of inventory in GAAP with the measurement of inventory in International Financial Reporting Standards.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are effective for fiscal years beginning after December 15, 2016, including interim periods within those fiscal years. The amendments should be applied prospectively with earlier application permitted as of the beginning of an interim or annual reporting period. We do not expect the adoption of this guidance to have a material impact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2016-01 is effective for public companies for fiscal years beginning after December 15, 2017, including interim periods within those fiscal years. Early adoption is permitted. We are evaluating the effect this ASU may have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832)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4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new lease guidance simplified the accounting for sale and leaseback transactions primarily because lessees must recognize lease assets and lease liabilities. Lessees will no longer be provided with a source of off-balance sheet financing.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Early application is permitted.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We are evaluating the effect this ASU may have on our consolidated financial statements, however it expects to apply the practical expedients provided in the ASU and to record right-of-use assets and lease obligations for its operating leases that exist on the date of adoption. Note 20 – Commitment and Contingencies of the notes to consolidated financial statements included in this Annual Report describes our operating lease arrangements as of October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2016-05, Derivatives and Hedging (Topic 815): Effect of Derivative Contract Novations on Existing Hedge Accounting Relationships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amendments in this ASU clarify that a change in the counterparty to a derivative instrument that has been designated as the hedging instrument does not, in and of itself, require de-designation of that hedging relationship provided that all other hedge accounting criteria remain intact.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amendments are effective for public business entities for financial statements issued for fiscal years beginning after December 15, 2016, and interim periods within those fiscal years. Early adoption is permitted, including adoption in an interim period. We adopted this ASU during the quarter ended July 31, 2017 in connection with the refinancing of our line of credit arrangements and related interest rates swap as described in Note 12 – Long-Term Debt and Note 13 – Derivative Instrument and Hedging Activities of the notes to consolidated financial statements included in this Annual Report.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FASB ASU 2016-09, Compensation - Stock Compensation (Topic 718): Improvements to Employee Share-Based Payment Accounting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amendments are intended to improve the accounting for employee share-based payments and affect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amendments are effective for annual periods beginning after December 15, 2016 and interim periods within those annual periods. Early adoption is permitted. The Company’s early adoption of this ASU on November 1, 2016 resulted in a cumulative effect provision of $21,000 recognized in the current period tax provision. The Company has also elected to account for forfeitures as they occur using the modified retrospective approach. In addition, the Company is now required to present excess tax benefits (provisions) as operating activity (combined with other income tax cash flows) on the statements of cash flows rather than as financing activity and has elected to adopt this change prospectively.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amendment is effective for public business entities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Company is evaluating the effect this ASU may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Farm Credit West Credit Facility and Farm Credit West Term Loans are or will be subject to variable interest rates. These variable interest rates subject us to the risk of increased interest costs associated with any upward movements in interest rates. For the Farm Credit West Credit Facility and Term Loans, our borrowing interest rate is an internally calculated rate based on Farm Credit West’s internal monthly operations and their cost of funds and generally follows the changes in the 90-day treasury rates in increments divisible by 0.25%. At October 31, 2017, our total debt outstanding under the Farm Credit West Credit Facility and the Farm Credit West Term Loans was $74.6 million and $21.0 million, respectively.</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manage our exposure to interest rate movements by utilizing interest rate swaps (derivatives). We fixed $40.0 million of our outstanding borrowings with a “fixed-to-floating” interest rate swap as described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2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0" w:type="dxa"/>
            <w:vAlign w:val="bottom"/>
            <w:gridSpan w:val="6"/>
          </w:tcPr>
          <w:p>
            <w:pPr>
              <w:ind w:left="20"/>
              <w:spacing w:after="0"/>
              <w:rPr>
                <w:sz w:val="20"/>
                <w:szCs w:val="20"/>
                <w:color w:val="auto"/>
              </w:rPr>
            </w:pPr>
            <w:r>
              <w:rPr>
                <w:rFonts w:ascii="Arial" w:cs="Arial" w:eastAsia="Arial" w:hAnsi="Arial"/>
                <w:sz w:val="18"/>
                <w:szCs w:val="18"/>
                <w:b w:val="1"/>
                <w:bCs w:val="1"/>
                <w:color w:val="auto"/>
              </w:rPr>
              <w:t>Notional Amount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gridSpan w:val="6"/>
          </w:tcPr>
          <w:p>
            <w:pPr>
              <w:ind w:left="480"/>
              <w:spacing w:after="0"/>
              <w:rPr>
                <w:sz w:val="20"/>
                <w:szCs w:val="20"/>
                <w:color w:val="auto"/>
              </w:rPr>
            </w:pPr>
            <w:r>
              <w:rPr>
                <w:rFonts w:ascii="Arial" w:cs="Arial" w:eastAsia="Arial" w:hAnsi="Arial"/>
                <w:sz w:val="18"/>
                <w:szCs w:val="18"/>
                <w:b w:val="1"/>
                <w:bCs w:val="1"/>
                <w:color w:val="auto"/>
              </w:rPr>
              <w:t>Fair Value Net Liability</w:t>
            </w:r>
          </w:p>
        </w:tc>
      </w:tr>
      <w:tr>
        <w:trPr>
          <w:trHeight w:val="191"/>
        </w:trPr>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6"/>
                <w:szCs w:val="16"/>
                <w:color w:val="auto"/>
              </w:rPr>
            </w:pPr>
          </w:p>
        </w:tc>
      </w:tr>
      <w:tr>
        <w:trPr>
          <w:trHeight w:val="234"/>
        </w:trPr>
        <w:tc>
          <w:tcPr>
            <w:tcW w:w="43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182"/>
        </w:trPr>
        <w:tc>
          <w:tcPr>
            <w:tcW w:w="4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Pay fixed-rate, receive floating-rate interest rate swap,</w:t>
            </w:r>
          </w:p>
        </w:tc>
        <w:tc>
          <w:tcPr>
            <w:tcW w:w="3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maturing June 2018</w:t>
            </w:r>
          </w:p>
        </w:tc>
        <w:tc>
          <w:tcPr>
            <w:tcW w:w="13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October 31, 2017, the fixed interest rate on our $40.0 million swap was 4.30%. Based on our level of borrowings at October 31, 2017, after taking into consideration the effects of our interest rate swap (derivative), a 1% increase in interest rates would increase our interest expense $0.5 million for fiscal year 2018 and an annual average of $0.8 million for the three subsequent fiscal years. Additionally, a 1% increase in the interest rate would decrease our net income by $0.3 million for fiscal year 2018 and an annual average of $0.5 million for the three subsequent fiscal years. Refer to the “Management’s Discussion and Analysis of Financial Condition and Results of Operations – Liquidity and Capital Resources” for additional information.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124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60" w:type="dxa"/>
            <w:vAlign w:val="bottom"/>
            <w:gridSpan w:val="6"/>
          </w:tcPr>
          <w:p>
            <w:pPr>
              <w:jc w:val="center"/>
              <w:ind w:right="4680"/>
              <w:spacing w:after="0"/>
              <w:rPr>
                <w:sz w:val="20"/>
                <w:szCs w:val="20"/>
                <w:color w:val="auto"/>
              </w:rPr>
            </w:pPr>
            <w:r>
              <w:rPr>
                <w:rFonts w:ascii="Arial" w:cs="Arial" w:eastAsia="Arial" w:hAnsi="Arial"/>
                <w:sz w:val="18"/>
                <w:szCs w:val="18"/>
                <w:b w:val="1"/>
                <w:bCs w:val="1"/>
                <w:color w:val="auto"/>
                <w:w w:val="92"/>
              </w:rPr>
              <w:t>Limoneira Company</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920" w:type="dxa"/>
            <w:vAlign w:val="bottom"/>
            <w:gridSpan w:val="9"/>
          </w:tcPr>
          <w:p>
            <w:pPr>
              <w:jc w:val="center"/>
              <w:ind w:right="314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Management’s Report on Internal Control over Financial Reporting</w:t>
              </w:r>
            </w:hyperlink>
          </w:p>
        </w:tc>
        <w:tc>
          <w:tcPr>
            <w:tcW w:w="6360" w:type="dxa"/>
            <w:vAlign w:val="bottom"/>
            <w:tcBorders>
              <w:bottom w:val="single" w:sz="8" w:color="CCEEFF"/>
            </w:tcBorders>
            <w:gridSpan w:val="6"/>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20" w:type="dxa"/>
            <w:vAlign w:val="bottom"/>
            <w:gridSpan w:val="11"/>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 on Internal Control over Financial Reporting</w:t>
              </w:r>
            </w:hyperlink>
          </w:p>
        </w:tc>
        <w:tc>
          <w:tcPr>
            <w:tcW w:w="180" w:type="dxa"/>
            <w:vAlign w:val="bottom"/>
          </w:tcPr>
          <w:p>
            <w:pPr>
              <w:jc w:val="right"/>
              <w:spacing w:after="0" w:line="17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20" w:type="dxa"/>
            <w:vAlign w:val="bottom"/>
            <w:gridSpan w:val="11"/>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20" w:type="dxa"/>
            <w:vAlign w:val="bottom"/>
            <w:gridSpan w:val="11"/>
          </w:tcPr>
          <w:p>
            <w:pPr>
              <w:spacing w:after="0"/>
              <w:rPr>
                <w:sz w:val="20"/>
                <w:szCs w:val="20"/>
                <w:color w:val="auto"/>
              </w:rPr>
            </w:pPr>
            <w:r>
              <w:rPr>
                <w:rFonts w:ascii="Arial" w:cs="Arial" w:eastAsia="Arial" w:hAnsi="Arial"/>
                <w:sz w:val="18"/>
                <w:szCs w:val="18"/>
                <w:color w:val="auto"/>
              </w:rPr>
              <w:t>Consolidated Financial Statements of Limoneira Company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60" w:type="dxa"/>
            <w:vAlign w:val="bottom"/>
            <w:gridSpan w:val="10"/>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at October 31, 2017 and 2016</w:t>
              </w:r>
            </w:hyperlink>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60" w:type="dxa"/>
            <w:vAlign w:val="bottom"/>
            <w:gridSpan w:val="10"/>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for the years ended October 31, 2017, 2016 and 2015</w:t>
              </w:r>
            </w:hyperlink>
          </w:p>
        </w:tc>
        <w:tc>
          <w:tcPr>
            <w:tcW w:w="180" w:type="dxa"/>
            <w:vAlign w:val="bottom"/>
          </w:tcPr>
          <w:p>
            <w:pPr>
              <w:jc w:val="right"/>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60" w:type="dxa"/>
            <w:vAlign w:val="bottom"/>
            <w:gridSpan w:val="10"/>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Comprehensive Income for the years ended October 31, 2017, 2016 and 2015</w:t>
              </w:r>
            </w:hyperlink>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60" w:type="dxa"/>
            <w:vAlign w:val="bottom"/>
            <w:gridSpan w:val="10"/>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Stockholders’ Equity and Temporary Equity for the years ended October 31, 2017, 2016 and 2015</w:t>
              </w:r>
            </w:hyperlink>
          </w:p>
        </w:tc>
        <w:tc>
          <w:tcPr>
            <w:tcW w:w="180" w:type="dxa"/>
            <w:vAlign w:val="bottom"/>
          </w:tcPr>
          <w:p>
            <w:pPr>
              <w:jc w:val="right"/>
              <w:spacing w:after="0" w:line="17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Cash Flows for the years ended October 31, 2017, 2016 and 2015</w:t>
              </w:r>
            </w:hyperlink>
          </w:p>
        </w:tc>
        <w:tc>
          <w:tcPr>
            <w:tcW w:w="4320" w:type="dxa"/>
            <w:vAlign w:val="bottom"/>
            <w:tcBorders>
              <w:bottom w:val="single" w:sz="8" w:color="CCEEFF"/>
            </w:tcBorders>
            <w:gridSpan w:val="4"/>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tcBorders>
              <w:bottom w:val="single" w:sz="8" w:color="0000EE"/>
            </w:tcBorders>
          </w:tcPr>
          <w:p>
            <w:pPr>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Notes to Consolidated Financial Statements</w:t>
              </w:r>
            </w:hyperlink>
          </w:p>
        </w:tc>
        <w:tc>
          <w:tcPr>
            <w:tcW w:w="7920" w:type="dxa"/>
            <w:vAlign w:val="bottom"/>
            <w:gridSpan w:val="9"/>
          </w:tcPr>
          <w:p>
            <w:pPr>
              <w:spacing w:after="0"/>
              <w:rPr>
                <w:sz w:val="15"/>
                <w:szCs w:val="15"/>
                <w:color w:val="auto"/>
              </w:rPr>
            </w:pPr>
          </w:p>
        </w:tc>
        <w:tc>
          <w:tcPr>
            <w:tcW w:w="180" w:type="dxa"/>
            <w:vAlign w:val="bottom"/>
            <w:tcBorders>
              <w:bottom w:val="single" w:sz="8" w:color="0000EE"/>
            </w:tcBorders>
          </w:tcPr>
          <w:p>
            <w:pPr>
              <w:jc w:val="right"/>
              <w:spacing w:after="0" w:line="17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schedules are omitted for the reason that they are not applicable or the required information is included in the Consolidated Financial Statements or the notes thereto.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management, including the principal executive officer and principal financial officer, conducted an evaluation of the effectiveness of Limoneira Company’s internal control over financial reporting, based on the framework in Internal Control—Integrated Framework issued by the Committee of Sponsoring Organizations of the Treadway Commission (2013 framework). Based on this evaluation, management concluded that internal control over financial reporting was effective as of October 31, 2017. Ernst &amp; Young LLP, an independent registered public accounting firm, has audited the effectiveness of the Company’s internal control over financial reporting and has issued a report on internal control over financial reporting, which is included herein.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excluded Fruticola Pan de Azucar S.A. (“PDA”), which was acquired as a business combination on February 24, 2017, from its assessment and management’s report on internal control over financial reporting at October 31, 2017, as they continue to evaluate its internal controls. PDA’s total assets and total revenues represent less than 3% and 1%, respectively, of its related consolidated financial statement amounts as of and for the year ended October 31, 2017. This exclusion is in accordance with the general guidance issued by the Staff of the Securities and Exchange Commission that an assessment of a recent business combination may be omitted from management’s report on internal control over financial reporting in the first year of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D. Rumley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Limoneira Company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Limoneira Company’s internal control over financial reporting as of October 31, 2017, based on criteria established in Internal Control— Integrated Framework issued by the Committee of Sponsoring Organizations of the Treadway Commission (2013 framework) (the COSO criteria). Limoneira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Fruticola Pan de Azucar S.A., which is included in the 2017 consolidated financial statements of Limoneira Company and constituted $9,236,000 and $5,880,000 of total and net assets, respectively, as of October 31, 2017 and $1,059,000 and $415,000 of revenues and net income, respectively, for the year then ended. Our audit of internal control over financial reporting of Limoneira Company also did not include an evaluation of the internal control over financial reporting of Fruticola Pan de Azucar S.A.</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Limoneira Company maintained, in all material respects, effective internal control over financial reporting as of October 31, 2017,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Limoneira Company as of October 31, 2017 and 2016, and the related consolidated statements of operations, comprehensive income, stockholders' equity and temporary equity, and cash flows for each of the three years in the period ended October 31, 2017 of Limoneira Company and our report dated January 8, 2018 expressed an unqualified opinion thereon.</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2018</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Limoneira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Limoneira Company as of October 31, 2017 and 2016, and the related consolidated statements of operations, comprehensive income, stockholders' equity and temporary equity, and cash flows for each of the three years in the period ended October 31, 2017.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Limoneira Company at October 31, 2017 and 2016, and the consolidated results of its operations and its cash flows for each of the three years in the period ended October 31, 2017, in conformity with U.S. generally accepted accounting principles.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Limoneira Company’s internal control over financial reporting as of October 31, 2017, based on criteria established in Internal Control-Integrated Framework issued by the Committee of Sponsoring Organizations of the Treadway Commission (2013 framework) and our report dated January 8, 2018 expressed an unqualified opinion thereon.</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2018</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rPr>
              <w:t>LIMONEIRA COMPANY</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color w:val="auto"/>
                <w:w w:val="96"/>
              </w:rPr>
              <w:t>CONSOLIDATED BALANCE SHEETS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color w:val="auto"/>
                <w:w w:val="88"/>
              </w:rPr>
              <w:t>($ in thousands, except share amounts)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October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5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Cultural costs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188,225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Real estate development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Equity in investments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14,061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Calavo Growers, Inc.</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10,433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6,311</w:t>
            </w:r>
          </w:p>
        </w:tc>
        <w:tc>
          <w:tcPr>
            <w:tcW w:w="5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Growers payable</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8,828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Fair value of derivative instrument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Long-term debt, less current portion</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102,083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Sale-leaseback deferral</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B Convertible Preferred Stock – $100.00 par value (50,000 shares authorized: 14,790 and 29,000 shares</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October 31, 2017 and 2016) (8.75% coupon rate)</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B-2 Convertible Preferred Stock – $100.00 par value (10,000 shares authorized: 9,300 shares issued and</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8"/>
              </w:rPr>
              <w:t>outstanding at October 31, 2017 and 2016) (4% dividend rate on liquidation value of $1,000 per share)</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Junior Participating Preferred Stock – $.01 par value (20,000 shares authorized: zero issued or</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outstanding at October 31, 2017 and 2016)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Common Stock – $.01 par value (39,000,000 shares authorized: 14,405,031 and 14,178,226 shares issued</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outstanding at October 31, 2017 and 2016, respectively)</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94,294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339,031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Agribusiness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115,869</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106,130</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Real estate development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Agribusiness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development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Impairment of real estate development assets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13,319</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and expenses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109,446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Equity in earnings of investments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stock in Calavo Growers, Inc.</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 of conservation easement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Wilson Ranch</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attributable to Limoneira Company</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applicable to common stock</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0.52</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0.52</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Weighted-average common shares outstanding-basic</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14,315,000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14,168,000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outstanding-diluted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14,168,000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14,119,000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6,549</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Minimum pension liability adjustments, net of tax of $767, $(443) and $409</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Unrealized holding gains on security available for sale, net of tax of $1,722, $1,049</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$214</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8"/>
              </w:rPr>
              <w:t>Reclassification of unrealized gain on security sold, net of tax of $0, $(1,111) and</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$(1,918)</w:t>
            </w:r>
          </w:p>
        </w:tc>
        <w:tc>
          <w:tcPr>
            <w:tcW w:w="9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(1,719)</w:t>
            </w: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from derivative instruments, net of tax of $330, $216 and $30</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Limoneira Company</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10,968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4"/>
                <w:szCs w:val="14"/>
                <w:b w:val="1"/>
                <w:bCs w:val="1"/>
                <w:color w:val="auto"/>
                <w:w w:val="93"/>
              </w:rPr>
              <w:t>Stockholders’ Equity</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Temporary Equity</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Series B-2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180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Preferred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Stock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2014</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14,078,077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89,770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23,308</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5,111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118,329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9,331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Dividends - common</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(2,539)</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 Series B</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Dividends - Series B-2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(372)</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57,162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Exchange of common stock</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(10,907)</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Donation of common stock</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4,498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Conversion of Series B preferred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6,250</w:t>
            </w: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of stock grant vesting</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7,082</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w w:val="97"/>
              </w:rPr>
              <w:t>Other comprehensive loss, net of tax</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(1,955)</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color w:val="auto"/>
              </w:rPr>
              <w:t>Balance at October 31, 2015</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14,135,080</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90,759</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27,216</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3,156</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121,272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 common</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(2,834)</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Dividends - Series B</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 Series B-2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49,329</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1,308</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of common stock</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(12,433)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Conversion of Series B preferred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6,250</w:t>
            </w: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provision of stock grant vesting</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8,058</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w w:val="97"/>
              </w:rPr>
              <w:t>Other comprehensive loss, net of tax</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(453)</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color w:val="auto"/>
              </w:rPr>
              <w:t>Balance at October 31, 2016</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14,178,226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91,841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31,812</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2,703</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126,498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 common</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Dividends - Series B</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 Series B-2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(372)</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63,954</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1,327</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of common stock</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(14,773)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Conversion of Series B preferred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177,624</w:t>
            </w: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1,420</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(1,421)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6,595</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Other comprehensive income, net of</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tax</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4,373</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line="155" w:lineRule="exact"/>
              <w:rPr>
                <w:sz w:val="20"/>
                <w:szCs w:val="20"/>
                <w:color w:val="auto"/>
              </w:rPr>
            </w:pPr>
            <w:r>
              <w:rPr>
                <w:rFonts w:ascii="Arial" w:cs="Arial" w:eastAsia="Arial" w:hAnsi="Arial"/>
                <w:sz w:val="14"/>
                <w:szCs w:val="14"/>
                <w:color w:val="auto"/>
              </w:rPr>
              <w:t>Balance at October 31, 2017</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14,405,031</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94,294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34,692</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7,076</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136,793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1,479</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9,331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Years Ended October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6,549</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8,058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5,339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of real estate development assets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 on disposals/sales of assets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compensation expense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Equity in earnings of investments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distributions from equity investments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6,195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interest on note receivable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stock in Calavo Growers, Inc.</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Gain on sale of conservation easement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(995)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Wilson Ranch</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Fair value adjustment of contingent consideration</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Donation of common stock</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 receivable, net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Cultural costs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Income taxes receivable</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(2,810)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Accounts payable and growers payable</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Other long-term liabilities</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18,482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Capital expenditures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(16,252)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LLC Interest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Agriculture property acquisitions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(15,098)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Wilson Ranch</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Business combination</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stock in Calavo Growers, Inc.</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proceeds from sale of conservation easement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contributions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Investments in mutual water companies and water rights</w:t>
            </w:r>
          </w:p>
        </w:tc>
        <w:tc>
          <w:tcPr>
            <w:tcW w:w="9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(26,416)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380" w:type="dxa"/>
            <w:vAlign w:val="bottom"/>
            <w:tcBorders>
              <w:bottom w:val="single" w:sz="8" w:color="auto"/>
            </w:tcBorders>
          </w:tcPr>
          <w:p>
            <w:pPr>
              <w:ind w:left="5620"/>
              <w:spacing w:after="0"/>
              <w:rPr>
                <w:sz w:val="20"/>
                <w:szCs w:val="20"/>
                <w:color w:val="auto"/>
              </w:rPr>
            </w:pPr>
            <w:r>
              <w:rPr>
                <w:rFonts w:ascii="Arial" w:cs="Arial" w:eastAsia="Arial" w:hAnsi="Arial"/>
                <w:sz w:val="18"/>
                <w:szCs w:val="18"/>
                <w:b w:val="1"/>
                <w:bCs w:val="1"/>
                <w:color w:val="auto"/>
              </w:rPr>
              <w:t>66</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Borrowings of long-term debt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181,429</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157,423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(156,403)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Dividends paid-common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(2,834)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paid-preferred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Exchange of common stock</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 financing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Tax provision of stock grant vesting</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paid during the year for interest (net of amounts capitalized)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1,641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1,405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taxes, net of (refunds received)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holding gain on Calavo investment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Increase in real estate development and sale-leaseback deferral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7,047</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3,349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of real estate development to property plant and equipment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26,779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Settlement of lease obligation related to agriculture property acquisition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accrued but not paid at year-end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equity investment contribution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reduction of note receivable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interest on note receivable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Donation of common stock</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Conversion of preferred stock to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1,421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2016 and 2015, certain shares of Series B convertible preferred stock were converted into common stock as described in Note 21 - Series B and Series B-2 Preferred Stock of the notes to consolidated financial statements included in this Annual Report.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24, 2017, the Company acquired 90% of the outstanding stock of Fruticola Pan de Azucar S.A. for a purchase price of $5,706,000 in cash as further described in Note 3 - Acquisitions of the notes to consolidated financial statements included in this Annual Report.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20, 2017, the Company entered into a Master Loan Agreement with Farm Credit West, FLCA and repaid $68.6 million of outstanding debt under the Rabobank revolving credit facility as further described in Note 12 - Long-Term Debt of the notes to consolidated financial statements included in this Annual Report.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 2015, the holder of the note receivable from a 2004 sale of property completed the drilling of three water wells at the Company’s Windfall Investors, LLC real estate development property and two water wells at property leased by the Company. The fair value of the well drilling services was $1,535,000 and the Company recorded a non-cash reduction of the note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Limoneira Company, a Delaware Company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and other international markets. The Company is a member of Sunkist Growers, Inc. (“Sunkist”), an agricultural marketing cooperative, and sells its oranges, specialty citrus and other crops to Sunkist-licensed and other third-party packinghouses.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all of its avocado production to Calavo Growers, Inc. (“Calavo”), a packing and marketing company listed on the NASDAQ Global Select Market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62" w:lineRule="exact"/>
        <w:rPr>
          <w:sz w:val="20"/>
          <w:szCs w:val="20"/>
          <w:color w:val="auto"/>
        </w:rPr>
      </w:pPr>
    </w:p>
    <w:p>
      <w:pPr>
        <w:ind w:right="7860" w:firstLine="8"/>
        <w:spacing w:after="0" w:line="503" w:lineRule="auto"/>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consolidated financial statements include the accounts of the Company and the accounts of all the subsidiaries and investments in which a controlling interest is held by the Company. The consolidated financial statements represent the consolidated balance sheets, statements of operations, statements of comprehensive income, statements of stockholders’ equity and temporary equity and statements of cash flows of Limoneira Company and its wholly owned subsidiaries. The Company’s subsidiaries include: Limoneira Mercantile, LLC, Windfall Investors, LLC (“Windfall”), Templeton Santa Barbara, LLC, Associated Citrus Packers, Inc. (“Associated”), Limoneira Chile SpA, Limoneira EA 1 Land, LLC and Fruticola Pan De Azucar S.A. (“PDA”) All significant intercompany balances and transactions have been eliminated in consolidation. The Company considers the criteria established under the Financial Accounting Standards Board (“FASB”) – Accounting Standards Code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and the effect of variable interest entities, in its consolidation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At October 31, 2017 and 2016 the allowances totaled $577,000 and $357,000, respectively. For fiscal years 2017, 2016 and 2015, credit losses were insignificant.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all of its avocado production to Calavo. Sales of avocados to Calavo were $9,522,000, $10,767,000 and $7,132,000 in fiscal years 2017, 2016 and 2015,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Lemons procured from third-party growers were approximately 44%, 42% and 36%, of lemon supply in fiscal years 2017, 2016 and 2015, respectively. One third-party grower was 43% of grower payable at October 31,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03" w:lineRule="auto"/>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Cultural Costs</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Lemons, oranges, specialty citrus and other crops such as pistachio nuts are grown in the Company’s San Joaquin Valley orchards. Additionally, lemons are grown in the Company’s Yuma County, Arizona orchards. These crops have distinct growing periods and distinct harvest and selling periods, each of which lasts approximately four to six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grows lemons and avocados in its Ventura County orchards. Due to climate, growing conditions and the types of crops grown, the Ventura County orchards may be harvested and sold on a year-round basis. Accordingly, the Company does not capitalize cultural costs associated with its Ventura County orchards and therefore such costs, as well as harvest costs associated with the Ventura County orchards, are expensed to operations when incurred as components of agribusiness costs and expenses.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42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ind w:left="20"/>
              <w:spacing w:after="0"/>
              <w:rPr>
                <w:sz w:val="20"/>
                <w:szCs w:val="20"/>
                <w:color w:val="auto"/>
              </w:rPr>
            </w:pPr>
            <w:r>
              <w:rPr>
                <w:rFonts w:ascii="Arial" w:cs="Arial" w:eastAsia="Arial" w:hAnsi="Arial"/>
                <w:sz w:val="18"/>
                <w:szCs w:val="18"/>
                <w:color w:val="auto"/>
              </w:rPr>
              <w:t>– 50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Orchards</w:t>
            </w:r>
          </w:p>
        </w:tc>
        <w:tc>
          <w:tcPr>
            <w:tcW w:w="422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ind w:left="20"/>
              <w:spacing w:after="0"/>
              <w:rPr>
                <w:sz w:val="20"/>
                <w:szCs w:val="20"/>
                <w:color w:val="auto"/>
              </w:rPr>
            </w:pPr>
            <w:r>
              <w:rPr>
                <w:rFonts w:ascii="Arial" w:cs="Arial" w:eastAsia="Arial" w:hAnsi="Arial"/>
                <w:sz w:val="18"/>
                <w:szCs w:val="18"/>
                <w:color w:val="auto"/>
              </w:rPr>
              <w:t>– 40</w:t>
            </w:r>
          </w:p>
        </w:tc>
      </w:tr>
    </w:tbl>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spraying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03" w:lineRule="auto"/>
        <w:tabs>
          <w:tab w:leader="none" w:pos="1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Capitalized Interest</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Interest of $2,022,000 and $1,919,000 was capitalized during the years ended October 31, 2017 and 2016, respectively, and is included in property, plant, and equipment and real estate development assets in the Company’s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its real estate projects of $8,403,000 and $6,870,000 in fiscal years 2017 and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Investments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and the Company’s equity in net earnings or loss of the respective joint venture.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classifies its marketable securities as available-for-sale. The Company’s investments in marketable securities are stated at fair value with unrealized gains (losses), net of tax, reported as a component of accumulated other comprehensive income (loss) in the Company’s consolidated statements of comprehensive income. At October 31, 2017 and 2016, marketable securities are comprised of the Company’s investment in Calavo.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long-lived assets, including its definite-life intangible assets, for impairment whenever events or changes in circumstances indicate that the carrying value of an asset may not be recoverable. If the estimated undiscounted future cash flows from the use of an asset are less than the carrying value of that asset, a write-down is recorded to reduce the carrying value of the asset to its fair value. Assets held for sale are carried at the lower of cost or fair value less estimated cost to sell.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consist primarily of acquired water and mineral rights, a patent and certain trade names and trademarks. Certain of the Company’s trade names and trademarks are being amortized on a straight-line basis over their estimated lives of eight years. The Company evaluates its indefinite-life intangible assets annually or whenever events or changes in circumstances indicate an impairment of the assets’ value may exist.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Goodwill impairment is tested in a two-step process, with the first step performed to determine if there is potential for impairment by comparing the fair value of the reporting unit to its carrying value. If potential impairment is identified as indicated by the carrying value exceeding the fair value of the reporting unit, the second step is performed to measure the amount of impairment to be recognized in the financial statements by comparing the implied fair value of goodwill to its carrying value. If the carrying value of goodwill exceeds its implied fair value, an impairment loss is recognized for the excess amount. Goodwill impairment testing involves significant judgment and estimates. The annual assessment of goodwill impairment was performed as of July 31, 2017 with no impairment noted.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03" w:lineRule="auto"/>
        <w:tabs>
          <w:tab w:leader="none" w:pos="1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Fair Values of Financial Instruments</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values of financial instruments are based on level-one indicators within the fair value hierarchy or quoted market prices, where available, or are estimated using the present value or other valuation techniques. Estimated fair values are significantly affected by the assumptions used.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note receivable, accounts payable, growers payable and accrued liabilities reported on the Company’s consolidated balance sheets approximate their fair values due to the short-term nature of the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borrowing rates currently available to the Company for bank loans with similar terms and maturities, the fair value of long-term debt is approximately equal to its carrying amount as of October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derivative financial instruments to manage its exposure to interest rates as well as to maintain an appropriate mix of fixed and floating-rate debt. Contract terms of a hedge instrument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the Company has not elected hedge accounting, are valued at fair value with unrealized gains or losses reported in earnings during the period of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(loss) represents all changes in a company’s net assets, except changes resulting from transactions with shareholders, and is reported as a component of the Company’s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PDA’s functional currency is the Chilean Peso. Its balance sheet is translated to U.S. dollars at exchange rates in effect at the balance sheet date and its income statement is translated at average exchange rates during the reporting period. The resulting foreign currency translation adjustments are recorded as a separate component of accumulated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and related costs are recognized when (i) persuasive evidence of an arrangement exists, (ii) delivery has occurred, (iii) selling price is fixed or determinable and (iv) collectability is reasonably assured. The Company records a sales allowance in the period revenue is recognized as a provision for estimated customer discounts and concessions.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Agribusiness revenue - </w:t>
      </w:r>
      <w:r>
        <w:rPr>
          <w:rFonts w:ascii="Arial" w:cs="Arial" w:eastAsia="Arial" w:hAnsi="Arial"/>
          <w:sz w:val="16"/>
          <w:szCs w:val="16"/>
          <w:color w:val="auto"/>
        </w:rPr>
        <w:t>Revenue from lemon sales is generally recognized FOB shipping point when the customer takes possession of the fruit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packinghouse. Revenue from the sales of certain of the Company’s agricultural products is recorded based on estimated proceeds provided by certain of the Company’s sales and marketing partners (Calavo and other third-party packinghouses) due to the time between when the product is delivered by the Company and the closing of the pools for such fruits at the end of each month. Calavo and other third-party packinghouses are agricultural cooperatives or function in a similar manner as an agricultural cooperative. As such, the Company applies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(a) the related fruits have been delivered to and accepted by Calavo and other third-party packinghouses (i.e., title has transferred to Calavo and other third-party packinghouses) and (b)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the Company by Calavo and other third-party packinghouses at the time of delivery, have not materially differed from the actual amounts that are paid after the monthly pools are closed. The Company also earns commissions on certain brokered fruit sales, which totaled $324,000, $263,000 and $114,000 in fiscal years 2017, 2016, and 2015,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03" w:lineRule="auto"/>
        <w:tabs>
          <w:tab w:leader="none" w:pos="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avocados, oranges, specialty citrus and other specialty crops are packed and sold by Calavo and other third-party packinghouses. The Company delivers all of its avocado production from its orchards to Calavo. These avocados are then packed by Calavo at its packinghouse, and sold and distributed under Calavo brands to its customers primarily in the United States and Canada. The Company’s arrangements with other third-party packinghouses related to its oranges, specialty citrus and other specialty crops are similar to its arrangement with Calavo.</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arrangements with its third-party packinghouses are such that the Company is the producer and supplier of the product and the third-party packinghouses are the Company’s customers. The revenues the Company recognizes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The Company bears inventory risk until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entitled “Vendor’s Income Statement Characterization of Consideration Given to a Customer”. The identifiable benefit the Company receives from the third-party packinghouses for packaging and marketing services cannot be sufficiently separated from the third-party packinghouses’ purchase of the Company’s products. In addition, the Company is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from crop insurance proceeds is recorded when the amount of and the right to receive the payment can be reasonably determined. The Company recorded agribusiness revenues from crop insurance proceeds of $74,000, $83,000 and $9,000 in fiscal years 2017, 2016 and 2015, respectively.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operations revenue - </w:t>
      </w:r>
      <w:r>
        <w:rPr>
          <w:rFonts w:ascii="Arial" w:cs="Arial" w:eastAsia="Arial" w:hAnsi="Arial"/>
          <w:sz w:val="18"/>
          <w:szCs w:val="18"/>
          <w:color w:val="auto"/>
        </w:rPr>
        <w:t>Minimum rental revenues are generally recognized on a straight-line basis over the respective initial lease term. Contingent rental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contractually defined as to the percentage of rent received by the Company and are based on fees collected by the lessee. Such revenues are recognized when actual results, based on collected fees reported by the tenant, are received. The Company’s rental arrangements generally require payment on a monthly or quarterly basis.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The Company recognizes revenue on real estate development projects in accordance with FASB ASC 360-20,</w:t>
      </w:r>
      <w:r>
        <w:rPr>
          <w:rFonts w:ascii="Arial" w:cs="Arial" w:eastAsia="Arial" w:hAnsi="Arial"/>
          <w:sz w:val="18"/>
          <w:szCs w:val="18"/>
          <w:i w:val="1"/>
          <w:iCs w:val="1"/>
          <w:color w:val="auto"/>
        </w:rPr>
        <w:t xml:space="preserve"> Real Estate Sales</w:t>
      </w:r>
      <w:r>
        <w:rPr>
          <w:rFonts w:ascii="Arial" w:cs="Arial" w:eastAsia="Arial" w:hAnsi="Arial"/>
          <w:sz w:val="18"/>
          <w:szCs w:val="18"/>
          <w:color w:val="auto"/>
        </w:rPr>
        <w:t>, which provides for profit to be recognized in full when real estate is sold provided that, a sale has been consummated and profit is determinable,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are expensed as incurred. Such costs in fiscal years 2017, 2016 and 2015 were $173,000, $264,000 and $364,000,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rent expense for its operating leases on a straight-line basis from the lease commencement date as defined in the lease agreement until the end of the base lease term.</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03" w:lineRule="auto"/>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Basic and Diluted Net Income per Share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common share is calculated using the weighted-average number of common shares outstanding during the period without consideration of the dilutive effect of preferred stock. Diluted net income per common share is calculated using the weighted-average number of common shares outstanding plus the dilutive effect of conversion of preferred stock. The Series B and Series B-2 convertible preferred shares were anti-dilutive for fiscal years ended October 31, 2017, 2016 and 2015.</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Unvested stock-based compensation awards that contain non-forfeitable rights to dividends as participating shares are included in computing earnings per share using the two-class method. The Company’s unvested, restricted stock awards qualify as participating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Adjustments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consolidated financial statements to conform to the October 31, 2017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Retirement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 sponsors a defined benefit retirement plan that was frozen in June 2004, and no future benefits have been accrued to participants subsequent to that time. Ongoing accounting for this plan under FASB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xml:space="preserve"> provides guidance as to, among other things, future estimated pension expense, pension liability and minimum funding requirements. This information is provided to the Company by third-party actuarial consultants. In developing this data, certain estimates and assumptions are used, including among other things, discount rate, long-term rate of return and mortality tables. During 2017, the Society of Actuaries (SOA) released a new mortality improvement scale table, referred to as MP-2017, which is believed to better reflect mortality improvements and is to be used in calculating defined benefit pension obligations. In addition, during fiscal year 2017, the assumed discount rate used to measure the pension obligation remained unchanged at 3.6%. The Company used the latest mortality tables released by the SOA through October 2017 to measure its pension obligation as of October 31, 2017 and combined with the assumed discount rate and other demographic assumptions, its pension obligation decreased by approximately $1,761,000 as of October 31, 2017 with a corresponding increase in other comprehensive income recognized net of tax. Further changes in any of these estimates could materially affect the amounts recorded that are related to our defined benefit retirement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2014-09, Revenue from Contracts with Customers (Topic 606).</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will supersede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66" w:lineRule="auto"/>
        <w:tabs>
          <w:tab w:leader="none" w:pos="1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2016, the FASB issued ASU 2016-08 (ASU 2016-08), Revenue from Contracts with Customers (Topic 606): Principal versus Agent Considerations (Reporting Revenue Gross versus Net). ASU 2016-08 clarifies the implementation guidance on principal versus agent considerations.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the FASB issued ASU 2016-10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May 2016, the FASB issued, ASU 2016-12 (ASU 2016-12), Revenue from Contracts with Customers (Topic 606): Narrow-Scope Improvements and Practical Expedients. ASU 2016-12 provides clarifying guidance in certain narrow areas and adds some practical expedients.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currently anticipates adopting the standard in the first quarter of its fiscal year ending October 31, 2019 and anticipates using the modified retrospective method. The Company has inventoried and evaluated its current revenue streams and related contracts with customers. The Company continues to evaluate the effect this ASU may have on its consolidated financial statements.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FASB ASU 2014-15, Presentation of Financial Statements—Going Concern (Subtopic 205-40): Disclosure of Uncertainties about an Entity’s Ability to Continue as a Going Concern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ASU 2014-15 is intended to define management’s 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This ASU provides guidance to an organization’s management, with principles and definitions that are intended to reduce diversity in the timing and content of disclosures that are commonly provided by organizations today in the financial statement footnotes.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ASU is effective for annual periods ending after December 15, 2016 and interim periods within annual periods beginning after December 15, 2016. The Company’s adoption of this ASU had no impact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2015-11, Inventory (Topic 330): Simplifying the Measurement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do not apply to inventory that is measured using last-in, first-out (LIFO) or the retail inventory method. The amendments apply to all other inventory, which includes inventory that is measured using first-in, first-out (FIFO) or average cost.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entity should measure in scope inventory at the lower of cost and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 The amendments in this ASU more closely align the measurement of inventory in GAAP with the measurement of inventory in International Financial Reporting Standards.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 is currently evaluating the impact of this ASU but does not expect the adoption of this guidance to have a material effect on its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66" w:lineRule="auto"/>
        <w:tabs>
          <w:tab w:leader="none" w:pos="18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2016-01 is effective for public companies for fiscal years beginning after December 15, 2017, including interim periods within those fiscal years. Early adoption is permitted. The Company is evaluating the effect this ASU may have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832)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48"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right-of-use asset, which is an asset that represents the lessee’s right to use, or control the use of, a specified asset for the lease term.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The new lease guidance simplified the accounting for sale and leaseback transactions primarily because lessees must recognize lease assets and lease liabilities. Lessees will no longer be provided with a source of off-balance sheet financing.</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ASU 2016-02 is effective for fiscal years beginning after December 15, 2018, including interim periods within those fiscal years. Early application is permitted.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ASU will be effective for the Company beginning in the first quarter of its fiscal year ending October 31, 2019. The Company is evaluating the effect this ASU may have on its consolidated financial statements, however it expects to apply the practical expedients provided in the ASU and to record right-of-use assets and lease obligations for its operating leases that exist on the date of adoption. Note 20 – Commitment and Contingencies – describes its operating lease arrangements as of October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2016-05, Derivatives and Hedging (Topic 815): Effect of Derivative Contract Novations on Existing Hedge Accounting Relationships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amendments in this ASU clarify that a change in the counterparty to a derivative instrument that has been designated as the hedging instrument does not, in and of itself, require de-designation of that hedging relationship provided that all other hedge accounting criteria remain intact.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are effective for public business entities for financial statements issued for fiscal years beginning after December 15, 2016, and interim periods within those fiscal years. Early adoption is permitted, including adoption in an interim period. The Company adopted this ASU during the quarter ended July 31, 2017 in connection with the refinancing of its line of credit arrangements and related interest rates swap as described in Note 12 – Long-Term Debt and Note 13 – Derivative Instrument and Hedging Activities. The Company’s adoption of this ASU had no impact on its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6920" w:firstLine="8"/>
        <w:spacing w:after="0" w:line="566" w:lineRule="auto"/>
        <w:tabs>
          <w:tab w:leader="none" w:pos="18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2016-09, Compensation —Stock Compensation (Topic 718): Improvements to Employee Share-Based Payment Accounting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amendments are intended to improve the accounting for employee share-based payments and affect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amendments are effective for annual periods beginning after December 15, 2016 and interim periods within those annual periods. Early adoption is permitted. The Company’s early adoption of this ASU on November 1, 2016 resulted in a cumulative effect provision of $21,000 recognized in the current period tax provision. The Company has also elected to account for forfeitures as they occur using the modified retrospective approach. In addition, the Company is now required to present excess tax benefits (provisions) as operating activity (combined with other income tax cash flows) on the statements of cash flows rather than as financing activity and has elected to adopt this change prospectively.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amendment is effective for public business entities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Company is evaluating the effect this ASU may have on its consolidated financial statements.</w:t>
      </w:r>
    </w:p>
    <w:p>
      <w:pPr>
        <w:spacing w:after="0" w:line="162" w:lineRule="exact"/>
        <w:rPr>
          <w:sz w:val="20"/>
          <w:szCs w:val="20"/>
          <w:color w:val="auto"/>
        </w:rPr>
      </w:pPr>
    </w:p>
    <w:p>
      <w:pPr>
        <w:ind w:right="9620" w:firstLine="8"/>
        <w:spacing w:after="0" w:line="604" w:lineRule="auto"/>
        <w:tabs>
          <w:tab w:leader="none" w:pos="18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Combinations</w:t>
      </w:r>
    </w:p>
    <w:p>
      <w:pPr>
        <w:spacing w:after="0"/>
        <w:rPr>
          <w:sz w:val="20"/>
          <w:szCs w:val="20"/>
          <w:color w:val="auto"/>
        </w:rPr>
      </w:pPr>
      <w:r>
        <w:rPr>
          <w:rFonts w:ascii="Arial" w:cs="Arial" w:eastAsia="Arial" w:hAnsi="Arial"/>
          <w:sz w:val="18"/>
          <w:szCs w:val="18"/>
          <w:b w:val="1"/>
          <w:bCs w:val="1"/>
          <w:i w:val="1"/>
          <w:iCs w:val="1"/>
          <w:color w:val="auto"/>
        </w:rPr>
        <w:t>PDA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24, 2017 (the “Acquisition Date”), the Company completed the acquisition of 90% of the outstanding stock of PDA, a privately-owned Chilean corporation, for $5,800,000 in cash (the “Acquisition”). PDA also had approximately $1,700,000 in long-term debt on the Acquisition Date, which was assumed by the Company in the Acquisition. A holdback of 10% of the purchase proceeds to be paid to the seller was withheld for a six-month period to allow for potential contingencies as defined in the purchase agreement. PDA is a 200-acre lemon and orange orchard located near La Serena, Chile. PDA’s total assets of $9,451,000 on the Acquisition Date included a 13% equity interest in Rosales S.A. (“Rosales”) in which the Company owns a 35% equity investment. After the Acquisition, the Company owns 47% of Rosales and PDA’s 10% stockholder owns the remaining 53% of Rosales. Rosales packs and sells all of PDA’s citrus production. PDA had approximately $450,000 of net income on approximately $1,900,000 in sales for the year ended December 31, 2016. Transactions costs incurred in connection with the Acquisition in 2017 were approximately $57,000, which are included in selling, general and administrative expense.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2017, a third-party valuation of the fair value of the net assets was finalized, which resulted in a $193,000 increase in investment in Rosales with a corresponding decrease in goodwill and increase in deferred income taxes. Additionally, a $94,000 reduction in the purchase price was agreed upon per the terms of the purchase agreement with corresponding decreases in goodwill and noncontrolling interest. The Company received the $94,000 in August 2017. Below is a summary of the fair value of the net assets acquired on the Acquisition Date based on the third-party valuation, which is considered a Level 3 fair value measurement under FASB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(in thousands):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00" w:firstLine="8"/>
        <w:spacing w:after="0" w:line="604" w:lineRule="auto"/>
        <w:tabs>
          <w:tab w:leader="none" w:pos="18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(continued) Business Combinations (continued)</w:t>
      </w:r>
    </w:p>
    <w:p>
      <w:pPr>
        <w:spacing w:after="0"/>
        <w:rPr>
          <w:sz w:val="20"/>
          <w:szCs w:val="20"/>
          <w:color w:val="auto"/>
        </w:rPr>
      </w:pPr>
      <w:r>
        <w:rPr>
          <w:rFonts w:ascii="Arial" w:cs="Arial" w:eastAsia="Arial" w:hAnsi="Arial"/>
          <w:sz w:val="18"/>
          <w:szCs w:val="18"/>
          <w:color w:val="auto"/>
        </w:rPr>
        <w:t>Cultural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right="1300"/>
        <w:spacing w:after="0" w:line="250" w:lineRule="auto"/>
        <w:rPr>
          <w:sz w:val="20"/>
          <w:szCs w:val="20"/>
          <w:color w:val="auto"/>
        </w:rPr>
      </w:pPr>
      <w:r>
        <w:rPr>
          <w:rFonts w:ascii="Arial" w:cs="Arial" w:eastAsia="Arial" w:hAnsi="Arial"/>
          <w:sz w:val="18"/>
          <w:szCs w:val="18"/>
          <w:color w:val="auto"/>
        </w:rPr>
        <w:t>Land and land improvements Buildings and equipment Orchards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in Rosales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 for land purchase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and long-term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paid</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1,120</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9,451</w:t>
            </w:r>
          </w:p>
        </w:tc>
        <w:tc>
          <w:tcPr>
            <w:tcW w:w="6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(1,964)</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(1,026)</w:t>
            </w: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(633)</w:t>
            </w:r>
          </w:p>
        </w:tc>
      </w:tr>
      <w:tr>
        <w:trPr>
          <w:trHeight w:val="223"/>
        </w:trPr>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-2263140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-1988820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-1714500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-1440180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-1165860</wp:posOffset>
            </wp:positionV>
            <wp:extent cx="72466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-874395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-599440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-325120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720"/>
            <w:col w:w="7280"/>
          </w:cols>
          <w:pgMar w:left="240" w:top="904" w:right="239" w:bottom="1440" w:gutter="0" w:footer="0" w:header="0"/>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of $1,059,000 and net loss of $415,000 of PDA are included in the Company’s consolidated statement of operations from the Acquisition Date to the period ended October 31, 2017.</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unaudited, pro forma consolidated statement of operations as if PDA had been included in the consolidated results of the Company for the years ended October 31, 2017 and 2016 results in revenues of $121,920,000 and $113,678,000, respectively, and net income of $6,654,000 and $8,586,000,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completed the acquisition of 157 acres of lemon, orange and specialty citrus orchards in California’s San Joaquin Valley for $3,389,000. The orchards were acquired pursuant to purchase options contained in certain operating leases the Company had been a party to since 2012 covering approximately 1,000 acres of lemon, orange and specialty citrus and other crops, which the Company refers to as the Sheldon Ranch leases. This acquisition was accounted for as an asset purchase and included in property, plant and equipment in the Company’s consolidated balance sheet at October 31, 2015.</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2015, the Company entered into a purchase agreement to acquire 757 acres of lemon, orange and specialty citrus orchards in California’s San Joaquin Valley, for $15,148,000. The orchards were acquired pursuant to purchase options contained in the Sheldon Ranches operating leases. The Company paid a deposit of $50,000 in September 2015 and escrow closed in December 2015, at which time the remaining $15,098,000 was paid. This acquisition was accounted for as an asset purchase and included in property, plant and equipment in the Company’s consolidated balance sheet since the acquisition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the FASB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October 31, 2017 and 2016 that are measured on a recurring basis during the period, segregated by level within the fair value hierarchy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22,110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Derivative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17,745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17,745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Derivative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Available-for-sale securities consist of marketable securities in Calavo common stock. At October 31, 2017 and 2016, respectively, the Company owned 300,000 shares representing approximately 1.7% of Calavo’s outstanding common stock. These securities are measured at fair value by quoted market prices. Calavo’s stock price at October 31, 2017 and 2016 was $73.70 and $59.15 per share,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consists of an interest rate swap; the fair value is estimated using industry-standard valuation models. Such models project future cash flows and discount the future amounts to a present value using market-based observable inputs.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 at October 31 (in thousands):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Prepaid supplies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Lemon supplier advances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Deposits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expense and other</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Real estate development held for sale</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 at October 31 (in thousands):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78,856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Land improvements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26,289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Equipment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47,223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Orchards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18,867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248,650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(60,425)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20" w:type="dxa"/>
            <w:vAlign w:val="bottom"/>
            <w:vMerge w:val="restart"/>
          </w:tcPr>
          <w:p>
            <w:pPr>
              <w:jc w:val="right"/>
              <w:ind w:right="1830"/>
              <w:spacing w:after="0"/>
              <w:rPr>
                <w:sz w:val="20"/>
                <w:szCs w:val="20"/>
                <w:color w:val="auto"/>
              </w:rPr>
            </w:pPr>
            <w:r>
              <w:rPr>
                <w:rFonts w:ascii="Arial" w:cs="Arial" w:eastAsia="Arial" w:hAnsi="Arial"/>
                <w:sz w:val="18"/>
                <w:szCs w:val="18"/>
                <w:b w:val="1"/>
                <w:bCs w:val="1"/>
                <w:color w:val="auto"/>
              </w:rPr>
              <w:t>78</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vMerge w:val="continue"/>
          </w:tcPr>
          <w:p>
            <w:pPr>
              <w:spacing w:after="0"/>
              <w:rPr>
                <w:sz w:val="24"/>
                <w:szCs w:val="24"/>
                <w:color w:val="auto"/>
              </w:rPr>
            </w:pPr>
          </w:p>
        </w:tc>
        <w:tc>
          <w:tcPr>
            <w:tcW w:w="772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$6,370,000, $5,243,000 and $4,086,000 for fiscal years 2017, 2016 and 2015, respectively.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Windfall is an approximately 700-acre former thoroughbred breeding farm and equestrian facility located in Creston, California, near Paso Robles, California. During fiscal years 2014 and 2015, the Company planted approximately 200 acres of vineyards and an additional 100 acres in fiscal year 2017. Vineyards are generally productive after four years. During the fourth quarter of fiscal year 2016, the vineyards produced their first harvest from the 2014 planting, generating approximately 200 tons of grapes and $336,000 of revenue. The Company generally expects to sell vineyard production by the ton to various wineries with current per ton prices of approximately $1,500 depending on the grape variety and other factors. Based on management’s reassessment of the strategic and operational plans for the Windfall property and concurrent with the first harvest in October 2016, the Company re-purposed Windfall from a real estate development project to an agricultural ranch and reclassified $26,779,000 of real estate development assets to property, plant and equipment. The reclassified assets consist of land, buildings and improvements, vineyards and construction in process of $16,161,000, $4,746,000, $2,273,000 and $3,599,000, respectively. Accordingly, Windfall was reclassified to the other agribusiness reportable segment from the real estate development segment in October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Real estate development assets are comprised primarily of land and land development costs and consist of the following at October 31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East Areas I and II</w:t>
            </w:r>
          </w:p>
        </w:tc>
        <w:tc>
          <w:tcPr>
            <w:tcW w:w="3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Templeton Santa Barbara, LLC</w:t>
            </w: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Areas I and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During fiscal years 2017 and 2016, the Company capitalized $8,403,000 and $6,870,000, respectively, of costs related to these real estate development projects. Additionally, in connection with these projects, the Company incurred expenses of $113,000, $1,161,000 and $21,000 in fiscal years 2017, 2016 and 2015, respectively.</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 comprised of a $2,000,000 deposit received in September 2015 and $18,000,000 received on the Transaction Date. The Company received net cash of approximately $18,800,000 after transaction costs of approximately $1,200,000, which were expensed in the first quarter of fiscal year 2016. In addition, on the Transaction Date, the Company incurred a Success Fee with Parkstone Companies, Inc., in the amount of $2,100,000, which was paid on January 28, 2016 and capitalized as a component of the Company’s investment in the East Area I property.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the Transaction Date, the LLC and Lewis also entered into a limited liability company agreement (the “LLC Agreement”) providing for the admittance of Lewis as a 50% member of the Joint Venture. The LLC Agreement provides that Lewis will serve as the manager of the Joint Venture with the right to manage, control, and conduct its day-to-day business and development activities. Certain major decisions, which are enumerated in the LLC Agreement, require approval by an executive committee comprised of two representatives appointed by Lewis and two representatives appointed by the Company.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LLC Agreement, the Joint Venture will own, develop, subdivide, entitle, maintain, improve, hold for investment, market and dispose of the Joint Venture’s property in accordance with the business plan and budget approved by the executive committee.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8320" w:firstLine="8"/>
        <w:spacing w:after="0" w:line="566" w:lineRule="auto"/>
        <w:tabs>
          <w:tab w:leader="none" w:pos="18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East Areas I and II (continued)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on the Transaction Date, the Joint Venture and the Company entered into a Lease Agreement (the "Lease Agreement"), pursuant to which the Joint Venture will lease certain of the contributed East Area I property back to the Company for continuation of agricultural operations, and certain other permitted uses, on the property until the Joint Venture requires the property for development. The Lease will terminate in stages corresponding to the Joint Venture's development of the property, which is to occur in stages pursuant to a phased master development plan. In any event, the Lease will terminate five years from the Transaction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Company’s sale of an interest in the LLC in which the Company’s contributed property comprises the LLC’s primary asset, combined with the Lease Agreement is considered a sale-leaseback transaction under </w:t>
      </w:r>
      <w:r>
        <w:rPr>
          <w:rFonts w:ascii="Arial" w:cs="Arial" w:eastAsia="Arial" w:hAnsi="Arial"/>
          <w:sz w:val="17"/>
          <w:szCs w:val="17"/>
          <w:i w:val="1"/>
          <w:iCs w:val="1"/>
          <w:color w:val="auto"/>
        </w:rPr>
        <w:t>FASB ASC 840, Leases</w:t>
      </w:r>
      <w:r>
        <w:rPr>
          <w:rFonts w:ascii="Arial" w:cs="Arial" w:eastAsia="Arial" w:hAnsi="Arial"/>
          <w:sz w:val="17"/>
          <w:szCs w:val="17"/>
          <w:color w:val="auto"/>
        </w:rPr>
        <w:t xml:space="preserve"> because of the Company’s continuing involvement in the property in the form of its agricultural operations. Accordingly, the property continues to be carried on the consolidated balance sheet as real estate development, rather than being classified as an equity investment and a sale-leaseback deferral has been recorded for the $20,000,000 payment made by Lewis for the purchase of the LLC interest. Lease expense associated with the Lease Agreement is not required under sale-leaseback accounting since the Company is treated as though it continues to own the property. During the year ended October 31, 2017 and 2016, the Company recorded $7,047,000 and $3,349,000, respectively, of real estate development costs and corresponding increases in the sale-leaseback deferral to recognize real estate development costs capitalized by the LLC. There are no repayment requirements for the sale-leaseback deferral and as the Lease Agreement is terminated in connection with the staged development of the property, a corresponding amount of real estate development and the sale-leaseback deferral will be adjusted to equity investments on the consolidated balance sheets.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LLC Agreement, the Company is to be reimbursed $250,000 by the Joint Venture on February 1, 2018 for Initial Public Safety Facility Payments made to the City of Santa Paula in October 2015. This amount is included in prepaid expenses and other current assets in the consolidated balance sheets. Additionally, beginning March 2016, the Company leases office space to Lewis and received rental income of $16,000 and $12,000 for the years ended October 31, 2017 and 2016,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determined the Joint Venture to be a Variable Interest Entity (“VIE”) under </w:t>
      </w:r>
      <w:r>
        <w:rPr>
          <w:rFonts w:ascii="Arial" w:cs="Arial" w:eastAsia="Arial" w:hAnsi="Arial"/>
          <w:sz w:val="18"/>
          <w:szCs w:val="18"/>
          <w:i w:val="1"/>
          <w:iCs w:val="1"/>
          <w:color w:val="auto"/>
        </w:rPr>
        <w:t>ASC 810, Consolidation,</w:t>
      </w:r>
      <w:r>
        <w:rPr>
          <w:rFonts w:ascii="Arial" w:cs="Arial" w:eastAsia="Arial" w:hAnsi="Arial"/>
          <w:sz w:val="18"/>
          <w:szCs w:val="18"/>
          <w:color w:val="auto"/>
        </w:rPr>
        <w:t xml:space="preserve"> because the Joint Venture will require additional subordinated financial support to finance its operations. The Company further determined that it is not the primary beneficiary of the VIE, as the Company and Lewis have joint control over all significant decisions affecting the Joint Venture’s economic performance. Accordingly, contributions made by the Company to the LLC, the Company’s proportionate share of the Joint Venture’s results of operations and distributions received by the Company from the LLC will be accounted for under the equity method of accounting. The Joint Venture partners will share in capital contributions to fund project costs until loan proceeds and/or revenues are sufficient to fund the project. The Company made contributions of $7,450,000 and $2,275,000 for the years ended October 31, 2017 and 2016, respectively.</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facilitating the annexation of the East Area I property into the City of Santa Paula, during February 2013, the Company entered into a Capital Improvement Cost Sharing Agreement for Improvements to Santa Paula Creek Channel (the “Cost Sharing Agreement”) with the Ventura County Watershed Protection District (the “District”). The Cost Sharing Agreement requires the Company to reimburse the District 28.5% of the costs of the improvements, up to a maximum of $5,000,000. Additionally, the Company is required to pay the cost of preparing a study to determine a feasible scope of work and budget for the improvements. No cost reimbursements have been incurred to date in relation to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Templeton Santa Barbara, LLC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 estate development parcels within the Templeton Santa Barbara, LLC project (“Templeton Project”) are described as Centennial Square (“Centennial”), The Terraces at Pacific Crest (“Pacific Crest”), and Sevilla. The net carrying values of Centennial, Pacific Crest and Sevilla at October 31, 2017 were $2,983,000, $3,250,000 and $4,686,000, respectively, and as of October 31, 2016 were $2,983,000, $3,370,000 and $4,686,000, respectively. These projects were idle during 2017 and 2016 and, as such, no costs were capitalized. Additionally, in relation to these projects, the Company incurred expenses of $172,000, $174,000 and $167,000 in fiscal years 2017, 2016 and 2015, respectively. Additionally, the Company recognized an impairment charge of $120,000 related to Pacific Crest in fiscal year 2017.</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8040" w:firstLine="8"/>
        <w:spacing w:after="0" w:line="566" w:lineRule="auto"/>
        <w:tabs>
          <w:tab w:leader="none" w:pos="18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Templeton Santa Barbara, LLC (continued)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the Company entered an agreement to sell its Centennial property for $3,200,000. This transaction was cancelled in October 2017 because the buyer was unsuccessful in arranging financing and the Company recognized $100,000 of other income from the non-refundable deposit. In October 2017, the Company entered an agreement with another buyer to sell Centennial for $3,250,000. This transaction closed in December 2017 with the Company receiving net proceeds of $179,000 and issuing a $3,000,000 promissory note secured by the property for the balance of the purchase price. The promissory note matures June 2018 but provides for potential extensions to December 2019. After transaction costs, the sale resulted in a gain of $196,000, which will be deferred until repayment of the promissory note.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2017, the Company entered an agreement to sell the commercial portion of its Sevilla project for $1,452,000. This transaction closed in November 2017 and the Company recognized a gain of $10,000.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entered an agreement to sell Pacific Crest for $3,500,000. After transaction costs, the Company expects to recognize a gain of $40,000.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October 31, 2017, the $2,983,000 carrying value of Centennial and the $1,354,000 carrying value of the commercial portion of Sevilla were classified as held for sale and included in prepaid expenses and other current assets. Additionally, at October 31, 2017, the $3,250,000 carrying value of Pacific Crest and the $3,332,000 carrying value of the residential portion of Sevilla were classified as real estate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Windfall Investors, LLC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2016, the Company re-purposed Windfall Farms from a real estate development project to an agricultural ranch and reclassified $26,779,000 of real estate development assets to property, plant and equipment.</w:t>
      </w:r>
    </w:p>
    <w:p>
      <w:pPr>
        <w:spacing w:after="0" w:line="166" w:lineRule="exact"/>
        <w:rPr>
          <w:sz w:val="20"/>
          <w:szCs w:val="20"/>
          <w:color w:val="auto"/>
        </w:rPr>
      </w:pPr>
    </w:p>
    <w:p>
      <w:pPr>
        <w:ind w:right="9740" w:firstLine="8"/>
        <w:spacing w:after="0" w:line="566" w:lineRule="auto"/>
        <w:tabs>
          <w:tab w:leader="none" w:pos="18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Equity Investments Limco Del Mar, Ltd.</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 1.3% interest in Limco Del Mar, Ltd. (“Del Mar”) as a general partner and a 26.8% interest as a limited partner. In October 2016, the Company purchased 14,468 units of Del Mar for $940,000, increasing our prior-year 22.1 % interest as a limited partner. The Company paid $615,000 in October 2016 and $325,000 in November 2016 for these additional units. Based on the terms of the partnership agreement, the Company may be removed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Del Mar with farm management, orchard land development and accounting services and received expense reimbursements of $146,000, $146,000 and $150,000 in fiscal years 2017, 2016 and 2015, respectively. Del Mar markets lemons through the Company pursuant to its customary marketing agreements and the amount of lemons procured from Del Mar was $2,271,000, $2,002,000 and $1,904,000 in fiscal years 2017, 2016 and 2015, respectively. Fruit proceeds due to Del Mar were $912,000 and $791,000 at October 31, 2017 and 2016, respectively, and are included in grower’s payable in the accompanying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Romney Property Partnership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2007, the Company and an individual formed the Romney Property Partnership (“Romney”) for the purpose of owning and leasing an office building and adjacent lot in Santa Paula, California. The Company paid $489,000 in 2007 for 75% interest in Romney, and contributed zero, zero and $9,000 to the partnership in fiscal years 2017, 2016 and 2015, respectively.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8820" w:firstLine="8"/>
        <w:spacing w:after="0" w:line="503" w:lineRule="auto"/>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Investments (continued) Rosales S.A.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14, 2014, through its wholly owned subsidiary, Limoneira Chile SpA, the Company invested $1,750,000 for a 35% interest in Rosales S.A, (“Rosales”), a citrus packing, marketing and sales business located in La Serena, Chile. The Company’s investment included certain preferred interest provisions through December 31, 2016, including cash distributions of the 50% and 40% of the net income of Rosales for the years ending December 31, 2014 and 2015, respectively, as well as a liquidation preference on its investment. In addition, the Company has the right to acquire the interest of the majority shareholder of Rosales upon death or disability of Rosales’ general manager for the fair value of the interest on the date of the event as defined in the shareholders’ agreement. In February 2017, the Company acquired an additional 12% ownership interest in Rosales with the purchase of PDA as described in Note 3 – Acquisitions.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the Company has significant influence, but less than a controlling interest, the Company’s investment in Rosales is accounted for using the equity method of accounting.</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(losses) of investments. Amortization amounted to $290,000, $208,000 and $208,000 for fiscal year 2017, 2016 and 2015, respectively, and is estimated to be approximately $337,000 per year through October 31, 2018 and $180,000 per year for years ending October 31, 2019 through October 31,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Note 7 – Real Estate Development, on November 10, 2015, the Company entered into a joint venture with The Lewis Group of Companies for the residential development of its East Area I real estate development project.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Investments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unaudited financial information of the equity method investees for fiscal years 2017, 2016 and 2015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Del Mar</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Romney</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Rosales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LLC</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1,853</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291</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2,144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680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62,108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64,849</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4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680</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62,399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2,553</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966</w:t>
            </w: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10,192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11,276</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47,332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2,719</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2,755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690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47,296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50,811</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4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690</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3,452</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6,979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652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1,113</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1,113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652</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24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652</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2,817</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876</w:t>
            </w: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and equity in earnings (losses) of the equity method investees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Del Mar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Romney</w:t>
            </w:r>
          </w:p>
        </w:tc>
        <w:tc>
          <w:tcPr>
            <w:tcW w:w="2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Rosales</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LLC</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balance October 31, 2014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earnings (losses)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Investment contributions</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balance October 31, 2015</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earnings (losses)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Investment contributions</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2,275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3,215</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balance October 31, 2016</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2,275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earnings (losses)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Investment contributions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7,450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8,470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balance October 31, 2017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9,634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83</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 in Calavo Growers,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2005, the Company entered into a stock purchase agreement with Calavo. Pursuant to this agreement, the Company purchased 1,000,000 shares, or approximately 6.9%, of Calavo’s common stock for $10,000,000 and Calavo purchased 1,728,570 shares, or approximately 15.1%, of the Company’s common stock for $23,450,000. Under the terms of the agreement, the Company received net cash consideration of $13,450,000. The Company has classified its Calavo investment as available-for-sale.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2009, the Company sold 335,000 shares of Calavo stock for a total of $6,079,000, recognizing a gain of $2,729,000. In fiscal year 2013, the Company sold 165,000 shares to Calavo for a total of $4,788,000, recognizing a gain of $3,138,000. In fiscal year 2015, the Company sold 140,000 shares for a total of $6,433,000, recognizing a gain of $5,033,000. In June and July 2016, the Company sold 60,000 shares, in aggregate, for a total of $4,019,000, recognizing a gain of $3,419,000. These gains are included in other income in the consolidated statements of operations. The Company continues to own 300,000 shares of Calavo common stock.</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changes in the fair value of the available-for-sale securities result in unrealized holding gains or losses on shares held by the Company and reclassifications of unrealized gains on securities sold by the Company. In fiscal year 2017, the Company recorded unrealized holding gains of $4,365,000 ($2,643,000 net of tax). In fiscal year 2016, the Company recorded unrealized holding gains of $2,668,000 ($1,619,000 net of tax) and reclassification of unrealized gain on security sold of $2,830,000 ($1,719,000 net of tax). In fiscal year 2015, the Company recorded unrealized holding gains of $487,000 ($273,000 net of tax) and reclassification of unrealized gain on security sold of $4,850,000 ($2,932,000 net of tax).</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10. Other Assets</w:t>
            </w: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Other assets consist of the following at October 31 (in thousands):</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68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mutual water companies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Acquired water and mineral rights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2,655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Deposit for land purchase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Deferred lease assets and other</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Revolving funds and memberships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Acquired trade names and trademarks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876</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r>
      <w:tr>
        <w:trPr>
          <w:trHeight w:val="223"/>
        </w:trPr>
        <w:tc>
          <w:tcPr>
            <w:tcW w:w="668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Water and Mineral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Acquired water and mineral rights are indefinite-life intangible assets not subject to amortization.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Assets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lease assets and other as of October 31, 2017 and 2016 includes $146,000 and $373,000 of deferred rent assets and prepaid lease amounts on pollination equipment of $55,000 and $79,000, respectively.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deferred lease assets and other as of October 31, 2017 and 2016 includes a patent for an agricultural variety with a carrying value of $84,000 and $97,000, respectively, net of accumulated amortization of $138,000 and $125,000, respectively. Amortization expense associated with the patent was $13,000 for each of the fiscal years 2017, 2016 and 2015. The Company will amortize $13,000 each year for fiscal years 2018 through 2021 related to its patent.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9240" w:firstLine="8"/>
        <w:spacing w:after="0" w:line="566" w:lineRule="auto"/>
        <w:tabs>
          <w:tab w:leader="none" w:pos="27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Other Assets (continued) Note Receivable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year 2004, the Company sold a parcel of land in Morro Bay, California that the buyers operate as an avocado orchard. The sale was recognized under the installment method and the resulting gain on the sale of $161,000 was deferred. In connection with the sale, the Company recorded a note receivable of $4,263,000. The note is subordinate to bank financing. Principal of $2,963,000 and interest was paid in April 1, 2005 and $112,000 of the deferred gain was recognized as income at that time. The remaining principal balance of $1,300,000 and the related accrued interest was initially payable in April 1, 2009; however, the Company and the note holder executed a note extension agreement in March 2009 extending the due date of note until April 1, 2014, which was subsequently extended to April 2020.</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fiscal year 2015, an affiliate of the note holder completed drilling five water wells at certain of the Company’s agricultural properties as non-cash payments on the note. The fair value of the well drilling services was $1,535,000 and the Company recorded a reduction of the note comprised of $711,000 of principal and $824,000 in accrued interest. Additionally, the Company recognized $27,000 of gain in fiscal year 2015. On August 8, 2017, the note holder made a $10,000 principle payment and the Company and the note holder agreed to extend the maturity date of the note to April 1, 2028 and modify certain of its terms. The modified terms provide for non-cash payments over the term of the note in the form of well drilling services by the note holder’s affiliate, revising the interest rate from LIBOR plus 3.5% to a fixed rate of 4% and require annual interest payments until the maturity date. Combined principal and accrued interest was $625,000 and $612,000 at October 31, 2017 and 2016, respectively. Interest income was $23,000, $23,000, and $40,000 in fiscal years 2017, 2016 and 2015, respectively. The deferred gain was $22,000 at October 31, 2017 and 2016,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2017, the note holder’s affiliate completed well drilling services that resulted in a non-cash reduction in the note of $68,000.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Funds and Memberships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Revolving funds and memberships represent the Company’s investments in various cooperative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Trade Names, Trademarks and Goodwill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acquired $486,000 of trade names and trademarks and $680,000 of goodwill in its acquisition of Associated in September 2013. Tradenames and trademarks are being amortized over eight years and the Company will amortize $60,000 each year for fiscal years 2017 through 2021. Additionally, the Company acquired $160,000 of customer relationships with the acquisition of the Yuma packinghouse in June 2014. Customer relationships are being amortized over five years and the Company will amortize the remaining balance of $24,000 in fiscal year 2018. Accumulated amortization for tradenames, trademarks and customer relationships was $390,000 and $304,000 as of October 31, 2017 and 2016, respectively. Amortization expense for tradenames, trademarks and customer relationships was $85,000, $83,000 and $85,000 in fiscal years 2017, 2016 and 2015, respectively. Additionally, the Company recognized a fair value adjustment to customer relationships and recorded a $20,000 increase in agribusiness costs and expenses in fiscal year 2016. In February 2017 the Company acquired $196,000 of goodwill with the purchase of PDA.</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tcPr>
          <w:p>
            <w:pPr>
              <w:ind w:left="4660"/>
              <w:spacing w:after="0"/>
              <w:rPr>
                <w:sz w:val="20"/>
                <w:szCs w:val="20"/>
                <w:color w:val="auto"/>
              </w:rPr>
            </w:pPr>
            <w:r>
              <w:rPr>
                <w:rFonts w:ascii="Arial" w:cs="Arial" w:eastAsia="Arial" w:hAnsi="Arial"/>
                <w:sz w:val="18"/>
                <w:szCs w:val="18"/>
                <w:b w:val="1"/>
                <w:bCs w:val="1"/>
                <w:color w:val="auto"/>
              </w:rPr>
              <w:t>LIMONEIRA COMPANY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00" w:type="dxa"/>
            <w:vAlign w:val="bottom"/>
          </w:tcPr>
          <w:p>
            <w:pPr>
              <w:ind w:left="4120"/>
              <w:spacing w:after="0"/>
              <w:rPr>
                <w:sz w:val="20"/>
                <w:szCs w:val="20"/>
                <w:color w:val="auto"/>
              </w:rPr>
            </w:pPr>
            <w:r>
              <w:rPr>
                <w:rFonts w:ascii="Arial" w:cs="Arial" w:eastAsia="Arial" w:hAnsi="Arial"/>
                <w:sz w:val="18"/>
                <w:szCs w:val="18"/>
                <w:color w:val="auto"/>
              </w:rPr>
              <w:t>Notes to Consolidated Financial Statements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11. Accrued Liabilities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at October 31 (in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Property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Deferred rental income and deposits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Lease expense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Lemon supplier payables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and other</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Long-Term Debt</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Long-term debt is comprised of the following at October 31 (in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Farm Credit West revolving and non-revolving lines of credit: the interest rate is variable based on the one-month</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w w:val="94"/>
              </w:rPr>
              <w:t>London Interbank Offered Rate (“LIBOR”), which was 1.23% at October 31, 2017, plus 1.85%. Interest is payable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monthly and the principal is due in full on July 1, 2022.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74,556</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Rabobank revolving credit facility: the loan was repaid in June 2017 with proceeds from the Farm Credit West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revolving and non-revolving lines of credit as noted below.</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Farm Credit West term loan: the interest rate is variable and was 3.70% at October 31, 2017. The loan is payable in</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quarterly installments through November 2022.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3,155</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Farm Credit West term loan: the interest rate is variable and was 3.70% at October 31, 2017. The loan is payable in</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monthly installments through October 2035.</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Farm Credit West term loan: the interest rate is fixed at 4.70%. The loan is payable in monthly installments though</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March 2036.</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9,504</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Farm Credit West term loan: the interest rate is fixed at 3.62% until March 2021, becoming variable for the</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the loan. The loan is payable in monthly installments though March 2036.</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7,083</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Wells Fargo term loan: the interest rate is fixed at 3.58%. The loan is payable in monthly installments through</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January 2023.</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Banco de Chile term loan: the interest rate is fixed at 6.48%. The loan is payable in annual installments through</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January 2025.</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Subtotal</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financing costs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long-term debt, net</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20, 2017, the Company entered into a Master Loan Agreement (the “Loan Agreement”) with Farm Credit West, FLCA (“Farm Credit West”) which includes a Revolving Credit Supplement and a Non-revolving Credit Supplement (the “Supplements”).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Supplements provide aggregate borrowing capacity of $100,000,000 comprised of $60,000,000 under the Revolving Credit Supplement and $40,000,000 under the Non-Revolving Credit Supplement. The interest rate for any amount outstanding under the Supplements is based on the one-month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the Company has the option to convert the interest rate in use under each Supplement from the preceding LIBOR-based calculation to a variable interest rate, or the reverse, as applicable. Any amounts outstanding under the Supplements are due and payable in full on July 1, 2022. The Company may prepay any amounts outstanding under the Supplements without penalty.</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indebtedness under the Loan Agreement, including any indebtedness under the Supplements, is secured by a first lien on certain of the Company’s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 Proceeds from the Supplements were used to pay down all the remaining outstanding indebtedness under the revolving credit facility the Company had with Rabobank, N.A.</w:t>
      </w:r>
    </w:p>
    <w:p>
      <w:pPr>
        <w:sectPr>
          <w:pgSz w:w="11900" w:h="16838" w:orient="portrait"/>
          <w:cols w:equalWidth="0" w:num="1">
            <w:col w:w="11420"/>
          </w:cols>
          <w:pgMar w:left="240" w:top="905" w:right="239" w:bottom="0" w:gutter="0" w:footer="0" w:header="0"/>
        </w:sectPr>
      </w:pPr>
    </w:p>
    <w:bookmarkStart w:id="87" w:name="page88"/>
    <w:bookmarkEnd w:id="87"/>
    <w:p>
      <w:pPr>
        <w:jc w:val="center"/>
        <w:ind w:right="-40"/>
        <w:spacing w:after="0"/>
        <w:rPr>
          <w:sz w:val="20"/>
          <w:szCs w:val="20"/>
          <w:color w:val="auto"/>
        </w:rPr>
      </w:pPr>
      <w:r>
        <w:rPr>
          <w:rFonts w:ascii="Arial" w:cs="Arial" w:eastAsia="Arial" w:hAnsi="Arial"/>
          <w:sz w:val="16"/>
          <w:szCs w:val="16"/>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Supplements provide for maximum borrowings of $100,000,000 and the borrowing capacity based on collateral value was $100,000,000 at October 31,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paid and capitalized debt financing costs of $108,000 related to the Loan Agreement and expensed $45,000 of capitalized debt financing costs related to the Rabobank revolving credit facility.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20, 2016, the Company entered into a $10,000,000 term loan with Wells Fargo Equipment Finance, Inc., which is secured by certain equipment associated with the Company’s new packing facilities. The loan includes a prepayment penalty of 2% of the unpaid balance for the first eighteen months, with no prepayment penalty thereafter.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16, 2016, the Company entered into a Promissory Note and Loan Agreement with Farm Credit West. The loan agreement provides for a term loan in the amount of $10,000,000 and a term loan in the amount of $7,500,000 (the “Term Loans”). The proceeds from the Term Loans were used to repay the Farm Credit West Line of Credit and pay down outstanding indebtedness.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Banco de Chile term loan was assumed with the acquisition of PDA in February 2017. The interest rate is fixed at 6.48%. The loan is payable in eight annual principal and interest payments beginning January 2018. This loan is unsecured.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$2,022,000 and $1,919,000 during the year ended October 31, 2017 and 2016, respectively. Capitalized interest is included in property, plant and equipment and real estate development assets in the Company’s consolidated balance sheets.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is $188,000 net of amortization and is included in long-term debt on the Company’s consolidated balance sheet at October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Principal payments on the Company’s long-term debt are due as follows (in thousands):</w:t>
            </w: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2019</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2021</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Thereafter</w:t>
            </w: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 consist of the following at October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6"/>
          </w:tcPr>
          <w:p>
            <w:pPr>
              <w:ind w:left="400"/>
              <w:spacing w:after="0"/>
              <w:rPr>
                <w:sz w:val="20"/>
                <w:szCs w:val="20"/>
                <w:color w:val="auto"/>
              </w:rPr>
            </w:pPr>
            <w:r>
              <w:rPr>
                <w:rFonts w:ascii="Arial" w:cs="Arial" w:eastAsia="Arial" w:hAnsi="Arial"/>
                <w:sz w:val="18"/>
                <w:szCs w:val="18"/>
                <w:b w:val="1"/>
                <w:bCs w:val="1"/>
                <w:color w:val="auto"/>
              </w:rPr>
              <w:t>Notional Amount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ind w:left="320"/>
              <w:spacing w:after="0"/>
              <w:rPr>
                <w:sz w:val="20"/>
                <w:szCs w:val="20"/>
                <w:color w:val="auto"/>
              </w:rPr>
            </w:pPr>
            <w:r>
              <w:rPr>
                <w:rFonts w:ascii="Arial" w:cs="Arial" w:eastAsia="Arial" w:hAnsi="Arial"/>
                <w:sz w:val="18"/>
                <w:szCs w:val="18"/>
                <w:b w:val="1"/>
                <w:bCs w:val="1"/>
                <w:color w:val="auto"/>
              </w:rPr>
              <w:t>Fair Value Liability</w:t>
            </w:r>
          </w:p>
        </w:tc>
      </w:tr>
      <w:tr>
        <w:trPr>
          <w:trHeight w:val="223"/>
        </w:trPr>
        <w:tc>
          <w:tcPr>
            <w:tcW w:w="56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182"/>
        </w:trPr>
        <w:tc>
          <w:tcPr>
            <w:tcW w:w="5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Pay fixed-rate, receive floating-rate forward interest rate swap, beginning</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July 2013 until June 2018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r>
      <w:tr>
        <w:trPr>
          <w:trHeight w:val="648"/>
        </w:trPr>
        <w:tc>
          <w:tcPr>
            <w:tcW w:w="5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87</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 and Hedging Activities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2011, the Company entered into a forward interest rate swap agreement with Rabobank International, Utrecht to fix the interest rate at 4.30% on $40,000,000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income per common share is calculated using the weighted-average number of common shares outstanding during the period. Diluted net income per common share is calculated using the weighted-average number of common shares outstanding during the period plus the dilutive effect of conversion of preferred stock. The Series B and Series B-2 convertible preferred shares were anti-dilutive for fiscal years ended October 31, 2017, 2016 and 2015. The computations for basic net income per common share are as follows (in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jc w:val="right"/>
              <w:ind w:right="165"/>
              <w:spacing w:after="0"/>
              <w:rPr>
                <w:sz w:val="20"/>
                <w:szCs w:val="20"/>
                <w:color w:val="auto"/>
              </w:rPr>
            </w:pPr>
            <w:r>
              <w:rPr>
                <w:rFonts w:ascii="Arial" w:cs="Arial" w:eastAsia="Arial" w:hAnsi="Arial"/>
                <w:sz w:val="18"/>
                <w:szCs w:val="18"/>
                <w:b w:val="1"/>
                <w:bCs w:val="1"/>
                <w:color w:val="auto"/>
              </w:rPr>
              <w:t>Year ended October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common share: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Numerator: Net income applicable to common stock</w:t>
            </w:r>
          </w:p>
        </w:tc>
        <w:tc>
          <w:tcPr>
            <w:tcW w:w="18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6,035</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7,430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6,447</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common shares-basic</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14,168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14,119</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5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Unvested stock-based compensation awards that contain non-forfeitable rights to dividends as participating shares are included in computing earnings per share using the two-class method. The Company’s unvested, restricted stock awards qualify as participating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rents certain of its residential housing assets to employees on a month-to-month basis. The Company recorded $724,000, $749,000 and $622,000 of rental income from employees in fiscal years 2017, 2016 and 2015, respectively. There were no rental payments due from employees at October 31, 2017 and 2016.</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$1,230,000, $1,287,000 and $1,357,000 in fiscal years 2017, 2016 and 2015, respectively. Capital contributions are included in other assets in the Company’s consolidated balance sheets and purchased water and water delivery services are included in agribusiness expense in the Company’s consolidated statements of operations. Water payments due to the mutual water companies were, in aggregate, $141,000 and $131,000 at October 31, 2017 and 2016, respectively.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representation on the board of directors of a non-profit cooperative association that provides pest control services for the agricultural industry. The Company purchased services and supplies of $1,843,000, $1,659,000 and $1,567,000 from the association in fiscal years 2017, 2016 and 2015, respectively. Such amounts are included in agribusiness expense in the Company’s consolidated statements of operations. Payments due to the cooperative were $180,000 and $87,000 at October 31, 2017 and 2016, respectively.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an investment in and representation on the board of directors of Calavo and Calavo has an investment in and representation on the board of directors of the Company. The Company recorded dividend income of $270,000, $288,000 and $375,000 in fiscal years 2017, 2016 and 2015, respectively, on its investment in Calavo, which is included in other income, net, in the Company’s consolidated statements of operations. The Company paid $380,000, $346,000 and $311,000 of dividends to Calavo in fiscal years 2017, 2016 and 2015, respectively. The Company had $9,522,000, $10,767,000 and $7,132,000 in avocado sales to Calavo in fiscal years 2017, 2016 and 2015, respectively. Additionally, the Company had zero, zero and $67,000 in lemon sales to Calavo in fiscal years 2017, 2016 and 2015, respectively. Such amounts are included in agribusiness revenues in the Company’s consolidated statements of operations. The Company leases office space to Calavo and received rental income of $287,000, $279,000, and $272,000 in fiscal years 2017, 2016 and 2015, respectively. Such amounts are included in rental revenues in the Company’s consolidated statements of operations. No amounts were receivable by the Company from Calavo at October 31, 2017 or 2016. The Company purchased $276,000, $517,000 and $162,000 of storage services, packed avocados and lemons to sell from Calavo in fiscal years 2017, 2016 and 2015, respectively. Amounts due to Calavo at October 31, 2017 and 2016 were $163,000 and zero,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 (continued)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members of the Company’s board of directors market lemons through the Company pursuant to its customary marketing agreements. During fiscal years 2017, 2016 and 2015 the aggregate amount of lemons procured from entities owned or controlled by members of the board of directors was $2,441,000, $2,246,000 and $1,472,000, respectively, which is included in agribusiness expense in the Company’s consolidated statements of operations. Payments due to these Board members were $636,000 and $877,000 at October 31, 2017 and 2016, respectively. Additionally, the Company leases approximately 31 acres of orchards from entities affiliated with a member on the board of directors and incurred $23,000, $135,000 and $23,000 of lease expense related to these leases in fiscal years 2017, 2016 and 2015, respectively.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 2013, the Company and Cadiz Real Estate, LLC (“Cadiz”), a wholly 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will be equal to the sum of $200 per planted acre and 20% of gross revenues from the sale of harvested lemons (less operating expenses) and will not exceed $1,200 per acre per year. During fiscal years 2017, 2016 and 2015 respectively, $123,000, $92,000 and $58,000 of lease expense was incurred in connection with this lease. A member of the Company’s Board of Directors serves as the CEO, President and a member of the board of directors of Cadiz, Inc. Additionally, this board member is an attorney with a law firm that provided services of $90,000, $30,000 and $148,000 to the Company during the years ended October 31, 2017, 2016 and 2015, respectively. Payments due to the law firm were $62,000 and $6,000 at October 31, 2017 and 2016,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Payments due to Fenner were $61,000 and $25,000 at October 31, 2017 and October 31, 2016, respectively.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representation on the board of directors of Colorado River Growers, Inc. (“CRG”), a non-profit cooperative association of fruit growers engaged in the agricultural harvesting business in Yuma County, Arizona. The Company paid harvest and third-party grower expense to CRG of $3,959,000, $4,492,000 and $6,003,000 for the years ended October 31, 2017, 2016, and 2015 respectively. Such amounts are included in agribusiness expense in the Company’s consolidated financial statements. Additionally, Associated provided harvest management and administrative services to CRG in the amount of $476,000, $282,000, and $218,000 during the years ended October 31, 2017, 2016, and 2015 respectively. Such amounts are included in agribusiness revenues in the Company’s consolidated financial statements. There was $209,000 and $181,000 due to Associated from CRG at October 31, 2017 and October 31, 2016, respectively, which is included in accounts receivable in the Company’s consolidated balance sheets.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representation on the board of directors of Yuma Mesa Irrigation and Drainage District (“YMIDD”). In December 2013, Associated entered into an agreement, as amended in December 2014 and 2015, with YMIDD to participate in a Pilot Fallowing Program in which Associated agreed to forego its water allocation for approximately 300 acres of land in exchange for $750 per acre through December 31, 2016, unless terminated sooner by YMIDD. In relation to this program the Company recorded income of $34,000, $201,000 and $210,000 during the years ended October 31, 2017, 2016 and 2015, respectively. In relation to this program, during the years ended October 31, 2017, 2016 and 2015, respectively, the Company recorded losses on orchard disposals of zero, zero and $160,000, respectively. These net amounts are included in other income, net in the Company’s consolidated statements of operations. Additionally, the Company purchased water in the amount of $76,000, $132,000 and $125,000 during fiscal years 2017, 2016 and 2015, respectively. Such amounts are included in agribusiness expenses in the Company’s consolidated statements of operations. There were no amounts receivable from YMIDD at October 31, 2017 and October 31, 2016. Amounts due to YMIDD at October 31, 2017 and October 31, 2016 were $10,000 and zero, respectively.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$1,038,000, $266,000 and $115,000 of lemon sales to Rosales in fiscal years 2017, 2016 and 2015, respectively. Additionally, PDA recognized $1,059,000 of lemon and orange sales to Rosales from the Acquisition Date to the period ended October 31, 2017. Such amounts are recorded in agribusiness revenues in the Company’s consolidated statements of operations. In fiscal years 2017, 2016 and 2015, the aggregate amount of lemons and oranges procured from Rosales was $4,283,000, $2,205,000 and $1,751,000, respectively. Amounts due from (payable to) Rosales were $101,000 and $(216,000) at October 31, 2017 and 2016, respectively. The Company recorded equity in (losses) earnings of this investment of $(9,000), $248,000 and $9,000 in fiscal years 2017, 2016 and 2015, respectively, and amortization of fair value basis differences of $290,000, $208,000 and $208,000 in fiscal years 2017, 2016 and 2015, respectively. The Company received cash distributions from this equity investment of $273,000, $56,000 and $54,000 in fiscal years 2017, 2016 and 2015,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income before income taxes for domestic and foreign locations for the years ended October 31, 2017, 2016 and 2015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3"/>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gridSpan w:val="6"/>
          </w:tcPr>
          <w:p>
            <w:pPr>
              <w:spacing w:after="0"/>
              <w:rPr>
                <w:sz w:val="20"/>
                <w:szCs w:val="20"/>
                <w:color w:val="auto"/>
              </w:rPr>
            </w:pPr>
            <w:r>
              <w:rPr>
                <w:rFonts w:ascii="Arial" w:cs="Arial" w:eastAsia="Arial" w:hAnsi="Arial"/>
                <w:sz w:val="18"/>
                <w:szCs w:val="18"/>
                <w:color w:val="auto"/>
                <w:w w:val="90"/>
              </w:rPr>
              <w:t>The components of the provisions for income taxes for fiscal years 2017, 2016 and 2015 are as follows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74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(1,217)</w:t>
            </w: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1,736</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(provision) benefit</w:t>
            </w:r>
          </w:p>
        </w:tc>
        <w:tc>
          <w:tcPr>
            <w:tcW w:w="2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(2,282)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(provision) benefit</w:t>
            </w:r>
          </w:p>
        </w:tc>
        <w:tc>
          <w:tcPr>
            <w:tcW w:w="2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provision</w:t>
            </w:r>
          </w:p>
        </w:tc>
        <w:tc>
          <w:tcPr>
            <w:tcW w:w="23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provision differs from the amount which would result from the statutory federal income tax rate primarily as a result of dividend exclusions, the domestic production activities deduction and state income taxes.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of temporary differences between the carrying amount of the assets and liabilities for financial reporting and income tax purposes. The components of deferred income tax assets (liabilities) at October 31, 2017 and 2016 are as follows (in thousands):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960" w:type="dxa"/>
            <w:vAlign w:val="bottom"/>
            <w:gridSpan w:val="2"/>
          </w:tcPr>
          <w:p>
            <w:pPr>
              <w:jc w:val="right"/>
              <w:ind w:right="2030"/>
              <w:spacing w:after="0"/>
              <w:rPr>
                <w:sz w:val="20"/>
                <w:szCs w:val="20"/>
                <w:color w:val="auto"/>
              </w:rPr>
            </w:pPr>
            <w:r>
              <w:rPr>
                <w:rFonts w:ascii="Arial" w:cs="Arial" w:eastAsia="Arial" w:hAnsi="Arial"/>
                <w:sz w:val="18"/>
                <w:szCs w:val="18"/>
                <w:b w:val="1"/>
                <w:bCs w:val="1"/>
                <w:color w:val="auto"/>
              </w:rPr>
              <w:t>LIMONEIRA COMPANY</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4960" w:type="dxa"/>
            <w:vAlign w:val="bottom"/>
            <w:gridSpan w:val="2"/>
          </w:tcPr>
          <w:p>
            <w:pPr>
              <w:jc w:val="right"/>
              <w:ind w:right="1490"/>
              <w:spacing w:after="0"/>
              <w:rPr>
                <w:sz w:val="20"/>
                <w:szCs w:val="20"/>
                <w:color w:val="auto"/>
              </w:rPr>
            </w:pPr>
            <w:r>
              <w:rPr>
                <w:rFonts w:ascii="Arial" w:cs="Arial" w:eastAsia="Arial" w:hAnsi="Arial"/>
                <w:sz w:val="18"/>
                <w:szCs w:val="18"/>
                <w:color w:val="auto"/>
                <w:w w:val="95"/>
              </w:rPr>
              <w:t>Notes to Consolidated Financial Statements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color w:val="auto"/>
              </w:rPr>
              <w:t>16. Income Taxes (continued)</w:t>
            </w:r>
          </w:p>
        </w:tc>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900" w:type="dxa"/>
            <w:vAlign w:val="bottom"/>
            <w:tcBorders>
              <w:bottom w:val="single" w:sz="8" w:color="CCEEFF"/>
            </w:tcBorders>
          </w:tcPr>
          <w:p>
            <w:pPr>
              <w:spacing w:after="0"/>
              <w:rPr>
                <w:sz w:val="24"/>
                <w:szCs w:val="24"/>
                <w:color w:val="auto"/>
              </w:rPr>
            </w:pPr>
          </w:p>
        </w:tc>
        <w:tc>
          <w:tcPr>
            <w:tcW w:w="46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Labor accruals</w:t>
            </w:r>
          </w:p>
        </w:tc>
        <w:tc>
          <w:tcPr>
            <w:tcW w:w="4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taxes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insurance and other</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w w:val="99"/>
              </w:rPr>
              <w:t>Impairments of real estate development assets</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3,147</w:t>
            </w: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Minimum pension liability adjustment</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2,207</w:t>
            </w:r>
          </w:p>
        </w:tc>
        <w:tc>
          <w:tcPr>
            <w:tcW w:w="80" w:type="dxa"/>
            <w:vAlign w:val="bottom"/>
          </w:tcPr>
          <w:p>
            <w:pPr>
              <w:spacing w:after="0"/>
              <w:rPr>
                <w:sz w:val="18"/>
                <w:szCs w:val="18"/>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9"/>
                <w:szCs w:val="19"/>
                <w:color w:val="auto"/>
              </w:rPr>
            </w:pPr>
          </w:p>
        </w:tc>
      </w:tr>
      <w:tr>
        <w:trPr>
          <w:trHeight w:val="210"/>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assets</w:t>
            </w:r>
          </w:p>
        </w:tc>
        <w:tc>
          <w:tcPr>
            <w:tcW w:w="4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liabilities: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Property taxes</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(11,644)</w:t>
            </w: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Unrealized net gain on Calavo investment</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(7,490)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(5,792)</w:t>
            </w: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Book and tax basis difference of acquired assets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(14,471)</w:t>
            </w: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(114)</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Net deferred income tax liabilities</w:t>
            </w:r>
          </w:p>
        </w:tc>
        <w:tc>
          <w:tcPr>
            <w:tcW w:w="46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(31,415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(25,328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October 31, 2017 and 2016, the Company had state net operating loss carry-forwards of approximately zero and $30,000, respectively.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income tax provision differs from that computed using the federal statutory rate applied to income before taxes as follows for fiscal years 2017, 2016 and 2015 ($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Provision at statutory rates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Dividend exclusion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Production deduction</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91</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excess tax deductions associated with the vesting of stock grants directly to stockholders’ equity when realized.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2017 and 2016, the Company had no unrecognized tax benefits. The Company reports accrued interest and penalties related to unrecognized tax benefits in income tax expense.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California, Arizona and Chile. The Company is no longer subject to significant U.S. and state income tax examinations for years prior to the statutory periods of three years for federal and four years for state tax jurisdictions. The Company recognizes interest expense and penalties related to income tax matters as a component of income tax expense. There was no accrued interest or penalties associated with uncertain tax positions as of October 31, 2017.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Tax Cut and Jobs Act was signed into law, which enacts significant changes to U.S. tax and related laws. Some of the provisions of the new tax law affecting corporations include, but are not limited to a reduction of the federal corporate income tax rate from 35% to 21%, limiting the interest expense deduction, expensing of cost of acquired qualified property and elimination of the domestic production activities deduction. The Company is currently evaluating the impact the new tax law will have on its financial condition and results of operations. Preliminarily, the Company anticipates a significant reduction in its effective income tax rate and its net deferred federal income tax liabilities as a result of the income tax rate reduction, with such changes being included in the Company’s financial statements beginning in the three months ending January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$725,000 and $500,000 for fiscal years 2017 and 2016, respectively. Plan assets are invested in a group trust consisting primarily of pooled funds, mutual funds, short-term investment funds and cash.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policy and strategy has been established to provide a total investment return that will, over time, maintain purchasing power parity for the Plan’s variable benefits and keep the Plan funding at a reasonable level. The long-term target asset allocation ranges are as follows: Domestic Equity 35%-40%; International Equity 10%-15% and Fixed Income 50%.</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tables set forth the Plan’s net periodic cost, changes in benefit obligation and Plan assets, funded status, amounts recognized in the Company’s consolidated balance sheets, additional year-end information and assumptions used in determining the benefit obligations and net periodic benefit cost.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Plan for fiscal years 2017 and 2016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4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Prior service cost</w:t>
            </w: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4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46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660" w:type="dxa"/>
            <w:vAlign w:val="bottom"/>
            <w:vMerge w:val="restart"/>
          </w:tcPr>
          <w:p>
            <w:pPr>
              <w:jc w:val="right"/>
              <w:ind w:right="2670"/>
              <w:spacing w:after="0"/>
              <w:rPr>
                <w:sz w:val="20"/>
                <w:szCs w:val="20"/>
                <w:color w:val="auto"/>
              </w:rPr>
            </w:pPr>
            <w:r>
              <w:rPr>
                <w:rFonts w:ascii="Arial" w:cs="Arial" w:eastAsia="Arial" w:hAnsi="Arial"/>
                <w:sz w:val="18"/>
                <w:szCs w:val="18"/>
                <w:b w:val="1"/>
                <w:bCs w:val="1"/>
                <w:color w:val="auto"/>
              </w:rPr>
              <w:t>92</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ind w:left="4660"/>
              <w:spacing w:after="0"/>
              <w:rPr>
                <w:sz w:val="20"/>
                <w:szCs w:val="20"/>
                <w:color w:val="auto"/>
              </w:rPr>
            </w:pPr>
            <w:r>
              <w:rPr>
                <w:rFonts w:ascii="Arial" w:cs="Arial" w:eastAsia="Arial" w:hAnsi="Arial"/>
                <w:sz w:val="18"/>
                <w:szCs w:val="18"/>
                <w:b w:val="1"/>
                <w:bCs w:val="1"/>
                <w:color w:val="auto"/>
              </w:rPr>
              <w:t>LIMONEIRA COMPANY</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20" w:type="dxa"/>
            <w:vAlign w:val="bottom"/>
          </w:tcPr>
          <w:p>
            <w:pPr>
              <w:ind w:left="4120"/>
              <w:spacing w:after="0"/>
              <w:rPr>
                <w:sz w:val="20"/>
                <w:szCs w:val="20"/>
                <w:color w:val="auto"/>
              </w:rPr>
            </w:pPr>
            <w:r>
              <w:rPr>
                <w:rFonts w:ascii="Arial" w:cs="Arial" w:eastAsia="Arial" w:hAnsi="Arial"/>
                <w:sz w:val="18"/>
                <w:szCs w:val="18"/>
                <w:color w:val="auto"/>
              </w:rPr>
              <w:t>Notes to Consolidated Financial Statements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17. Retirement Plans (continued)</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spacing w:after="0"/>
              <w:rPr>
                <w:sz w:val="20"/>
                <w:szCs w:val="20"/>
                <w:color w:val="auto"/>
              </w:rPr>
            </w:pPr>
            <w:r>
              <w:rPr>
                <w:rFonts w:ascii="Arial" w:cs="Arial" w:eastAsia="Arial" w:hAnsi="Arial"/>
                <w:sz w:val="18"/>
                <w:szCs w:val="18"/>
                <w:color w:val="auto"/>
              </w:rPr>
              <w:t>Following is a summary of the Plan’s funded status as of October 31 (in thousands):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9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Benefit obligation at beginning of year</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22,439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 amendments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loss</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Benefit obligation at end of year</w:t>
            </w:r>
          </w:p>
        </w:tc>
        <w:tc>
          <w:tcPr>
            <w:tcW w:w="6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Change in plan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plan assets at beginning of year</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16,820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Employer contributions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of plan assets at end of year</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Fair value of plan assets</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18,410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obligations</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plan obligations</w:t>
            </w:r>
          </w:p>
        </w:tc>
        <w:tc>
          <w:tcPr>
            <w:tcW w:w="6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Amounts recognized in statements of financial position:</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assets</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liabilities</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obligation recognized in statements of financial position</w:t>
            </w:r>
          </w:p>
        </w:tc>
        <w:tc>
          <w:tcPr>
            <w:tcW w:w="6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Reconciliation of amounts recognized in statements of financial position:</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Accumulated contributions in excess of net periodic benefit cost</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deficit recognized in statements of financial position</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changes in accumulated other comprehensive income, before tax, in the Plan as of October 31 (in thousands):</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Changes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prior service cost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(gain) loss arising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Amortization of prior service cost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Total recognized in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411"/>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5" w:right="239" w:bottom="1440" w:gutter="0" w:footer="0" w:header="0"/>
          <w:type w:val="continuous"/>
        </w:sectPr>
      </w:pPr>
    </w:p>
    <w:p>
      <w:pPr>
        <w:spacing w:after="0" w:line="2" w:lineRule="exact"/>
        <w:rPr>
          <w:sz w:val="20"/>
          <w:szCs w:val="20"/>
          <w:color w:val="auto"/>
        </w:rPr>
      </w:pPr>
    </w:p>
    <w:p>
      <w:pPr>
        <w:ind w:left="180"/>
        <w:spacing w:after="0"/>
        <w:tabs>
          <w:tab w:leader="none" w:pos="8560" w:val="left"/>
          <w:tab w:leader="none" w:pos="9360" w:val="left"/>
          <w:tab w:leader="none" w:pos="10040" w:val="left"/>
          <w:tab w:leader="none" w:pos="10880" w:val="left"/>
        </w:tabs>
        <w:rPr>
          <w:sz w:val="20"/>
          <w:szCs w:val="20"/>
          <w:color w:val="auto"/>
        </w:rPr>
      </w:pPr>
      <w:r>
        <w:rPr>
          <w:rFonts w:ascii="Arial" w:cs="Arial" w:eastAsia="Arial" w:hAnsi="Arial"/>
          <w:sz w:val="18"/>
          <w:szCs w:val="18"/>
          <w:color w:val="auto"/>
        </w:rPr>
        <w:t>Total recognized in net periodic benefit and other comprehensive (income)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(1,036)</w:t>
        <w:tab/>
        <w:t>$</w:t>
      </w:r>
      <w:r>
        <w:rPr>
          <w:sz w:val="20"/>
          <w:szCs w:val="20"/>
          <w:color w:val="auto"/>
        </w:rPr>
        <w:tab/>
      </w:r>
      <w:r>
        <w:rPr>
          <w:rFonts w:ascii="Arial" w:cs="Arial" w:eastAsia="Arial" w:hAnsi="Arial"/>
          <w:sz w:val="16"/>
          <w:szCs w:val="16"/>
          <w:color w:val="auto"/>
        </w:rPr>
        <w:t>1,760</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 (continued</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Presented below is the October 31, year-ended estimated amount that will be amortized from accumulated other comprehensive income over the next fiscal year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8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Initial net asset (obligation)</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Prior service cost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60" w:type="dxa"/>
            <w:vAlign w:val="bottom"/>
            <w:gridSpan w:val="4"/>
            <w:vMerge w:val="restart"/>
          </w:tcPr>
          <w:p>
            <w:pPr>
              <w:spacing w:after="0"/>
              <w:rPr>
                <w:sz w:val="20"/>
                <w:szCs w:val="20"/>
                <w:color w:val="auto"/>
              </w:rPr>
            </w:pPr>
            <w:r>
              <w:rPr>
                <w:rFonts w:ascii="Arial" w:cs="Arial" w:eastAsia="Arial" w:hAnsi="Arial"/>
                <w:sz w:val="18"/>
                <w:szCs w:val="18"/>
                <w:color w:val="auto"/>
                <w:w w:val="91"/>
              </w:rPr>
              <w:t>The following assumptions, as of October 31, were used in determining benefit obligations and net periodic benefit cost ($</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60" w:type="dxa"/>
            <w:vAlign w:val="bottom"/>
            <w:gridSpan w:val="4"/>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assumptions used to determine benefit obligations: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Assumptions used to determine net periodic benefit cost: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Additional year-end information:</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Projected benefit obligation</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22,268</w:t>
            </w:r>
          </w:p>
        </w:tc>
        <w:tc>
          <w:tcPr>
            <w:tcW w:w="3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Accumulated benefit obligation</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22,268</w:t>
            </w:r>
          </w:p>
        </w:tc>
        <w:tc>
          <w:tcPr>
            <w:tcW w:w="3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plan assets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18,410</w:t>
            </w:r>
          </w:p>
        </w:tc>
        <w:tc>
          <w:tcPr>
            <w:tcW w:w="3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Benefit payments are expected to be paid during the following fiscal years (in thousands):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2021</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2023-2027</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Plan’s assets as of October 31, 2017, segregated by level using the hierarchy established by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right"/>
              <w:ind w:righ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Pooled funds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17,004</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17,004</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17,004</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 401(k) plan in which it contributes an amount equal to 4% of an eligible employee’s annual earnings beginning after one year of employment. Employees may elect to defer up to 100% of their annual earnings subject to Internal Revenue Code limits. The Company makes an additional matching contribution on these deferrals up to 4% of the employee’s annual earnings. Employees are 100% vested in the Company’s contribution after six years of employment. Participants vest in any matching contribution at a rate of 20% per year beginning after one year of employment. During fiscal years 2017, 2016 and 2015, the Company contributed to the plan and recognized expenses of $774,000, $823,000 and $775,000,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at October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5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Minimum pension liability</w:t>
            </w:r>
          </w:p>
        </w:tc>
        <w:tc>
          <w:tcPr>
            <w:tcW w:w="4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3,858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Fair value of derivative instrument</w:t>
            </w:r>
          </w:p>
        </w:tc>
        <w:tc>
          <w:tcPr>
            <w:tcW w:w="4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 gain and other</w:t>
            </w:r>
          </w:p>
        </w:tc>
        <w:tc>
          <w:tcPr>
            <w:tcW w:w="4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3,920</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520" w:type="dxa"/>
            <w:vAlign w:val="bottom"/>
            <w:vMerge w:val="restart"/>
          </w:tcPr>
          <w:p>
            <w:pPr>
              <w:jc w:val="right"/>
              <w:ind w:right="2670"/>
              <w:spacing w:after="0"/>
              <w:rPr>
                <w:sz w:val="20"/>
                <w:szCs w:val="20"/>
                <w:color w:val="auto"/>
              </w:rPr>
            </w:pPr>
            <w:r>
              <w:rPr>
                <w:rFonts w:ascii="Arial" w:cs="Arial" w:eastAsia="Arial" w:hAnsi="Arial"/>
                <w:sz w:val="18"/>
                <w:szCs w:val="18"/>
                <w:b w:val="1"/>
                <w:bCs w:val="1"/>
                <w:color w:val="auto"/>
              </w:rPr>
              <w:t>94</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427"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Operating Lease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rents certain of its assets under net operating lease agreements ranging from one month to 20 years. The cost of land subject to agricultural land leases was $1,529,000 at October 31, 2017. The total cost and accumulated depreciation of buildings, equipment and building improvements subject to leases was $22,405,000 and $6,843,000, respectively, at October 31, 2017. The Company’s rental operations revenue includes contingent rental revenue of $251,000, $195,000 and $135,000 for fiscal years 2017, 2016 and 2015,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future minimum lease payments to be received by the Company related to these net operating lease agreements as of October 31, 2017,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2018</w:t>
            </w:r>
          </w:p>
        </w:tc>
        <w:tc>
          <w:tcPr>
            <w:tcW w:w="50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r>
      <w:tr>
        <w:trPr>
          <w:trHeight w:val="216"/>
        </w:trPr>
        <w:tc>
          <w:tcPr>
            <w:tcW w:w="5480" w:type="dxa"/>
            <w:vAlign w:val="bottom"/>
          </w:tcPr>
          <w:p>
            <w:pPr>
              <w:ind w:left="120"/>
              <w:spacing w:after="0"/>
              <w:rPr>
                <w:sz w:val="20"/>
                <w:szCs w:val="20"/>
                <w:color w:val="auto"/>
              </w:rPr>
            </w:pPr>
            <w:r>
              <w:rPr>
                <w:rFonts w:ascii="Arial" w:cs="Arial" w:eastAsia="Arial" w:hAnsi="Arial"/>
                <w:sz w:val="18"/>
                <w:szCs w:val="18"/>
                <w:color w:val="auto"/>
              </w:rPr>
              <w:t>2019</w:t>
            </w:r>
          </w:p>
        </w:tc>
        <w:tc>
          <w:tcPr>
            <w:tcW w:w="4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4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5480" w:type="dxa"/>
            <w:vAlign w:val="bottom"/>
          </w:tcPr>
          <w:p>
            <w:pPr>
              <w:ind w:left="120"/>
              <w:spacing w:after="0"/>
              <w:rPr>
                <w:sz w:val="20"/>
                <w:szCs w:val="20"/>
                <w:color w:val="auto"/>
              </w:rPr>
            </w:pPr>
            <w:r>
              <w:rPr>
                <w:rFonts w:ascii="Arial" w:cs="Arial" w:eastAsia="Arial" w:hAnsi="Arial"/>
                <w:sz w:val="18"/>
                <w:szCs w:val="18"/>
                <w:color w:val="auto"/>
              </w:rPr>
              <w:t>2021</w:t>
            </w:r>
          </w:p>
        </w:tc>
        <w:tc>
          <w:tcPr>
            <w:tcW w:w="4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4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4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23"/>
        </w:trPr>
        <w:tc>
          <w:tcPr>
            <w:tcW w:w="5480" w:type="dxa"/>
            <w:vAlign w:val="bottom"/>
            <w:tcBorders>
              <w:top w:val="single" w:sz="8" w:color="CCEEFF"/>
              <w:bottom w:val="single" w:sz="8" w:color="CCEEFF"/>
            </w:tcBorders>
            <w:shd w:val="clear" w:color="auto" w:fill="CCEEFF"/>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600" w:firstLine="8"/>
        <w:spacing w:after="0" w:line="503" w:lineRule="auto"/>
        <w:tabs>
          <w:tab w:leader="none" w:pos="27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operating leases for agricultural land, packinghouse equipment, and photovoltaic generators. Total lease expense for fiscal years 2017, 2016 and 2015 was $1,878,000, $2,049,000 and $2,922,000, respectively, which is included in agribusiness costs and expenses in the Company’s consolidated statements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year 2008, the Company entered into a contract with Perpetual Power, LLC (“Perpetual”) to install a 1,000 KW photovoltaic generator in order to provide electrical power for the Company’s lemon packinghouse operations. The facility became operational in October 2008. Farm Credit West provided financing for the generator and upon completion of the construction Perpetual sold the generator to Farm Credit West. The Company then signed a 10-year operating lease agreement with Farm Credit West. At the end of the 10-year lease term, the Company will have an option to purchase the generator from Farm Credit West for $1,125,000.</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in fiscal year 2008, the Company entered into a contract with Perpetual to install a second 1,000 KW photovoltaic generator in order to provide electrical power for the Company’s farming operations in Ducor, California. Farm Credit West provided the financing for the generator and when construction was completed, Perpetual sold the generator to Farm Credit West. The Company then signed a 10-year operating lease agreement with Farm Credit West for this facility. At the end of the 10-year lease term, the Company will have an option to purchase the generator from Farm Credit West for $1,275,000. The generator in Ducor, California became operational in December 2008. Included in prepaid expenses and other current assets and other assets in the Company’s consolidated balance sheets is $220,000 and $436,000 at October 31, 2017 and 2016, respectively of deferred rent assets related to the Company’s Ducor solar lease as the minimum lease payments exceed the straight-line rent expense during the earlier terms of the lease.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2012, the Company entered into a series of operating leases for approximately 1,000 acres of lemon, orange, specialty citrus and other crop orchards in Lindsay, California. Each of the leases is for ten-year terms and provides for four five-year renewal options with an aggregate base rent of approximately $500 per acre. The leases also contain profit share arrangements with the landowners as additional rent on each of the properties and a provision for the potential purchase of the properties by the Company in the future.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7660" w:firstLine="8"/>
        <w:spacing w:after="0" w:line="503" w:lineRule="auto"/>
        <w:tabs>
          <w:tab w:leader="none" w:pos="27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 Operating Leases (continued)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substantially all of the leased acreage in September and December 2015 as discussed in Note 3 - Acquisitions. The Company incurred lease expense of $152,000, $202,000 and $1,137,000 in fiscal years 2017, 2016 and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2013, the Company and Cadiz, entered into a long-term lease agreement for a minimum of 320 acres, with an option to lease up to an additional 960 acres, located within 9,600 zoned agricultural acres owned by Cadiz in eastern San Bernardino County, California. The initial term of the lease runs for 20 years and the annual base rental will be equal to the sum of $200 per planted acre and 20% of gross revenues from the sale of harvested lemons (less operating expenses) and will not exceed $1,200 per acre per year.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The Company incurred lease expenses of $123,000, $92,000 and $58,000 in fiscal years 2017, 2016 and 2015. Payments due to Fenner were $61,000 and $25,000 at October 31, 2017 and 2016,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Minimum future lease payments are as follows (in thousands):</w:t>
            </w:r>
          </w:p>
        </w:tc>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2019</w:t>
            </w:r>
          </w:p>
        </w:tc>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2021</w:t>
            </w:r>
          </w:p>
        </w:tc>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top w:val="single" w:sz="8" w:color="CCEEFF"/>
              <w:bottom w:val="single" w:sz="8" w:color="CCEEFF"/>
            </w:tcBorders>
            <w:shd w:val="clear" w:color="auto" w:fill="CCEEFF"/>
          </w:tcPr>
          <w:p>
            <w:pPr>
              <w:spacing w:after="0"/>
              <w:rPr>
                <w:sz w:val="19"/>
                <w:szCs w:val="19"/>
                <w:color w:val="auto"/>
              </w:rPr>
            </w:pP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standby letters of credit to satisfy workers’ compensation insurance security deposit requirements. At October 31, 2017, these outstanding letters of credit totaled $135,000.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8100" w:firstLine="8"/>
        <w:spacing w:after="0" w:line="566" w:lineRule="auto"/>
        <w:tabs>
          <w:tab w:leader="none" w:pos="27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Series B Convertible Preferred Stock</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1997, in connection with the acquisition of Ronald Michaelis Ranches, Inc., the Company issued 30,000 shares of Series B Convertible Preferred Stock at $100.00 par value (the “Series B Stock”).</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 commencing July 1, 1997.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shareholder of Series B Stock is entitled to ten votes on all matters submitted to a vote of the stockholders of the Company.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7180" w:firstLine="8"/>
        <w:spacing w:after="0" w:line="566" w:lineRule="auto"/>
        <w:tabs>
          <w:tab w:leader="none" w:pos="27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 Convertible Preferred Stock (continued)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 Stock may be redeemed by holders of the shares at their discretion beginning July 1, 2017, the redemption is outside of the control the Company and accordingly, the Series B Stock has been classified as temporary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May 2017, 3,042 shares of Series B preferred stock were converted into 38,025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2017, 10,453 shares of Series B preferred stock were converted into 130,662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2016, 715 shares of Series B preferred stock were converted into 8,937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2016, 500 shares of Series B preferred stock were converted into 6,250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500 shares of Series B preferred stock were converted into 6,250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March and April 2014, pursuant to a Series B-2 Stock Purchase Agreement dated March 21, 2014, the Company issued an aggregate of 9,300 shares of Series B-2, 4% voting preferred stock with a par value of $100.00 per share (“Series B-2 Preferred Stock”) to WPI-ACP Holdings, LLC (“WPI”), an entity affiliated with Water Asset Management, LLC (“WAM”) for total proceeds of $9,300,000. The transactions were exempt from the registration requirements of the Securities Act of 1933, as amended. The Series B-2 Preferred Stock has the following rights, preferences, privileges, and restrictions: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 commencing July 1, 2014.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7180" w:firstLine="8"/>
        <w:spacing w:after="0" w:line="566" w:lineRule="auto"/>
        <w:tabs>
          <w:tab w:leader="none" w:pos="27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B-2 Convertible Preferred Stock (continued)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B-2 Preferred Stock may be redeemed by WPI at its discretion with the exercise of the Option Agreement, the redemption is outside of the control the Company and accordingly, the Series B-2 Preferred Stock has been classified as temporary equity.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sale of the Series B-2 Preferred Stock,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 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Junior Participating Preferred Stock and Shareholder Rights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2007, the Company entered into a shareholder rights agreement with the Bank of New York acting as rights agent. In connection with this agreement, on October 31, 2006, the Company designated 20,000 shares of preferred stock as Series A Junior Participating Preferred Stock at $.01 par value (the “Series A Stock”). Additionally, on October 31, 2006, the Company declared a dividend to be distributed on December 20, 2006, to each holder of record of the Company’s common stock the right to purchase one one-hundredth of a share of Series A Stock. If a triggering event occurred, the Board of Directors had the option to allow rights holders to exercise their rights. The shareholder rights agreement, and the rights thereunder, expired by its terms on December 19,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generally vest over a 2-year period.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41,291 shares of common stock with a per share value of $22.86 were granted to management under the Stock Plan for fiscal year 2017 performance, resulting in a total compensation expense of approximately $944,000, with $605,000 recognized in the year ended October 31, 2017 and the balance to be recognized over the next two years as the shares vest. In December 2016, 44,688 shares of common stock with a per share value of $19.92 were granted to management under the Stock Plan for fiscal year 2016 performance, resulting in total compensation expense of approximately $890,000, with $544,000 recognized in the year ended October 31, 2016 and the balance to be recognized over the next two years as the shares vest. In December 2015, 27,424 shares of common stock with a per share value of $15.29 were granted to management under the Stock Plan for fiscal year 2015 performance, resulting in total compensation expense of approximately $410,000, with $130,000 recognized in the year ended October 31, 2015 and the balance to be recognized over the next two years as the shares vest.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8460" w:firstLine="8"/>
        <w:spacing w:after="0" w:line="604" w:lineRule="auto"/>
        <w:tabs>
          <w:tab w:leader="none" w:pos="27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(continued) Stock-based compensation (continued)</w:t>
      </w:r>
    </w:p>
    <w:p>
      <w:pPr>
        <w:spacing w:after="0"/>
        <w:rPr>
          <w:sz w:val="20"/>
          <w:szCs w:val="20"/>
          <w:color w:val="auto"/>
        </w:rPr>
      </w:pPr>
      <w:r>
        <w:rPr>
          <w:rFonts w:ascii="Arial" w:cs="Arial" w:eastAsia="Arial" w:hAnsi="Arial"/>
          <w:sz w:val="18"/>
          <w:szCs w:val="18"/>
          <w:color w:val="auto"/>
        </w:rPr>
        <w:t>Stock-based compensation expense is recognized over the performance and vesting periods as summarized below ($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Performance</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right"/>
              <w:ind w:right="125"/>
              <w:spacing w:after="0"/>
              <w:rPr>
                <w:sz w:val="20"/>
                <w:szCs w:val="20"/>
                <w:color w:val="auto"/>
              </w:rPr>
            </w:pPr>
            <w:r>
              <w:rPr>
                <w:rFonts w:ascii="Arial" w:cs="Arial" w:eastAsia="Arial" w:hAnsi="Arial"/>
                <w:sz w:val="18"/>
                <w:szCs w:val="18"/>
                <w:b w:val="1"/>
                <w:bCs w:val="1"/>
                <w:color w:val="auto"/>
              </w:rPr>
              <w:t>Year Ended October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jc w:val="right"/>
              <w:ind w:right="207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42,085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jc w:val="right"/>
              <w:ind w:right="20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44,688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482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years 2017, 2016 and 2015, respectively, members of management exchanged 14,773, 12,433 and 10,907 shares of common stock with fair value of $294,000, $190,000 and $275,000, at the date of the exchanges, for the payment of payroll taxes associated with the vesting of shares under the Company’s stock-based compensation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years 2017, 2016 and 2015, respectively, 18,956, 21,905 and 15,077 shares of common stock were issued to the Company’s non-employee directors under the Company’s stock-based compensation plans. The Company recognized $323,000, $273,000 and $325,000 of stock-based compensation in fiscal years 2017, 2016 and 2015,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Company granted 90,000 shares of common stock with a per share price of $22.19 to certain members of management, resulting in a total compensation expense of approximately $1,997,000. These shares will vest and expense will be recognized equally over the next five years beginning fiscal year ending October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Donation of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2015, the Company donated $100,000 of unregistered common stock to the Museum of Ventura County (“the Museum”), a California non-profit corporation. The number of shares of common stock issued was 4,498, which was based on the market value of Limoneira common stock on the date of the donation. The Company recognized expense of $100,000 that year, which is included in selling, general and administrative expense. The donation is to be used by the Museum to establish and operate an agriculture museum in Santa Paula, California depicting the history of agriculture in Ventura County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19, 2017, the Company declared a $0.0625 per share dividend which is to be paid on January 17, 2018 in the aggregate amount of $900,000 to common shareholders of record as of December 27, 2017.</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Fruit Growers Supply Cooperative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 member of Fruit Growers Supply (“FGS”), a cooperative supply corporation. FGS is the manufacturing and supply affiliate of Sunkist. FGS allocates after-tax earnings derived from non-member business to members. The allocations may then be disbursed to members as dividends no less than five years after allocation. As of October 31, 2017, and 2016, the Company has been allocated $729,000; however, the declaration of dividends is subject to approval by the FGS Board of Directors and members may receive amounts less than those originally allocated. The Company records allocations disbursed by FGS as reductions of agribusiness expenses. The Company received no dividends in fiscal years 2017, 2016 or 2015.</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September 2011, the Company settled a claim with Sunkist in which Sunkist requested a refund of $586,000 of fiscal year 2010 lemon by-products revenue. The Company assigned 50% of future dividends it receives from FGS up to the amount of claim in the unconditional settlement of the claim. The balance of the claim as of October 31, 2017 was $251,000.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harvesting of oranges, specialty citrus and other crops. The rental operations segment includes housing and commercial rental operations, leased land and organic recycling. The real estate development segment includes real estate development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October 31, 2017, the Company combined its fresh lemons and lemon packing segments into one reportable segment called lemon operations. During 2017, following the completion and start-up activities of its new lemon packinghouse in 2016, the Company and its chief operating decision maker have emphasized the strategic importance and financial performance of its lemon packing operations and expanded processing volume with a focus on increasing the quantity of lemons procured from third-party growers. As a result, during the fourth quarter of 2017, the Company separated its lemon operations segment into two segments: fresh lemons and lemon packing. This change was made to align operating segments with the basis that the chief operating decision maker uses to review financial information to make decisions, assess performance, develop strategy and allocate capital resources. Additionally, the Company determined that avocados, which was previously aggregated in the other agribusiness segment, should be a separate reportable segment based upon the Company’s chief operating decision maker’s review of its operating results. Prior period disclosures have been recast to present results on a comparable basis.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2016, the Company re-purposed Windfall Farms from a real estate development project to an agricultural ranch and reclassified $26,779,000 of real estate development assets to property, plant and equipment. Windfall Farms was reclassified to the other agribusiness reportable segment from the real estate development segment in October 2016. Windfall Farms has had limited real estate development activities in recent years, with operating costs consisting primarily of property maintenance and taxes being the main components of its operating results. Operating losses of $669,000 and $1,052,000 are included in the real estate development segment operating loss for fiscal years 2015 and 2014, respectively.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Fresh</w:t>
            </w: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Lemon</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Avocados</w:t>
            </w: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Rental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Lemons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Packing</w:t>
            </w: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Operations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Revenues from</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external customers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85,439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8,760</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9,522</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12,148</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115,869</w:t>
            </w: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5,440</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121,309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Intersegment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19,156</w:t>
            </w: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(19,156)</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85,439</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27,916</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(19,156)</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9,522</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12,148</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115,869</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5,440</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121,309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w w:val="97"/>
              </w:rPr>
              <w:t>Costs and expenses</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67,414</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21,567</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(19,156)</w:t>
            </w: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4,136</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11,712</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85,673</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3,170</w:t>
            </w:r>
          </w:p>
        </w:tc>
        <w:tc>
          <w:tcPr>
            <w:tcW w:w="300" w:type="dxa"/>
            <w:vAlign w:val="bottom"/>
          </w:tcPr>
          <w:p>
            <w:pPr>
              <w:spacing w:after="0"/>
              <w:rPr>
                <w:sz w:val="12"/>
                <w:szCs w:val="12"/>
                <w:color w:val="auto"/>
              </w:rPr>
            </w:pPr>
          </w:p>
        </w:tc>
        <w:tc>
          <w:tcPr>
            <w:tcW w:w="6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13,731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102,979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5,489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6,467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18,025</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6,349</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5,386</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24,707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1,508</w:t>
            </w:r>
          </w:p>
        </w:tc>
        <w:tc>
          <w:tcPr>
            <w:tcW w:w="2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(13,947</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11,863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2016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Fresh</w:t>
            </w: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Lemon</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Avocados</w:t>
            </w: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Rental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Lemons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Packing</w:t>
            </w: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Operations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Revenues from</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external customers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80,437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4,830</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10,767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10,096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106,130</w:t>
            </w: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5,603</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111,789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Intersegment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17,123</w:t>
            </w: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(17,123)</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80,437</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21,953</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(17,123)</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10,767</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106,130</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5,603</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111,789</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w w:val="97"/>
              </w:rPr>
              <w:t>Costs and expenses</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61,742</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21,939</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(17,123)</w:t>
            </w: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4,619</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8,106</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79,283</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2,885</w:t>
            </w:r>
          </w:p>
        </w:tc>
        <w:tc>
          <w:tcPr>
            <w:tcW w:w="24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13,088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97,262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4,321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231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5,339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18,695</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6,148</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1,990</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22,526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1,986</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(2,005</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(13,319</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9,188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2015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Fresh</w:t>
            </w:r>
          </w:p>
        </w:tc>
        <w:tc>
          <w:tcPr>
            <w:tcW w:w="100" w:type="dxa"/>
            <w:vAlign w:val="bottom"/>
          </w:tcPr>
          <w:p>
            <w:pPr>
              <w:spacing w:after="0"/>
              <w:rPr>
                <w:sz w:val="14"/>
                <w:szCs w:val="14"/>
                <w:color w:val="auto"/>
              </w:rPr>
            </w:pPr>
          </w:p>
        </w:tc>
        <w:tc>
          <w:tcPr>
            <w:tcW w:w="9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Lemon</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Avocados</w:t>
            </w: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Rental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Lemons</w:t>
            </w:r>
          </w:p>
        </w:tc>
        <w:tc>
          <w:tcPr>
            <w:tcW w:w="100" w:type="dxa"/>
            <w:vAlign w:val="bottom"/>
          </w:tcPr>
          <w:p>
            <w:pPr>
              <w:spacing w:after="0"/>
              <w:rPr>
                <w:sz w:val="14"/>
                <w:szCs w:val="14"/>
                <w:color w:val="auto"/>
              </w:rPr>
            </w:pPr>
          </w:p>
        </w:tc>
        <w:tc>
          <w:tcPr>
            <w:tcW w:w="94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w w:val="96"/>
              </w:rPr>
              <w:t>Packing</w:t>
            </w: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Operations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Revenues from</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external customers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74,798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4,180</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7,132</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95,124</w:t>
            </w: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5,104</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100,311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Intersegment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14"/>
                <w:szCs w:val="14"/>
                <w:color w:val="auto"/>
              </w:rPr>
              <w:t>16,175</w:t>
            </w: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(16,175)</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74,798</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20,355</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(16,175)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7,132</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9,014</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95,124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5,104</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100,311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w w:val="97"/>
              </w:rPr>
              <w:t>Costs and expenses</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57,297</w:t>
            </w:r>
          </w:p>
        </w:tc>
        <w:tc>
          <w:tcPr>
            <w:tcW w:w="100" w:type="dxa"/>
            <w:vAlign w:val="bottom"/>
          </w:tcPr>
          <w:p>
            <w:pPr>
              <w:spacing w:after="0"/>
              <w:rPr>
                <w:sz w:val="12"/>
                <w:szCs w:val="12"/>
                <w:color w:val="auto"/>
              </w:rPr>
            </w:pPr>
          </w:p>
        </w:tc>
        <w:tc>
          <w:tcPr>
            <w:tcW w:w="9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20,644</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(16,175)</w:t>
            </w: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4,026</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8,053</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73,845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2,859</w:t>
            </w:r>
          </w:p>
        </w:tc>
        <w:tc>
          <w:tcPr>
            <w:tcW w:w="24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1,284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13,556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91,544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3,341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4,184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17,501</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3,106</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17,938</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1,664</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(1,247</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(13,772</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4,583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fiscal years 2017, 2016 and 2015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8"/>
                <w:szCs w:val="18"/>
                <w:b w:val="1"/>
                <w:bCs w:val="1"/>
                <w:color w:val="auto"/>
              </w:rPr>
              <w:t>Year Ended 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Fresh lemon</w:t>
            </w: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Lemon packing</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27,916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21,953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3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Lemon revenues</w:t>
            </w:r>
          </w:p>
        </w:tc>
        <w:tc>
          <w:tcPr>
            <w:tcW w:w="30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Avocados</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Navel and Valencia oranges</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Specialty citrus and other crops</w:t>
            </w:r>
          </w:p>
        </w:tc>
        <w:tc>
          <w:tcPr>
            <w:tcW w:w="3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agribusiness revenues</w:t>
            </w:r>
          </w:p>
        </w:tc>
        <w:tc>
          <w:tcPr>
            <w:tcW w:w="30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Agribusiness revenues</w:t>
            </w: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Residential and commercial rentals</w:t>
            </w: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Leased land</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Organic recycling and other</w:t>
            </w:r>
          </w:p>
        </w:tc>
        <w:tc>
          <w:tcPr>
            <w:tcW w:w="3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Rental operations revenues</w:t>
            </w:r>
          </w:p>
        </w:tc>
        <w:tc>
          <w:tcPr>
            <w:tcW w:w="30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Real estate development revenues</w:t>
            </w: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40" w:type="dxa"/>
            <w:vAlign w:val="bottom"/>
            <w:vMerge w:val="restart"/>
          </w:tcPr>
          <w:p>
            <w:pPr>
              <w:jc w:val="right"/>
              <w:ind w:right="1150"/>
              <w:spacing w:after="0"/>
              <w:rPr>
                <w:sz w:val="20"/>
                <w:szCs w:val="20"/>
                <w:color w:val="auto"/>
              </w:rPr>
            </w:pPr>
            <w:r>
              <w:rPr>
                <w:rFonts w:ascii="Arial" w:cs="Arial" w:eastAsia="Arial" w:hAnsi="Arial"/>
                <w:sz w:val="18"/>
                <w:szCs w:val="18"/>
                <w:b w:val="1"/>
                <w:bCs w:val="1"/>
                <w:color w:val="auto"/>
              </w:rPr>
              <w:t>102</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Sale of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21, 2015, the Company sold its Wilson Ranch property, which is comprised of 52 acres of land with 33 acres of avocado orchards located near the City of Fillmore, in Ventura County, California. The sales price was $2,750,000 and the gain on the sale was $935,000.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Sale of Conservation Easement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2016, the Company sold a conservation easement on certain of its Ventura County property to The Nature Conservancy. The easement preserves 235 acres along the Santa Clara River in perpetuity from commercial and residential development and provides access to the river by certain groups for environmental study and observation. The sales price was $995,000 and the gain on the sale was $995,000. The Company retains title to the property, the easement allows the Company to continue agriculture and related activities on the property and the post-easement, appraised value of the property exceeds its carrying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evaluated events subsequent to October 31, 2017, to assess the need for potential recognition or disclosure in this Annual Report. Based upon this evaluation, except as disclosed in the notes to consolidated financial statements, it was determined that no other subsequent events occurred that require recognition or disclosure in the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As of October 31, 2017, we carried out an evaluation, under the supervision and with the participation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Internal Control over Financial Reporting. </w:t>
      </w:r>
      <w:r>
        <w:rPr>
          <w:rFonts w:ascii="Arial" w:cs="Arial" w:eastAsia="Arial" w:hAnsi="Arial"/>
          <w:sz w:val="18"/>
          <w:szCs w:val="18"/>
          <w:color w:val="auto"/>
        </w:rPr>
        <w:t>Refer to “Management’s Report on Internal Control over Financial Reporting” on page 59 and “Reports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on pages 60-61.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color w:val="auto"/>
        </w:rPr>
        <w:t>. There have been no significant changes in our internal controls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October 31, 2017 or, to our knowledge, in other factors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Limitations on the Effectiveness of Controls</w:t>
      </w:r>
      <w:r>
        <w:rPr>
          <w:rFonts w:ascii="Arial" w:cs="Arial" w:eastAsia="Arial" w:hAnsi="Arial"/>
          <w:sz w:val="16"/>
          <w:szCs w:val="16"/>
          <w:color w:val="auto"/>
        </w:rPr>
        <w:t>. 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Acquisition of PDA. </w:t>
      </w:r>
      <w:r>
        <w:rPr>
          <w:rFonts w:ascii="Arial" w:cs="Arial" w:eastAsia="Arial" w:hAnsi="Arial"/>
          <w:sz w:val="17"/>
          <w:szCs w:val="17"/>
          <w:color w:val="auto"/>
        </w:rPr>
        <w:t>We have excluded PDA’s operations from our management’s report on internal control over financial reporting as we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its internal controls. This exclusion is in accordance with the general guidance issued by the Staff of the SEC that an assessment of a recent business combination may be omitted from management’s report on internal control over financial reporting in the first year of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9" w:lineRule="exact"/>
        <w:rPr>
          <w:sz w:val="20"/>
          <w:szCs w:val="20"/>
          <w:color w:val="auto"/>
        </w:rPr>
      </w:pPr>
    </w:p>
    <w:p>
      <w:pPr>
        <w:ind w:left="700" w:right="3240"/>
        <w:spacing w:after="0" w:line="250" w:lineRule="auto"/>
        <w:rPr>
          <w:sz w:val="20"/>
          <w:szCs w:val="20"/>
          <w:color w:val="auto"/>
        </w:rPr>
      </w:pPr>
      <w:r>
        <w:rPr>
          <w:rFonts w:ascii="Arial" w:cs="Arial" w:eastAsia="Arial" w:hAnsi="Arial"/>
          <w:sz w:val="18"/>
          <w:szCs w:val="18"/>
          <w:color w:val="auto"/>
        </w:rPr>
        <w:t>Report of Independent Registered Public Accounting Firm on Internal Control over Financial Reporting Report of Independent Registered Public Accounting Firm Consolidated Balance Sheets at October 31, 2017 and 2016</w:t>
      </w:r>
    </w:p>
    <w:p>
      <w:pPr>
        <w:spacing w:after="0" w:line="1" w:lineRule="exact"/>
        <w:rPr>
          <w:sz w:val="20"/>
          <w:szCs w:val="20"/>
          <w:color w:val="auto"/>
        </w:rPr>
      </w:pPr>
    </w:p>
    <w:p>
      <w:pPr>
        <w:ind w:left="700" w:right="3100"/>
        <w:spacing w:after="0" w:line="281" w:lineRule="auto"/>
        <w:rPr>
          <w:sz w:val="20"/>
          <w:szCs w:val="20"/>
          <w:color w:val="auto"/>
        </w:rPr>
      </w:pPr>
      <w:r>
        <w:rPr>
          <w:rFonts w:ascii="Arial" w:cs="Arial" w:eastAsia="Arial" w:hAnsi="Arial"/>
          <w:sz w:val="16"/>
          <w:szCs w:val="16"/>
          <w:color w:val="auto"/>
        </w:rPr>
        <w:t>Consolidated Statements of Operations for the years ended October 31, 2017, 2016 and 2015 Consolidated Statements of Comprehensive Income for the years ended October 31, 2017, 2016 and 2015</w:t>
      </w:r>
    </w:p>
    <w:p>
      <w:pPr>
        <w:spacing w:after="0" w:line="1" w:lineRule="exact"/>
        <w:rPr>
          <w:sz w:val="20"/>
          <w:szCs w:val="20"/>
          <w:color w:val="auto"/>
        </w:rPr>
      </w:pPr>
    </w:p>
    <w:p>
      <w:pPr>
        <w:ind w:left="700" w:right="1640"/>
        <w:spacing w:after="0" w:line="255" w:lineRule="auto"/>
        <w:rPr>
          <w:sz w:val="20"/>
          <w:szCs w:val="20"/>
          <w:color w:val="auto"/>
        </w:rPr>
      </w:pPr>
      <w:r>
        <w:rPr>
          <w:rFonts w:ascii="Arial" w:cs="Arial" w:eastAsia="Arial" w:hAnsi="Arial"/>
          <w:sz w:val="18"/>
          <w:szCs w:val="18"/>
          <w:color w:val="auto"/>
        </w:rPr>
        <w:t>Consolidated Statements of Stockholders’ Equity and Temporary Equity for the years ended October 31, 2017, 2016 and 2015 Consolidated Statements of Cash Flows for the years ended October 31, 2017, 2016 and 2015 Notes to Consolidated Financial Statements</w:t>
      </w:r>
    </w:p>
    <w:p>
      <w:pPr>
        <w:spacing w:after="0" w:line="186" w:lineRule="exact"/>
        <w:rPr>
          <w:sz w:val="20"/>
          <w:szCs w:val="20"/>
          <w:color w:val="auto"/>
        </w:rPr>
      </w:pPr>
    </w:p>
    <w:p>
      <w:pPr>
        <w:ind w:left="700" w:hanging="692"/>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See “Exhibit Index” set forth on page E-1.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January 8, 2018.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LIMONEIRA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Harold S. Edwards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152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Director,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January 8, 2018 by the following persons on behalf of the registrant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jc w:val="center"/>
              <w:ind w:left="790"/>
              <w:spacing w:after="0"/>
              <w:rPr>
                <w:sz w:val="20"/>
                <w:szCs w:val="20"/>
                <w:color w:val="auto"/>
              </w:rPr>
            </w:pPr>
            <w:r>
              <w:rPr>
                <w:rFonts w:ascii="Arial" w:cs="Arial" w:eastAsia="Arial" w:hAnsi="Arial"/>
                <w:sz w:val="18"/>
                <w:szCs w:val="18"/>
                <w:b w:val="1"/>
                <w:bCs w:val="1"/>
                <w:color w:val="auto"/>
                <w:w w:val="89"/>
              </w:rPr>
              <w:t>Signature</w:t>
            </w:r>
          </w:p>
        </w:tc>
        <w:tc>
          <w:tcPr>
            <w:tcW w:w="880" w:type="dxa"/>
            <w:vAlign w:val="bottom"/>
          </w:tcPr>
          <w:p>
            <w:pPr>
              <w:spacing w:after="0"/>
              <w:rPr>
                <w:sz w:val="20"/>
                <w:szCs w:val="20"/>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Title</w:t>
            </w:r>
          </w:p>
        </w:tc>
      </w:tr>
      <w:tr>
        <w:trPr>
          <w:trHeight w:val="432"/>
        </w:trPr>
        <w:tc>
          <w:tcPr>
            <w:tcW w:w="47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4"/>
              </w:rPr>
              <w:t>/s/ Gordon E. Kimball</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2"/>
              </w:rPr>
              <w:t>Chairman of the Board of Directors</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94"/>
              </w:rPr>
              <w:t>Gordon E. Kimball</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418"/>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0"/>
              </w:rPr>
              <w:t>/s/ Harold S. Edwards</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30"/>
              <w:spacing w:after="0"/>
              <w:rPr>
                <w:sz w:val="20"/>
                <w:szCs w:val="20"/>
                <w:color w:val="auto"/>
              </w:rPr>
            </w:pPr>
            <w:r>
              <w:rPr>
                <w:rFonts w:ascii="Arial" w:cs="Arial" w:eastAsia="Arial" w:hAnsi="Arial"/>
                <w:sz w:val="18"/>
                <w:szCs w:val="18"/>
                <w:color w:val="auto"/>
                <w:w w:val="91"/>
              </w:rPr>
              <w:t>Director, President and Chief Executive Officer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91"/>
              </w:rPr>
              <w:t>Harold S. Edwards</w:t>
            </w:r>
          </w:p>
        </w:tc>
        <w:tc>
          <w:tcPr>
            <w:tcW w:w="880" w:type="dxa"/>
            <w:vAlign w:val="bottom"/>
          </w:tcPr>
          <w:p>
            <w:pPr>
              <w:spacing w:after="0"/>
              <w:rPr>
                <w:sz w:val="19"/>
                <w:szCs w:val="19"/>
                <w:color w:val="auto"/>
              </w:rPr>
            </w:pPr>
          </w:p>
        </w:tc>
        <w:tc>
          <w:tcPr>
            <w:tcW w:w="5800" w:type="dxa"/>
            <w:vAlign w:val="bottom"/>
          </w:tcPr>
          <w:p>
            <w:pPr>
              <w:jc w:val="center"/>
              <w:ind w:left="130"/>
              <w:spacing w:after="0"/>
              <w:rPr>
                <w:sz w:val="20"/>
                <w:szCs w:val="20"/>
                <w:color w:val="auto"/>
              </w:rPr>
            </w:pPr>
            <w:r>
              <w:rPr>
                <w:rFonts w:ascii="Arial" w:cs="Arial" w:eastAsia="Arial" w:hAnsi="Arial"/>
                <w:sz w:val="18"/>
                <w:szCs w:val="18"/>
                <w:color w:val="auto"/>
                <w:w w:val="94"/>
              </w:rPr>
              <w:t>(Principal Executive Officer)</w:t>
            </w:r>
          </w:p>
        </w:tc>
      </w:tr>
      <w:tr>
        <w:trPr>
          <w:trHeight w:val="418"/>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0"/>
              </w:rPr>
              <w:t>/s/ Joseph D. Rumley</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2"/>
              </w:rPr>
              <w:t>Chief Financial Officer, Treasurer</w:t>
            </w:r>
          </w:p>
        </w:tc>
      </w:tr>
      <w:tr>
        <w:trPr>
          <w:trHeight w:val="182"/>
        </w:trPr>
        <w:tc>
          <w:tcPr>
            <w:tcW w:w="4740" w:type="dxa"/>
            <w:vAlign w:val="bottom"/>
          </w:tcPr>
          <w:p>
            <w:pPr>
              <w:jc w:val="center"/>
              <w:ind w:left="790"/>
              <w:spacing w:after="0" w:line="182" w:lineRule="exact"/>
              <w:rPr>
                <w:sz w:val="20"/>
                <w:szCs w:val="20"/>
                <w:color w:val="auto"/>
              </w:rPr>
            </w:pPr>
            <w:r>
              <w:rPr>
                <w:rFonts w:ascii="Arial" w:cs="Arial" w:eastAsia="Arial" w:hAnsi="Arial"/>
                <w:sz w:val="18"/>
                <w:szCs w:val="18"/>
                <w:color w:val="auto"/>
                <w:w w:val="91"/>
              </w:rPr>
              <w:t>Joseph D. Rumley</w:t>
            </w:r>
          </w:p>
        </w:tc>
        <w:tc>
          <w:tcPr>
            <w:tcW w:w="880" w:type="dxa"/>
            <w:vAlign w:val="bottom"/>
          </w:tcPr>
          <w:p>
            <w:pPr>
              <w:spacing w:after="0"/>
              <w:rPr>
                <w:sz w:val="15"/>
                <w:szCs w:val="15"/>
                <w:color w:val="auto"/>
              </w:rPr>
            </w:pPr>
          </w:p>
        </w:tc>
        <w:tc>
          <w:tcPr>
            <w:tcW w:w="5800" w:type="dxa"/>
            <w:vAlign w:val="bottom"/>
          </w:tcPr>
          <w:p>
            <w:pPr>
              <w:jc w:val="center"/>
              <w:ind w:left="110"/>
              <w:spacing w:after="0" w:line="182" w:lineRule="exact"/>
              <w:rPr>
                <w:sz w:val="20"/>
                <w:szCs w:val="20"/>
                <w:color w:val="auto"/>
              </w:rPr>
            </w:pPr>
            <w:r>
              <w:rPr>
                <w:rFonts w:ascii="Arial" w:cs="Arial" w:eastAsia="Arial" w:hAnsi="Arial"/>
                <w:sz w:val="18"/>
                <w:szCs w:val="18"/>
                <w:color w:val="auto"/>
                <w:w w:val="89"/>
              </w:rPr>
              <w:t>and Corporate Secretary</w:t>
            </w:r>
          </w:p>
        </w:tc>
      </w:tr>
      <w:tr>
        <w:trPr>
          <w:trHeight w:val="230"/>
        </w:trPr>
        <w:tc>
          <w:tcPr>
            <w:tcW w:w="4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3"/>
              </w:rPr>
              <w:t>(Principal Financial and Accounting Officer)</w:t>
            </w:r>
          </w:p>
        </w:tc>
      </w:tr>
      <w:tr>
        <w:trPr>
          <w:trHeight w:val="432"/>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9"/>
              </w:rPr>
              <w:t>/s/ Elizabeth Blanchard Chess</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89"/>
              </w:rPr>
              <w:t>Elizabeth Blanchard Chess</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418"/>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4"/>
              </w:rPr>
              <w:t>/s/ Lecil E. Cole</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92"/>
              </w:rPr>
              <w:t>Lecil E. Cole</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418"/>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2"/>
              </w:rPr>
              <w:t>/s/ John W.H. Merriman</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93"/>
              </w:rPr>
              <w:t>John W.H. Merriman</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418"/>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9"/>
              </w:rPr>
              <w:t>/s/ Edgar Terry</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90"/>
              </w:rPr>
              <w:t>Edgar Terry</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418"/>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3"/>
              </w:rPr>
              <w:t>/s/ Donald R. Rudkin</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92"/>
              </w:rPr>
              <w:t>Donald R. Rudkin</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418"/>
        </w:trPr>
        <w:tc>
          <w:tcPr>
            <w:tcW w:w="4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1"/>
              </w:rPr>
              <w:t>/s/ Robert M. Sawyer</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92"/>
              </w:rPr>
              <w:t>Robert M. Sawyer</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418"/>
        </w:trPr>
        <w:tc>
          <w:tcPr>
            <w:tcW w:w="47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89"/>
              </w:rPr>
              <w:t>/s/ Scott S. Slater</w:t>
            </w:r>
          </w:p>
        </w:tc>
        <w:tc>
          <w:tcPr>
            <w:tcW w:w="880" w:type="dxa"/>
            <w:vAlign w:val="bottom"/>
            <w:tcBorders>
              <w:bottom w:val="single" w:sz="8" w:color="auto"/>
            </w:tcBorders>
          </w:tcPr>
          <w:p>
            <w:pPr>
              <w:spacing w:after="0"/>
              <w:rPr>
                <w:sz w:val="24"/>
                <w:szCs w:val="24"/>
                <w:color w:val="auto"/>
              </w:rPr>
            </w:pP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24"/>
        </w:trPr>
        <w:tc>
          <w:tcPr>
            <w:tcW w:w="4740" w:type="dxa"/>
            <w:vAlign w:val="bottom"/>
          </w:tcPr>
          <w:p>
            <w:pPr>
              <w:jc w:val="center"/>
              <w:ind w:left="790"/>
              <w:spacing w:after="0"/>
              <w:rPr>
                <w:sz w:val="20"/>
                <w:szCs w:val="20"/>
                <w:color w:val="auto"/>
              </w:rPr>
            </w:pPr>
            <w:r>
              <w:rPr>
                <w:rFonts w:ascii="Arial" w:cs="Arial" w:eastAsia="Arial" w:hAnsi="Arial"/>
                <w:sz w:val="18"/>
                <w:szCs w:val="18"/>
                <w:color w:val="auto"/>
                <w:w w:val="88"/>
              </w:rPr>
              <w:t>Scott S. Slater</w:t>
            </w: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634"/>
        </w:trPr>
        <w:tc>
          <w:tcPr>
            <w:tcW w:w="474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jc w:val="right"/>
              <w:ind w:right="5470"/>
              <w:spacing w:after="0"/>
              <w:rPr>
                <w:sz w:val="20"/>
                <w:szCs w:val="20"/>
                <w:color w:val="auto"/>
              </w:rPr>
            </w:pPr>
            <w:r>
              <w:rPr>
                <w:rFonts w:ascii="Arial" w:cs="Arial" w:eastAsia="Arial" w:hAnsi="Arial"/>
                <w:sz w:val="18"/>
                <w:szCs w:val="18"/>
                <w:b w:val="1"/>
                <w:bCs w:val="1"/>
                <w:color w:val="auto"/>
              </w:rPr>
              <w:t>106</w:t>
            </w:r>
          </w:p>
        </w:tc>
      </w:tr>
    </w:tbl>
    <w:p>
      <w:pPr>
        <w:sectPr>
          <w:pgSz w:w="11900" w:h="16838" w:orient="portrait"/>
          <w:cols w:equalWidth="0" w:num="1">
            <w:col w:w="11420"/>
          </w:cols>
          <w:pgMar w:left="240" w:top="90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80" w:type="dxa"/>
            <w:vAlign w:val="bottom"/>
            <w:gridSpan w:val="7"/>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60" w:type="dxa"/>
            <w:vAlign w:val="bottom"/>
            <w:tcBorders>
              <w:top w:val="single" w:sz="8" w:color="auto"/>
            </w:tcBorders>
            <w:gridSpan w:val="2"/>
          </w:tcPr>
          <w:p>
            <w:pPr>
              <w:spacing w:after="0"/>
              <w:rPr>
                <w:rFonts w:ascii="Arial" w:cs="Arial" w:eastAsia="Arial" w:hAnsi="Arial"/>
                <w:sz w:val="18"/>
                <w:szCs w:val="18"/>
                <w:color w:val="0000EE"/>
              </w:rPr>
            </w:pPr>
            <w:hyperlink r:id="rId12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13"/>
          </w:tcPr>
          <w:p>
            <w:pPr>
              <w:spacing w:after="0"/>
              <w:rPr>
                <w:rFonts w:ascii="Arial" w:cs="Arial" w:eastAsia="Arial" w:hAnsi="Arial"/>
                <w:sz w:val="18"/>
                <w:szCs w:val="18"/>
                <w:color w:val="0000EE"/>
                <w:w w:val="95"/>
              </w:rPr>
            </w:pPr>
            <w:hyperlink r:id="rId126">
              <w:r>
                <w:rPr>
                  <w:rFonts w:ascii="Arial" w:cs="Arial" w:eastAsia="Arial" w:hAnsi="Arial"/>
                  <w:sz w:val="18"/>
                  <w:szCs w:val="18"/>
                  <w:color w:val="0000EE"/>
                  <w:w w:val="95"/>
                </w:rPr>
                <w:t>Certificate of Merger of Limoneira Company and The Samuel Edwards Associates into Limoneira Company, dated October 31, 1990</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(Incorporated by reference to exhibit 3.2 to the Company’s Registration Statement on Form 10, and amendments thereto, declared effective</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April 13, 2010 (File No. 000-53885))</w:t>
              </w:r>
            </w:hyperlink>
          </w:p>
        </w:tc>
      </w:tr>
      <w:tr>
        <w:trPr>
          <w:trHeight w:val="20"/>
        </w:trPr>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27">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Certificate of Merger of McKevett Corporation into Limoneira Company dated December 31, 1994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3.</w:t>
              </w:r>
              <w:r>
                <w:rPr>
                  <w:rFonts w:ascii="Arial" w:cs="Arial" w:eastAsia="Arial" w:hAnsi="Arial"/>
                  <w:sz w:val="18"/>
                  <w:szCs w:val="18"/>
                  <w:u w:val="single" w:color="auto"/>
                  <w:color w:val="0000EE"/>
                  <w:w w:val="95"/>
                </w:rPr>
                <w:t>3</w:t>
              </w:r>
              <w:r>
                <w:rPr>
                  <w:rFonts w:ascii="Arial" w:cs="Arial" w:eastAsia="Arial" w:hAnsi="Arial"/>
                  <w:sz w:val="18"/>
                  <w:szCs w:val="18"/>
                  <w:color w:val="0000EE"/>
                  <w:w w:val="95"/>
                </w:rPr>
                <w:t xml:space="preserve"> to the Company’s Registration Statement on Form 10, and amendments thereto, declared effective April 13, 2010 (File No. 000-</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53885)</w:t>
              </w:r>
              <w:r>
                <w:rPr>
                  <w:rFonts w:ascii="Arial" w:cs="Arial" w:eastAsia="Arial" w:hAnsi="Arial"/>
                  <w:sz w:val="18"/>
                  <w:szCs w:val="18"/>
                  <w:u w:val="single" w:color="auto"/>
                  <w:color w:val="0000EE"/>
                  <w:w w:val="90"/>
                </w:rPr>
                <w:t>)</w:t>
              </w:r>
            </w:hyperlink>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Agreement of Merger Between Ronald Michaelis Ranches, Inc. and Limoneira Company, dated June 24, 1997 (Incorporated by reference</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to exhibit 3.6 to the Company’s Registration Statement on Form 10, and amendments thereto, declared effective April 13, 2010 (File No.</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000-53885))</w:t>
              </w:r>
            </w:hyperlink>
          </w:p>
        </w:tc>
        <w:tc>
          <w:tcPr>
            <w:tcW w:w="7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29">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Restated Certificate of Incorporation of Limoneira Company, dated July 5, 1990 (Incorporated by reference to exhibit 3.1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Company’s Registration Statement on Form 10, and amendments thereto, declared effective April 13, 2010 (File No. 000-53885))</w:t>
              </w:r>
            </w:hyperlink>
          </w:p>
        </w:tc>
      </w:tr>
      <w:tr>
        <w:trPr>
          <w:trHeight w:val="20"/>
        </w:trPr>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30">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Certificate of Amendment of Certificate of Incorporation of Limoneira Company, dated April 22, 2003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exhibit 3.7 to the Company’s Registration Statement on Form 10, and amendments thereto, declared effective April 13, 2010 (File No.</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000-53885))</w:t>
              </w:r>
            </w:hyperlink>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31">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5"/>
              </w:rPr>
            </w:pPr>
            <w:hyperlink r:id="rId131">
              <w:r>
                <w:rPr>
                  <w:rFonts w:ascii="Arial" w:cs="Arial" w:eastAsia="Arial" w:hAnsi="Arial"/>
                  <w:sz w:val="18"/>
                  <w:szCs w:val="18"/>
                  <w:color w:val="0000EE"/>
                  <w:w w:val="95"/>
                </w:rPr>
                <w:t>Certificate of Amendment of Certificate of Incorporation of Limoneira Company, dated March 24, 2010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exhibit 3.9 to the Company’s Registration Statement on Form 10, and amendments thereto, declared effective April 13, 2010 (File No.</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000-53885))</w:t>
              </w:r>
            </w:hyperlink>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32">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Certificate of Amendment of Certification of Incorporation of Limoneira Company, dated March 29, 2017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exhibit 3.1 to the Company’s Current Report on Form 8-K, filed March 31, 2017 (File No. 001-34755))</w:t>
              </w:r>
            </w:hyperlink>
          </w:p>
        </w:tc>
        <w:tc>
          <w:tcPr>
            <w:tcW w:w="2580" w:type="dxa"/>
            <w:vAlign w:val="bottom"/>
            <w:tcBorders>
              <w:top w:val="single" w:sz="8" w:color="0000EE"/>
            </w:tcBorders>
            <w:gridSpan w:val="3"/>
          </w:tcPr>
          <w:p>
            <w:pPr>
              <w:spacing w:after="0"/>
              <w:rPr>
                <w:sz w:val="17"/>
                <w:szCs w:val="17"/>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33">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4"/>
              </w:rPr>
            </w:pPr>
            <w:hyperlink r:id="rId133">
              <w:r>
                <w:rPr>
                  <w:rFonts w:ascii="Arial" w:cs="Arial" w:eastAsia="Arial" w:hAnsi="Arial"/>
                  <w:sz w:val="18"/>
                  <w:szCs w:val="18"/>
                  <w:color w:val="0000EE"/>
                  <w:w w:val="94"/>
                </w:rPr>
                <w:t>Amended and Restated Bylaws of Limoneira Company (Incorporated by reference to exhibit 3.10 to the Company’s Annual Report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Form 10-K, filed January 14, 2013 (File No. 001-34755))</w:t>
              </w:r>
            </w:hyperlink>
          </w:p>
        </w:tc>
        <w:tc>
          <w:tcPr>
            <w:tcW w:w="5880" w:type="dxa"/>
            <w:vAlign w:val="bottom"/>
            <w:tcBorders>
              <w:top w:val="single" w:sz="8" w:color="0000EE"/>
            </w:tcBorders>
            <w:gridSpan w:val="8"/>
          </w:tcPr>
          <w:p>
            <w:pPr>
              <w:spacing w:after="0"/>
              <w:rPr>
                <w:sz w:val="17"/>
                <w:szCs w:val="17"/>
                <w:color w:val="auto"/>
              </w:rPr>
            </w:pPr>
          </w:p>
        </w:tc>
      </w:tr>
      <w:tr>
        <w:trPr>
          <w:trHeight w:val="412"/>
        </w:trPr>
        <w:tc>
          <w:tcPr>
            <w:tcW w:w="360" w:type="dxa"/>
            <w:vAlign w:val="bottom"/>
            <w:tcBorders>
              <w:bottom w:val="single" w:sz="8" w:color="0000EE"/>
            </w:tcBorders>
            <w:gridSpan w:val="2"/>
          </w:tcPr>
          <w:p>
            <w:pPr>
              <w:spacing w:after="0"/>
              <w:rPr>
                <w:rFonts w:ascii="Arial" w:cs="Arial" w:eastAsia="Arial" w:hAnsi="Arial"/>
                <w:sz w:val="18"/>
                <w:szCs w:val="18"/>
                <w:color w:val="0000EE"/>
                <w:w w:val="84"/>
              </w:rPr>
            </w:pPr>
            <w:hyperlink r:id="rId13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5.1</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Amendment to Amended and Restated Bylaws of Limoneira Company (Incorporated by reference to exhibit 3.1 to the Company's Current</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Report on Form 8-K, filed September 25, 2013 (File No. 001-34755))</w:t>
              </w:r>
            </w:hyperlink>
          </w:p>
        </w:tc>
      </w:tr>
      <w:tr>
        <w:trPr>
          <w:trHeight w:val="20"/>
        </w:trPr>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tcBorders>
              <w:bottom w:val="single" w:sz="8" w:color="0000EE"/>
            </w:tcBorders>
            <w:gridSpan w:val="2"/>
          </w:tcPr>
          <w:p>
            <w:pPr>
              <w:spacing w:after="0"/>
              <w:rPr>
                <w:rFonts w:ascii="Arial" w:cs="Arial" w:eastAsia="Arial" w:hAnsi="Arial"/>
                <w:sz w:val="18"/>
                <w:szCs w:val="18"/>
                <w:color w:val="0000EE"/>
                <w:w w:val="84"/>
              </w:rPr>
            </w:pPr>
            <w:hyperlink r:id="rId13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5.2</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Amendment to Amended and Restated Bylaws of Limoneira Company (Incorporated by reference to exhibit 3.1 to the Company’s Current</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Report on Form 8-K, filed December 18, 2014 (File No. 001-34755))</w:t>
              </w:r>
            </w:hyperlink>
          </w:p>
        </w:tc>
        <w:tc>
          <w:tcPr>
            <w:tcW w:w="5020" w:type="dxa"/>
            <w:vAlign w:val="bottom"/>
            <w:gridSpan w:val="5"/>
          </w:tcPr>
          <w:p>
            <w:pPr>
              <w:spacing w:after="0"/>
              <w:rPr>
                <w:sz w:val="17"/>
                <w:szCs w:val="17"/>
                <w:color w:val="auto"/>
              </w:rPr>
            </w:pPr>
          </w:p>
        </w:tc>
      </w:tr>
      <w:tr>
        <w:trPr>
          <w:trHeight w:val="412"/>
        </w:trPr>
        <w:tc>
          <w:tcPr>
            <w:tcW w:w="360" w:type="dxa"/>
            <w:vAlign w:val="bottom"/>
            <w:tcBorders>
              <w:bottom w:val="single" w:sz="8" w:color="0000EE"/>
            </w:tcBorders>
            <w:gridSpan w:val="2"/>
          </w:tcPr>
          <w:p>
            <w:pPr>
              <w:spacing w:after="0"/>
              <w:rPr>
                <w:rFonts w:ascii="Arial" w:cs="Arial" w:eastAsia="Arial" w:hAnsi="Arial"/>
                <w:sz w:val="18"/>
                <w:szCs w:val="18"/>
                <w:color w:val="0000EE"/>
                <w:w w:val="84"/>
              </w:rPr>
            </w:pPr>
            <w:hyperlink r:id="rId13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5.3</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Amendment to Amended and Restated Bylaws of Limoneira Company (Incorporated by reference to exhibit 3.1 to the Company’s Current</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Report on Form 8-K, filed January 25, 2017 (File No. 001-34755))</w:t>
              </w:r>
            </w:hyperlink>
          </w:p>
        </w:tc>
        <w:tc>
          <w:tcPr>
            <w:tcW w:w="5220" w:type="dxa"/>
            <w:vAlign w:val="bottom"/>
            <w:gridSpan w:val="6"/>
          </w:tcPr>
          <w:p>
            <w:pPr>
              <w:spacing w:after="0"/>
              <w:rPr>
                <w:sz w:val="17"/>
                <w:szCs w:val="17"/>
                <w:color w:val="auto"/>
              </w:rPr>
            </w:pPr>
          </w:p>
        </w:tc>
      </w:tr>
      <w:tr>
        <w:trPr>
          <w:trHeight w:val="412"/>
        </w:trPr>
        <w:tc>
          <w:tcPr>
            <w:tcW w:w="360" w:type="dxa"/>
            <w:vAlign w:val="bottom"/>
            <w:tcBorders>
              <w:bottom w:val="single" w:sz="8" w:color="0000EE"/>
            </w:tcBorders>
            <w:gridSpan w:val="2"/>
          </w:tcPr>
          <w:p>
            <w:pPr>
              <w:spacing w:after="0"/>
              <w:rPr>
                <w:rFonts w:ascii="Arial" w:cs="Arial" w:eastAsia="Arial" w:hAnsi="Arial"/>
                <w:sz w:val="18"/>
                <w:szCs w:val="18"/>
                <w:color w:val="0000EE"/>
                <w:w w:val="84"/>
              </w:rPr>
            </w:pPr>
            <w:hyperlink r:id="rId13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5.4</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Amendment to Amended and Restated Bylaws of Limoneira Company (Incorporated by reference to exhibit 3.1 to the Company’s Current</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Report on Form 8-K, filed July 26, 2017 (File No. 001-34755))</w:t>
              </w:r>
            </w:hyperlink>
          </w:p>
        </w:tc>
      </w:tr>
      <w:tr>
        <w:trPr>
          <w:trHeight w:val="20"/>
        </w:trPr>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38">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 xml:space="preserve">Specimen Certificate representing shares of Common Stock, par value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0.01 per share (Incorporated by reference to exhibit 4.1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138">
              <w:r>
                <w:rPr>
                  <w:rFonts w:ascii="Arial" w:cs="Arial" w:eastAsia="Arial" w:hAnsi="Arial"/>
                  <w:sz w:val="18"/>
                  <w:szCs w:val="18"/>
                  <w:color w:val="0000EE"/>
                  <w:w w:val="97"/>
                </w:rPr>
                <w:t>Company’s Registration Statement on Form 10, and amendments thereto, declared effective April 13, 2010 (File No. 000-53885))</w:t>
              </w:r>
            </w:hyperlink>
          </w:p>
        </w:tc>
      </w:tr>
      <w:tr>
        <w:trPr>
          <w:trHeight w:val="20"/>
        </w:trPr>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Rights Agreement dated December 20, 2006 between Limoneira Company and The Bank of New York, as Rights Agent (Incorporated by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reference to exhibit 4.2 to the Company’s Registration Statement on Form 10, and amendments thereto, declared effective April 13, 2010</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(File No. 000-53885))</w:t>
              </w:r>
            </w:hyperlink>
          </w:p>
        </w:tc>
      </w:tr>
      <w:tr>
        <w:trPr>
          <w:trHeight w:val="20"/>
        </w:trPr>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r>
      <w:tr>
        <w:trPr>
          <w:trHeight w:val="412"/>
        </w:trPr>
        <w:tc>
          <w:tcPr>
            <w:tcW w:w="360" w:type="dxa"/>
            <w:vAlign w:val="bottom"/>
            <w:gridSpan w:val="2"/>
          </w:tcPr>
          <w:p>
            <w:pPr>
              <w:spacing w:after="0"/>
              <w:rPr>
                <w:rFonts w:ascii="Arial" w:cs="Arial" w:eastAsia="Arial" w:hAnsi="Arial"/>
                <w:sz w:val="18"/>
                <w:szCs w:val="18"/>
                <w:color w:val="0000EE"/>
              </w:rPr>
            </w:pPr>
            <w:hyperlink r:id="rId140">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8"/>
              </w:rPr>
            </w:pPr>
            <w:hyperlink r:id="rId140">
              <w:r>
                <w:rPr>
                  <w:rFonts w:ascii="Arial" w:cs="Arial" w:eastAsia="Arial" w:hAnsi="Arial"/>
                  <w:sz w:val="18"/>
                  <w:szCs w:val="18"/>
                  <w:color w:val="0000EE"/>
                  <w:w w:val="98"/>
                </w:rPr>
                <w:t>Certificate of Designation, Preferences and Rights of Series A Junior Participating Preferred Stock, $.01 Par Value, of Limoneira</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Company, dated November 21, 2006 (Incorporated by reference to exhibit 3.8 to the Company’s Registration Statement on Form 10, and</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amendments thereto, declared effective April 13, 2010 (File No. 000-53885))</w:t>
              </w:r>
            </w:hyperlink>
          </w:p>
        </w:tc>
      </w:tr>
      <w:tr>
        <w:trPr>
          <w:trHeight w:val="696"/>
        </w:trPr>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No.</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60" w:type="dxa"/>
            <w:vAlign w:val="bottom"/>
            <w:gridSpan w:val="4"/>
          </w:tcPr>
          <w:p>
            <w:pPr>
              <w:ind w:left="12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top w:val="single" w:sz="8" w:color="auto"/>
            </w:tcBorders>
          </w:tcPr>
          <w:p>
            <w:pPr>
              <w:spacing w:after="0"/>
              <w:rPr>
                <w:rFonts w:ascii="Arial" w:cs="Arial" w:eastAsia="Arial" w:hAnsi="Arial"/>
                <w:sz w:val="18"/>
                <w:szCs w:val="18"/>
                <w:color w:val="0000EE"/>
                <w:w w:val="87"/>
              </w:rPr>
            </w:pPr>
            <w:hyperlink r:id="rId14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9"/>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 xml:space="preserve">Certificate of Designation, Preferences and Rights of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8.75 Voting Preferred Stock,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100.00 Par Value, Series B of Limoneira Company,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dated May 21, 1997 (Incorporated by reference to exhibit 3.4 to the Company’s Registration Statement on Form 10, and amendments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thereto, declared effective April 13, 2010 (File No. 000-53885))</w:t>
              </w:r>
            </w:hyperlink>
          </w:p>
        </w:tc>
        <w:tc>
          <w:tcPr>
            <w:tcW w:w="5420" w:type="dxa"/>
            <w:vAlign w:val="bottom"/>
            <w:gridSpan w:val="3"/>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141">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 xml:space="preserve">Amended Certificate of Designation, Preferences and Rights of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8.75 Voting Preferred Stock,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100.00 Par Value, Series B of Limoneira</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Company, dated May 21, 1997 (Incorporated by reference to exhibit 3.4 to the Company’s Registration Statement on Form 10, and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amendments thereto, declared effective April 13, 2010 (File No. 000-53885))</w:t>
              </w:r>
            </w:hyperlink>
          </w:p>
        </w:tc>
        <w:tc>
          <w:tcPr>
            <w:tcW w:w="4460" w:type="dxa"/>
            <w:vAlign w:val="bottom"/>
            <w:gridSpan w:val="2"/>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142">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 xml:space="preserve">Certificate of Designation, Preferences and Rights of 4% Voting Preferred Stock,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100.00 Par Value, Series B-2 of Limoneira Company,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dated March 20, 2014 (Incorporated by reference to exhibit 3.1 to the Company’s Current Report on Form 8-K, filed March 24, 2014 (File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No. 001-34755))</w:t>
              </w:r>
            </w:hyperlink>
          </w:p>
        </w:tc>
        <w:tc>
          <w:tcPr>
            <w:tcW w:w="88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6"/>
              </w:rPr>
            </w:pPr>
            <w:hyperlink r:id="rId143">
              <w:r>
                <w:rPr>
                  <w:rFonts w:ascii="Arial" w:cs="Arial" w:eastAsia="Arial" w:hAnsi="Arial"/>
                  <w:sz w:val="18"/>
                  <w:szCs w:val="18"/>
                  <w:color w:val="0000EE"/>
                  <w:w w:val="96"/>
                </w:rPr>
                <w:t>Real Estate Advisory Management Consultant Agreement dated April 1, 2004, by and between Limoneira Company and Parkstone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Companies (Incorporated by reference to exhibit 10.1 of the Company’s Current Report on Form 8-K, filed August 25, 2010 (File No. 001-</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34755)</w:t>
              </w:r>
              <w:r>
                <w:rPr>
                  <w:rFonts w:ascii="Arial" w:cs="Arial" w:eastAsia="Arial" w:hAnsi="Arial"/>
                  <w:sz w:val="18"/>
                  <w:szCs w:val="18"/>
                  <w:u w:val="single" w:color="auto"/>
                  <w:color w:val="0000EE"/>
                  <w:w w:val="90"/>
                </w:rPr>
                <w:t>)</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6"/>
              </w:rPr>
            </w:pPr>
            <w:hyperlink r:id="rId144">
              <w:r>
                <w:rPr>
                  <w:rFonts w:ascii="Arial" w:cs="Arial" w:eastAsia="Arial" w:hAnsi="Arial"/>
                  <w:sz w:val="18"/>
                  <w:szCs w:val="18"/>
                  <w:color w:val="0000EE"/>
                  <w:w w:val="96"/>
                </w:rPr>
                <w:t>Amendment No. 1 to Real Estate Advisory Management Consultant Agreement dated August 24, 2010, by and between Limoneira</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r:id="rId144">
              <w:r>
                <w:rPr>
                  <w:rFonts w:ascii="Arial" w:cs="Arial" w:eastAsia="Arial" w:hAnsi="Arial"/>
                  <w:sz w:val="18"/>
                  <w:szCs w:val="18"/>
                  <w:color w:val="0000EE"/>
                  <w:w w:val="95"/>
                </w:rPr>
                <w:t>Company and Parkstone Companies (Incorporated by reference to exhibit 10.2 of the Company’s Current Report on Form 8-K, filed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August 25, 2010 (File No. 001-34755))</w:t>
              </w:r>
            </w:hyperlink>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Avocado Marketing Agreement effective February 8, 2003, by and between Calavo Growers, Inc. and Limoneira Company, as amended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(Incorporated by reference to exhibit 10.2 to the Company’s Registration Statement on Form 10, and amendments thereto, declared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effective April 13, 2010 (File No. 000-53885))</w:t>
              </w:r>
            </w:hyperlink>
          </w:p>
        </w:tc>
        <w:tc>
          <w:tcPr>
            <w:tcW w:w="6660" w:type="dxa"/>
            <w:vAlign w:val="bottom"/>
            <w:gridSpan w:val="4"/>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4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Stock Purchase Agreement dated June 1, 2005, between Limoneira Company and Calavo Growers, Inc.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exhibit 10.3 to the Company’s Registration Statement on Form 10, and amendments thereto, declared effective April 13, 2010 (File No.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000-53885))</w:t>
              </w:r>
            </w:hyperlink>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4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3"/>
              </w:rPr>
            </w:pPr>
            <w:hyperlink r:id="rId147">
              <w:r>
                <w:rPr>
                  <w:rFonts w:ascii="Arial" w:cs="Arial" w:eastAsia="Arial" w:hAnsi="Arial"/>
                  <w:sz w:val="18"/>
                  <w:szCs w:val="18"/>
                  <w:color w:val="0000EE"/>
                  <w:w w:val="93"/>
                </w:rPr>
                <w:t>Standstill Agreement dated June 1, 2005, between Limoneira Company and Calavo Growers, Inc.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r:id="rId147">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4</w:t>
              </w:r>
              <w:r>
                <w:rPr>
                  <w:rFonts w:ascii="Arial" w:cs="Arial" w:eastAsia="Arial" w:hAnsi="Arial"/>
                  <w:sz w:val="18"/>
                  <w:szCs w:val="18"/>
                  <w:color w:val="0000EE"/>
                  <w:w w:val="94"/>
                </w:rPr>
                <w:t xml:space="preserve"> to the Company’s Registration Statement on Form 10, and amendments thereto, declared effective April 13, 2010 (File No. 000-</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53885)</w:t>
              </w:r>
              <w:r>
                <w:rPr>
                  <w:rFonts w:ascii="Arial" w:cs="Arial" w:eastAsia="Arial" w:hAnsi="Arial"/>
                  <w:sz w:val="18"/>
                  <w:szCs w:val="18"/>
                  <w:u w:val="single" w:color="auto"/>
                  <w:color w:val="0000EE"/>
                  <w:w w:val="90"/>
                </w:rPr>
                <w:t>)</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48">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Standstill Agreement dated June 1, 2005 between Calavo Growers, Inc. and Limoneira Company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r:id="rId148">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5</w:t>
              </w:r>
              <w:r>
                <w:rPr>
                  <w:rFonts w:ascii="Arial" w:cs="Arial" w:eastAsia="Arial" w:hAnsi="Arial"/>
                  <w:sz w:val="18"/>
                  <w:szCs w:val="18"/>
                  <w:color w:val="0000EE"/>
                  <w:w w:val="94"/>
                </w:rPr>
                <w:t xml:space="preserve"> to the Company’s Registration Statement on Form 10, and amendments thereto, declared effective April 13, 2010 (File No. 000-</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53885)</w:t>
              </w:r>
              <w:r>
                <w:rPr>
                  <w:rFonts w:ascii="Arial" w:cs="Arial" w:eastAsia="Arial" w:hAnsi="Arial"/>
                  <w:sz w:val="18"/>
                  <w:szCs w:val="18"/>
                  <w:u w:val="single" w:color="auto"/>
                  <w:color w:val="0000EE"/>
                  <w:w w:val="90"/>
                </w:rPr>
                <w:t>)</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49">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Lease Agreement dated February 15, 2005, between Limoneira Company and Calavo Growers, Inc.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6</w:t>
              </w:r>
              <w:r>
                <w:rPr>
                  <w:rFonts w:ascii="Arial" w:cs="Arial" w:eastAsia="Arial" w:hAnsi="Arial"/>
                  <w:sz w:val="18"/>
                  <w:szCs w:val="18"/>
                  <w:color w:val="0000EE"/>
                  <w:w w:val="94"/>
                </w:rPr>
                <w:t xml:space="preserve"> to the Company’s Registration Statement on Form 10, and amendments thereto, declared effective April 13, 2010 (File No. 000-</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53885)</w:t>
              </w:r>
              <w:r>
                <w:rPr>
                  <w:rFonts w:ascii="Arial" w:cs="Arial" w:eastAsia="Arial" w:hAnsi="Arial"/>
                  <w:sz w:val="18"/>
                  <w:szCs w:val="18"/>
                  <w:u w:val="single" w:color="auto"/>
                  <w:color w:val="0000EE"/>
                  <w:w w:val="90"/>
                </w:rPr>
                <w:t>)</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50">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Amended and Restated Line of Credit Agreement dated December 15, 2008, by and between Limoneira Company and Rabobank, N.A.</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(Incorporated by reference to exhibit 10.7 to the Company’s Registration Statement on Form 10, and amendments thereto, declared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effective April 13, 2010 (File No. 000-53885))</w:t>
              </w:r>
            </w:hyperlink>
          </w:p>
        </w:tc>
        <w:tc>
          <w:tcPr>
            <w:tcW w:w="6660" w:type="dxa"/>
            <w:vAlign w:val="bottom"/>
            <w:gridSpan w:val="4"/>
          </w:tcPr>
          <w:p>
            <w:pPr>
              <w:spacing w:after="0"/>
              <w:rPr>
                <w:sz w:val="17"/>
                <w:szCs w:val="17"/>
                <w:color w:val="auto"/>
              </w:rPr>
            </w:pPr>
          </w:p>
        </w:tc>
      </w:tr>
      <w:tr>
        <w:trPr>
          <w:trHeight w:val="412"/>
        </w:trPr>
        <w:tc>
          <w:tcPr>
            <w:tcW w:w="400" w:type="dxa"/>
            <w:vAlign w:val="bottom"/>
            <w:gridSpan w:val="3"/>
          </w:tcPr>
          <w:p>
            <w:pPr>
              <w:spacing w:after="0"/>
              <w:rPr>
                <w:rFonts w:ascii="Arial" w:cs="Arial" w:eastAsia="Arial" w:hAnsi="Arial"/>
                <w:sz w:val="18"/>
                <w:szCs w:val="18"/>
                <w:color w:val="0000EE"/>
              </w:rPr>
            </w:pPr>
            <w:hyperlink r:id="rId151">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Amendment to Amended and Restated Line of Credit Agreement, dated May 12, 2009, between Limoneira Company and Rabobank, N.A.</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(Incorporated by reference to exhibit 10.8 to the Company’s Registration Statement on Form 10, and amendments thereto, declared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effective April 13, 2010 (File No. 000-53885))</w:t>
              </w:r>
            </w:hyperlink>
          </w:p>
        </w:tc>
        <w:tc>
          <w:tcPr>
            <w:tcW w:w="6660" w:type="dxa"/>
            <w:vAlign w:val="bottom"/>
            <w:gridSpan w:val="4"/>
          </w:tcPr>
          <w:p>
            <w:pPr>
              <w:spacing w:after="0"/>
              <w:rPr>
                <w:sz w:val="17"/>
                <w:szCs w:val="17"/>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r:id="rId152">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Second Amendment to Amended and Restated Line of Credit Agreement, dated November 14, 2011 between Limoneira Company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Rabobank N.A. (Incorporated by reference to exhibit 10.1 of the Company’s Current Report on Form 8-K, filed November 17, 2011 (File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No. 001-34755))</w:t>
              </w:r>
            </w:hyperlink>
          </w:p>
        </w:tc>
        <w:tc>
          <w:tcPr>
            <w:tcW w:w="8820" w:type="dxa"/>
            <w:vAlign w:val="bottom"/>
            <w:gridSpan w:val="6"/>
          </w:tcPr>
          <w:p>
            <w:pPr>
              <w:spacing w:after="0"/>
              <w:rPr>
                <w:sz w:val="17"/>
                <w:szCs w:val="17"/>
                <w:color w:val="auto"/>
              </w:rPr>
            </w:pPr>
          </w:p>
        </w:tc>
      </w:tr>
      <w:tr>
        <w:trPr>
          <w:trHeight w:val="412"/>
        </w:trPr>
        <w:tc>
          <w:tcPr>
            <w:tcW w:w="420" w:type="dxa"/>
            <w:vAlign w:val="bottom"/>
            <w:gridSpan w:val="4"/>
          </w:tcPr>
          <w:p>
            <w:pPr>
              <w:spacing w:after="0"/>
              <w:rPr>
                <w:rFonts w:ascii="Arial" w:cs="Arial" w:eastAsia="Arial" w:hAnsi="Arial"/>
                <w:sz w:val="18"/>
                <w:szCs w:val="18"/>
                <w:color w:val="0000EE"/>
                <w:w w:val="88"/>
              </w:rPr>
            </w:pPr>
            <w:hyperlink r:id="rId15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7"/>
              </w:rPr>
            </w:pPr>
            <w:hyperlink r:id="rId153">
              <w:r>
                <w:rPr>
                  <w:rFonts w:ascii="Arial" w:cs="Arial" w:eastAsia="Arial" w:hAnsi="Arial"/>
                  <w:sz w:val="18"/>
                  <w:szCs w:val="18"/>
                  <w:color w:val="0000EE"/>
                  <w:w w:val="97"/>
                </w:rPr>
                <w:t>Third Amendment to Amended and Restated Line of Credit Agreement, dated March 19, 2014, between Limoneira Company and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153">
              <w:r>
                <w:rPr>
                  <w:rFonts w:ascii="Arial" w:cs="Arial" w:eastAsia="Arial" w:hAnsi="Arial"/>
                  <w:sz w:val="18"/>
                  <w:szCs w:val="18"/>
                  <w:color w:val="0000EE"/>
                  <w:w w:val="95"/>
                </w:rPr>
                <w:t>Rabobank N.A. (Incorporated by reference to exhibit 10.1 of the Company’s Current Report on Form 8-K, filed April 2, 2014 (File No.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001-34755))</w:t>
              </w:r>
            </w:hyperlink>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8"/>
          </w:tcPr>
          <w:p>
            <w:pPr>
              <w:ind w:left="12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tcBorders>
          </w:tcPr>
          <w:p>
            <w:pPr>
              <w:spacing w:after="0"/>
              <w:rPr>
                <w:rFonts w:ascii="Arial" w:cs="Arial" w:eastAsia="Arial" w:hAnsi="Arial"/>
                <w:sz w:val="18"/>
                <w:szCs w:val="18"/>
                <w:color w:val="0000EE"/>
                <w:w w:val="88"/>
              </w:rPr>
            </w:pPr>
            <w:hyperlink r:id="rId1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13"/>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Revolving Equity Line of Credit Promissory Note and Loan Agreement, dated October 28, 1997, between Limoneira Company and Farm</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Credit West, FLCA (as successor by merger to Central Coast Federal Land Bank Association) (Incorporated by reference to exhibit 10.9 to</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the Company’s Registration Statement on Form 10, and amendments thereto, declared effective April 13, 2010 (File No. 000-53885))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55">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Promissory Note and Loan Agreement, dated April 23, 2007, between Farm Credit West, FLCA and Limoneira Company (Incorporated by</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reference to exhibit 10.10 to the Company’s Registration Statement on Form 10, and amendments thereto, declared effective April 13,</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2010 (File No. 000-53885))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56">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8"/>
              </w:rPr>
            </w:pPr>
            <w:hyperlink r:id="rId156">
              <w:r>
                <w:rPr>
                  <w:rFonts w:ascii="Arial" w:cs="Arial" w:eastAsia="Arial" w:hAnsi="Arial"/>
                  <w:sz w:val="18"/>
                  <w:szCs w:val="18"/>
                  <w:color w:val="0000EE"/>
                  <w:w w:val="98"/>
                </w:rPr>
                <w:t>Promissory Note and Loan Agreement, dated September 23, 2005, among Farm Credit West, FLCA and Windfall Investors, LLC</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w w:val="94"/>
              </w:rPr>
            </w:pPr>
            <w:hyperlink r:id="rId156">
              <w:r>
                <w:rPr>
                  <w:rFonts w:ascii="Arial" w:cs="Arial" w:eastAsia="Arial" w:hAnsi="Arial"/>
                  <w:sz w:val="18"/>
                  <w:szCs w:val="18"/>
                  <w:color w:val="0000EE"/>
                  <w:w w:val="94"/>
                </w:rPr>
                <w:t>(Incorporated by reference to exhibit 10.12 to the Company’s Registration Statement on Form 10, and amendments thereto, declared</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effective April 13, 2010 (File No. 000-53885))</w:t>
              </w:r>
            </w:hyperlink>
          </w:p>
        </w:tc>
        <w:tc>
          <w:tcPr>
            <w:tcW w:w="66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57">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4"/>
              </w:rPr>
            </w:pPr>
            <w:hyperlink r:id="rId157">
              <w:r>
                <w:rPr>
                  <w:rFonts w:ascii="Arial" w:cs="Arial" w:eastAsia="Arial" w:hAnsi="Arial"/>
                  <w:sz w:val="18"/>
                  <w:szCs w:val="18"/>
                  <w:color w:val="0000EE"/>
                  <w:w w:val="94"/>
                </w:rPr>
                <w:t>Master Loan Agreement, dated May 1, 2012 between Limoneira Company and Farm Credit West, PCA (Incorporated by reference to</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exhibit 10.2 to the Company’s Current Report on Form 8-K, filed May 2, 2012 (File No. 001-34755))</w:t>
              </w:r>
            </w:hyperlink>
          </w:p>
        </w:tc>
        <w:tc>
          <w:tcPr>
            <w:tcW w:w="2720" w:type="dxa"/>
            <w:vAlign w:val="bottom"/>
            <w:tcBorders>
              <w:top w:val="single" w:sz="8" w:color="0000EE"/>
            </w:tcBorders>
            <w:gridSpan w:val="5"/>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58">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3"/>
              </w:rPr>
            </w:pPr>
            <w:hyperlink r:id="rId158">
              <w:r>
                <w:rPr>
                  <w:rFonts w:ascii="Arial" w:cs="Arial" w:eastAsia="Arial" w:hAnsi="Arial"/>
                  <w:sz w:val="18"/>
                  <w:szCs w:val="18"/>
                  <w:color w:val="0000EE"/>
                  <w:w w:val="93"/>
                </w:rPr>
                <w:t>Promissory Note and Supplement to Master Loan Agreement, dated May 1, 2012 between Limoneira Company and Farm Credit West,</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PCA (Incorporated by reference to exhibit 10.1 to the Company’s Current Report on Form 8-K filed May 2, 2012 (File No. 001-34755))</w:t>
              </w:r>
            </w:hyperlink>
          </w:p>
        </w:tc>
        <w:tc>
          <w:tcPr>
            <w:tcW w:w="220" w:type="dxa"/>
            <w:vAlign w:val="bottom"/>
            <w:tcBorders>
              <w:top w:val="single" w:sz="8" w:color="0000EE"/>
            </w:tcBorders>
            <w:gridSpan w:val="2"/>
          </w:tcPr>
          <w:p>
            <w:pPr>
              <w:spacing w:after="0"/>
              <w:rPr>
                <w:sz w:val="17"/>
                <w:szCs w:val="17"/>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r:id="rId159">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040" w:type="dxa"/>
            <w:vAlign w:val="bottom"/>
            <w:gridSpan w:val="13"/>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Limoneira Company Amended and Restated 2010 Omnibus Incentive Plan, as amended on March 28, 2017 (Incorporated by reference to</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exhibit 10.1 to the Company’s Current Report on Form 8-K filed March 31, 2017 (File No. 001-34755))</w:t>
              </w:r>
            </w:hyperlink>
          </w:p>
        </w:tc>
        <w:tc>
          <w:tcPr>
            <w:tcW w:w="2540" w:type="dxa"/>
            <w:vAlign w:val="bottom"/>
            <w:tcBorders>
              <w:top w:val="single" w:sz="8" w:color="0000EE"/>
            </w:tcBorders>
            <w:gridSpan w:val="4"/>
          </w:tcPr>
          <w:p>
            <w:pPr>
              <w:spacing w:after="0"/>
              <w:rPr>
                <w:sz w:val="17"/>
                <w:szCs w:val="17"/>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r:id="rId160">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0040" w:type="dxa"/>
            <w:vAlign w:val="bottom"/>
            <w:gridSpan w:val="13"/>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Limoneira Company Management Incentive Plan 2009-2010 (Incorporated by reference to exhibit 10.16 of the Company’s Form 10-K,</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filed January 26, 2011 (File No. 001-34755))</w:t>
              </w:r>
            </w:hyperlink>
          </w:p>
        </w:tc>
      </w:tr>
      <w:tr>
        <w:trPr>
          <w:trHeight w:val="20"/>
        </w:trPr>
        <w:tc>
          <w:tcPr>
            <w:tcW w:w="1380" w:type="dxa"/>
            <w:vAlign w:val="bottom"/>
            <w:gridSpan w:val="4"/>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0040" w:type="dxa"/>
            <w:vAlign w:val="bottom"/>
            <w:gridSpan w:val="13"/>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Limoneira Stock Grant Performance Bonus Plan (Incorporated by reference to exhibit 10.15 to the Company’s Registration Statement on</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Form 10, and amendments thereto, declared effective April 13, 2010 (File No. 000-53885))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4"/>
              </w:rPr>
            </w:pPr>
            <w:hyperlink r:id="rId162">
              <w:r>
                <w:rPr>
                  <w:rFonts w:ascii="Arial" w:cs="Arial" w:eastAsia="Arial" w:hAnsi="Arial"/>
                  <w:sz w:val="18"/>
                  <w:szCs w:val="18"/>
                  <w:color w:val="0000EE"/>
                  <w:w w:val="94"/>
                </w:rPr>
                <w:t>Pre-Annexation and Development Agreement, dated March 3, 2008, by and between the City of Santa Paula and Limoneira Company</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(Incorporated by reference to exhibit 10.20 to the Company’s Registration Statement on Form 10, and amendments thereto, declared</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62">
              <w:r>
                <w:rPr>
                  <w:rFonts w:ascii="Arial" w:cs="Arial" w:eastAsia="Arial" w:hAnsi="Arial"/>
                  <w:sz w:val="18"/>
                  <w:szCs w:val="18"/>
                  <w:color w:val="0000EE"/>
                  <w:w w:val="93"/>
                </w:rPr>
                <w:t>effective April 13, 2010 (File No. 000-53885))</w:t>
              </w:r>
            </w:hyperlink>
          </w:p>
        </w:tc>
        <w:tc>
          <w:tcPr>
            <w:tcW w:w="66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 xml:space="preserve">Judgment, dated March 7, 1996, </w:t>
              </w:r>
              <w:r>
                <w:rPr>
                  <w:rFonts w:ascii="Arial" w:cs="Arial" w:eastAsia="Arial" w:hAnsi="Arial"/>
                  <w:sz w:val="18"/>
                  <w:szCs w:val="18"/>
                  <w:i w:val="1"/>
                  <w:iCs w:val="1"/>
                  <w:color w:val="0000EE"/>
                  <w:w w:val="91"/>
                </w:rPr>
                <w:t>United Water Conservation Dist. v. City of San Buenaventura, et al.</w:t>
              </w:r>
              <w:r>
                <w:rPr>
                  <w:rFonts w:ascii="Arial" w:cs="Arial" w:eastAsia="Arial" w:hAnsi="Arial"/>
                  <w:sz w:val="18"/>
                  <w:szCs w:val="18"/>
                  <w:color w:val="0000EE"/>
                  <w:w w:val="91"/>
                </w:rPr>
                <w:t>, Case No. 115611, Superior Court of</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the State of California, Ventura County (Incorporated by reference to exhibit 10.24 to the Company’s Registration Statement on Form 10,</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and amendments thereto, declared effective April 13, 2010 (File No. 000-53885))</w:t>
              </w:r>
            </w:hyperlink>
          </w:p>
        </w:tc>
        <w:tc>
          <w:tcPr>
            <w:tcW w:w="4160" w:type="dxa"/>
            <w:vAlign w:val="bottom"/>
            <w:gridSpan w:val="7"/>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Agricultural Land Lease, dated January 6, 2012 and effective January 1, 2012, by and between Limoneira Company and the C. V. Sheldon</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164">
              <w:r>
                <w:rPr>
                  <w:rFonts w:ascii="Arial" w:cs="Arial" w:eastAsia="Arial" w:hAnsi="Arial"/>
                  <w:sz w:val="18"/>
                  <w:szCs w:val="18"/>
                  <w:color w:val="0000EE"/>
                  <w:w w:val="94"/>
                </w:rPr>
                <w:t>Family Limited Partnership (Incorporated by reference to exhibit 10.1 of the Company’s Current Report on Form 8-K, filed January 11,</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2012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65">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Agricultural Land Lease, dated January 6, 2012 and effective January 1, 2012, by and between Limoneira Company and the CH Sheldon</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7"/>
              </w:rPr>
            </w:pPr>
            <w:hyperlink r:id="rId165">
              <w:r>
                <w:rPr>
                  <w:rFonts w:ascii="Arial" w:cs="Arial" w:eastAsia="Arial" w:hAnsi="Arial"/>
                  <w:sz w:val="18"/>
                  <w:szCs w:val="18"/>
                  <w:color w:val="0000EE"/>
                  <w:w w:val="97"/>
                </w:rPr>
                <w:t>LP (Incorporated by reference to exhibit 10.2 of the Company’s Current Report on Form 8-K, filed January 11, 2012 (File No. 001-</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34755)</w:t>
              </w:r>
              <w:r>
                <w:rPr>
                  <w:rFonts w:ascii="Arial" w:cs="Arial" w:eastAsia="Arial" w:hAnsi="Arial"/>
                  <w:sz w:val="18"/>
                  <w:szCs w:val="18"/>
                  <w:u w:val="single" w:color="auto"/>
                  <w:color w:val="0000EE"/>
                  <w:w w:val="90"/>
                </w:rPr>
                <w:t>)</w:t>
              </w:r>
            </w:hyperlink>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Pr>
          <w:p>
            <w:pPr>
              <w:spacing w:after="0"/>
              <w:rPr>
                <w:rFonts w:ascii="Arial" w:cs="Arial" w:eastAsia="Arial" w:hAnsi="Arial"/>
                <w:sz w:val="18"/>
                <w:szCs w:val="18"/>
                <w:color w:val="0000EE"/>
                <w:w w:val="88"/>
              </w:rPr>
            </w:pPr>
            <w:hyperlink r:id="rId1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Agricultural Land Lease, dated January 6, 2012 and effective January 1, 2012, by and between Limoneira Company and Charles W. T.</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7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Sheldon (Incorporated by reference to exhibit 10.3 of the Company’s Current Report on Form 8-K, filed January 11, 2012 (File No. 001-</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34755)</w:t>
              </w:r>
              <w:r>
                <w:rPr>
                  <w:rFonts w:ascii="Arial" w:cs="Arial" w:eastAsia="Arial" w:hAnsi="Arial"/>
                  <w:sz w:val="18"/>
                  <w:szCs w:val="18"/>
                  <w:u w:val="single" w:color="auto"/>
                  <w:color w:val="0000EE"/>
                  <w:w w:val="90"/>
                </w:rPr>
                <w:t>)</w:t>
              </w:r>
            </w:hyperlink>
          </w:p>
        </w:tc>
        <w:tc>
          <w:tcPr>
            <w:tcW w:w="14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67">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Agricultural Land Lease, dated January 6, 2012 and effective January 1, 2012, by and between Limoneira Company and Paul N. Sheldon</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Family Trust, U/D/T 10-27-06 (Incorporated by reference to exhibit 10.4 of the Company’s Current Report on Form 8-K, filed January 11,</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2012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spacing w:after="0"/>
              <w:rPr>
                <w:rFonts w:ascii="Arial" w:cs="Arial" w:eastAsia="Arial" w:hAnsi="Arial"/>
                <w:sz w:val="18"/>
                <w:szCs w:val="18"/>
                <w:color w:val="0000EE"/>
                <w:w w:val="88"/>
              </w:rPr>
            </w:pPr>
            <w:hyperlink r:id="rId16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Agricultural Land Lease, dated January 6, 2012 and effective January 1, 2012, by and between Limoneira Company and Sheldon Family</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7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Revocable Trust, U/D/T 1-31-10 (Incorporated by reference to exhibit 10.5 of the Company’s Current Report on Form 8-K, filed January</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11, 2012 (File No. 001-34755))</w:t>
              </w:r>
            </w:hyperlink>
          </w:p>
        </w:tc>
      </w:tr>
      <w:tr>
        <w:trPr>
          <w:trHeight w:val="696"/>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gridSpan w:val="9"/>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500" w:type="dxa"/>
            <w:vAlign w:val="bottom"/>
            <w:tcBorders>
              <w:top w:val="single" w:sz="8" w:color="auto"/>
            </w:tcBorders>
            <w:gridSpan w:val="2"/>
          </w:tcPr>
          <w:p>
            <w:pPr>
              <w:spacing w:after="0"/>
              <w:rPr>
                <w:rFonts w:ascii="Arial" w:cs="Arial" w:eastAsia="Arial" w:hAnsi="Arial"/>
                <w:sz w:val="18"/>
                <w:szCs w:val="18"/>
                <w:color w:val="0000EE"/>
              </w:rPr>
            </w:pPr>
            <w:hyperlink r:id="rId169">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14"/>
          </w:tcPr>
          <w:p>
            <w:pPr>
              <w:spacing w:after="0"/>
              <w:rPr>
                <w:rFonts w:ascii="Arial" w:cs="Arial" w:eastAsia="Arial" w:hAnsi="Arial"/>
                <w:sz w:val="18"/>
                <w:szCs w:val="18"/>
                <w:color w:val="0000EE"/>
                <w:w w:val="94"/>
              </w:rPr>
            </w:pPr>
            <w:hyperlink r:id="rId169">
              <w:r>
                <w:rPr>
                  <w:rFonts w:ascii="Arial" w:cs="Arial" w:eastAsia="Arial" w:hAnsi="Arial"/>
                  <w:sz w:val="18"/>
                  <w:szCs w:val="18"/>
                  <w:color w:val="0000EE"/>
                  <w:w w:val="94"/>
                </w:rPr>
                <w:t>Agricultural Land Lease, dated January 6, 2012 and effective January 1, 2012, by and between Limoneira Company and Katherine J.</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Sheldon as Trustee of the Katherine J. Sheldon Trust (Incorporated by reference to exhibit 10.6 of the Company’s Current Report on Form</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8-K, filed January 11, 2012 (File No. 001-34755))</w:t>
              </w:r>
            </w:hyperlink>
          </w:p>
        </w:tc>
        <w:tc>
          <w:tcPr>
            <w:tcW w:w="6420" w:type="dxa"/>
            <w:vAlign w:val="bottom"/>
            <w:gridSpan w:val="9"/>
          </w:tcPr>
          <w:p>
            <w:pPr>
              <w:spacing w:after="0"/>
              <w:rPr>
                <w:sz w:val="17"/>
                <w:szCs w:val="17"/>
                <w:color w:val="auto"/>
              </w:rPr>
            </w:pPr>
          </w:p>
        </w:tc>
      </w:tr>
      <w:tr>
        <w:trPr>
          <w:trHeight w:val="412"/>
        </w:trPr>
        <w:tc>
          <w:tcPr>
            <w:tcW w:w="420" w:type="dxa"/>
            <w:vAlign w:val="bottom"/>
          </w:tcPr>
          <w:p>
            <w:pPr>
              <w:spacing w:after="0"/>
              <w:rPr>
                <w:rFonts w:ascii="Arial" w:cs="Arial" w:eastAsia="Arial" w:hAnsi="Arial"/>
                <w:sz w:val="18"/>
                <w:szCs w:val="18"/>
                <w:color w:val="0000EE"/>
                <w:w w:val="88"/>
              </w:rPr>
            </w:pPr>
            <w:hyperlink r:id="rId17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Option Agreement, dated February 27, 2013, by and among the Company, Jason B. Rushing as Trustee of the Jason B. Rushing Trust,</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Jennifer R. Rushing as trustee for the Jennifer R. Rushing Revocable trust, Zella A. Rushing as trustee of the 1988 Zella Rushing Trust</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(Incorporated by reference to exhibit 10.1 of the company’s Quarterly Report on Form 10-Q, filed June 10, 2013 (File No. 001-34755))</w:t>
              </w:r>
            </w:hyperlink>
          </w:p>
        </w:tc>
        <w:tc>
          <w:tcPr>
            <w:tcW w:w="2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1">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Purchase and Sale Agreement and Escrow Instructions, dated April 8, 2013, by and among HM East Ridge LLC, Limoneira Company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IPDC construction, Inc., (Incorporated by reference to exhibit 10.1 to the Current Report on Form 8-K, filed April 12, 2013 (File No. 001-</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34755)</w:t>
              </w:r>
              <w:r>
                <w:rPr>
                  <w:rFonts w:ascii="Arial" w:cs="Arial" w:eastAsia="Arial" w:hAnsi="Arial"/>
                  <w:sz w:val="18"/>
                  <w:szCs w:val="18"/>
                  <w:u w:val="single" w:color="auto"/>
                  <w:color w:val="0000EE"/>
                  <w:w w:val="90"/>
                </w:rPr>
                <w:t>)</w:t>
              </w:r>
            </w:hyperlink>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2">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4"/>
              </w:rPr>
            </w:pPr>
            <w:hyperlink r:id="rId172">
              <w:r>
                <w:rPr>
                  <w:rFonts w:ascii="Arial" w:cs="Arial" w:eastAsia="Arial" w:hAnsi="Arial"/>
                  <w:sz w:val="18"/>
                  <w:szCs w:val="18"/>
                  <w:color w:val="0000EE"/>
                  <w:w w:val="94"/>
                </w:rPr>
                <w:t>Lease Agreement, dated July 1, 2013, by and between the Company and Cadiz, Inc. (Incorporated by reference to exhibit 10.1 to the</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Current Report on Form 8-K, filed July 2, 2013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173">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Cadiz-Limoneira Amended and Restated Lease, dated February 3, 2015, by and between Cadiz Real Estate LLC and Limoneira Company</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173">
              <w:r>
                <w:rPr>
                  <w:rFonts w:ascii="Arial" w:cs="Arial" w:eastAsia="Arial" w:hAnsi="Arial"/>
                  <w:sz w:val="18"/>
                  <w:szCs w:val="18"/>
                  <w:color w:val="0000EE"/>
                  <w:w w:val="93"/>
                </w:rPr>
                <w:t>(Incorporated by reference to exhibit 10.1 of the company’s Quarterly Report on Form 10-Q, filed March 9, 2015 (File No. 001-34755)).</w:t>
              </w:r>
            </w:hyperlink>
          </w:p>
        </w:tc>
        <w:tc>
          <w:tcPr>
            <w:tcW w:w="20" w:type="dxa"/>
            <w:vAlign w:val="bottom"/>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4">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Agreement and Plan of Merger, dated September 6, 2013, by and among Limoneira Company, ACP Merger Sub, Inc., Associated Citrus</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4"/>
              </w:rPr>
            </w:pPr>
            <w:hyperlink r:id="rId174">
              <w:r>
                <w:rPr>
                  <w:rFonts w:ascii="Arial" w:cs="Arial" w:eastAsia="Arial" w:hAnsi="Arial"/>
                  <w:sz w:val="18"/>
                  <w:szCs w:val="18"/>
                  <w:color w:val="0000EE"/>
                  <w:w w:val="94"/>
                </w:rPr>
                <w:t>Packers, Inc., and Mark Spencer, as the Shareholder Representative defined therein (Incorporated by reference to exhibit 10.1 to the</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Current Report on form 8-K, filed September 12, 2013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5">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Purchase and Sale Agreement and Joint Escrow Instructions, dated September 27, 2013, by and between Sun World International, LLC</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and Limoneira Company (Incorporated by reference to exhibit 10.1 to the Current Report on Form 8-K, filed October 15, 2013 (File No.</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001-34755))</w:t>
              </w:r>
            </w:hyperlink>
          </w:p>
        </w:tc>
        <w:tc>
          <w:tcPr>
            <w:tcW w:w="20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6">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8"/>
              </w:rPr>
            </w:pPr>
            <w:hyperlink r:id="rId176">
              <w:r>
                <w:rPr>
                  <w:rFonts w:ascii="Arial" w:cs="Arial" w:eastAsia="Arial" w:hAnsi="Arial"/>
                  <w:sz w:val="18"/>
                  <w:szCs w:val="18"/>
                  <w:color w:val="0000EE"/>
                  <w:w w:val="98"/>
                </w:rPr>
                <w:t>Construction Contract and Agreement, dated October 1, 2013, by and between Limoneira Company and NEXGEN Builders, Inc.</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(Incorporated by reference to exhibit 10.1 to the Current Report on Form 8-K, filed December 4, 2013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7">
              <w:r>
                <w:rPr>
                  <w:rFonts w:ascii="Arial" w:cs="Arial" w:eastAsia="Arial" w:hAnsi="Arial"/>
                  <w:sz w:val="18"/>
                  <w:szCs w:val="18"/>
                  <w:color w:val="0000EE"/>
                </w:rPr>
                <w:t>10.</w:t>
              </w:r>
              <w:r>
                <w:rPr>
                  <w:rFonts w:ascii="Arial" w:cs="Arial" w:eastAsia="Arial" w:hAnsi="Arial"/>
                  <w:sz w:val="18"/>
                  <w:szCs w:val="18"/>
                  <w:u w:val="single" w:color="auto"/>
                  <w:color w:val="0000EE"/>
                </w:rPr>
                <w:t>35</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General Conditions of the Contract and Agreement, dated October 1, 2013, by and between Limoneira company and NEXGEN Builders,</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Inc. (Incorporated by reference to exhibit 10.2 to the Current Report on Form 8-K, filed December 4, 2013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8">
              <w:r>
                <w:rPr>
                  <w:rFonts w:ascii="Arial" w:cs="Arial" w:eastAsia="Arial" w:hAnsi="Arial"/>
                  <w:sz w:val="18"/>
                  <w:szCs w:val="18"/>
                  <w:color w:val="0000EE"/>
                </w:rPr>
                <w:t>10.</w:t>
              </w:r>
              <w:r>
                <w:rPr>
                  <w:rFonts w:ascii="Arial" w:cs="Arial" w:eastAsia="Arial" w:hAnsi="Arial"/>
                  <w:sz w:val="18"/>
                  <w:szCs w:val="18"/>
                  <w:u w:val="single" w:color="auto"/>
                  <w:color w:val="0000EE"/>
                </w:rPr>
                <w:t>36</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Purchase and Sale Agreement and Escrow Instructions, dated November 29, 2013, by and between Templeton Santa Barbara, LLC and MI</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r:id="rId178">
              <w:r>
                <w:rPr>
                  <w:rFonts w:ascii="Arial" w:cs="Arial" w:eastAsia="Arial" w:hAnsi="Arial"/>
                  <w:sz w:val="18"/>
                  <w:szCs w:val="18"/>
                  <w:color w:val="0000EE"/>
                  <w:w w:val="93"/>
                </w:rPr>
                <w:t>Land, LLC related to the sale of the Sevilla Property (Incorporated by reference to exhibit 10.3 to the Current Report on Form 8-K, filed</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December 4, 2013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79">
              <w:r>
                <w:rPr>
                  <w:rFonts w:ascii="Arial" w:cs="Arial" w:eastAsia="Arial" w:hAnsi="Arial"/>
                  <w:sz w:val="18"/>
                  <w:szCs w:val="18"/>
                  <w:color w:val="0000EE"/>
                </w:rPr>
                <w:t>10.</w:t>
              </w:r>
              <w:r>
                <w:rPr>
                  <w:rFonts w:ascii="Arial" w:cs="Arial" w:eastAsia="Arial" w:hAnsi="Arial"/>
                  <w:sz w:val="18"/>
                  <w:szCs w:val="18"/>
                  <w:u w:val="single" w:color="auto"/>
                  <w:color w:val="0000EE"/>
                </w:rPr>
                <w:t>37</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Purchase and Sale Agreement and Escrow Instructions, dated November 29, 2013, by and between Templeton Santa Barbara, LLC and MI</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Land, LLC related to the sale of the Pacific Crest Property (Incorporated by reference to exhibit 10.4 to the Current Report on Form 8-K,</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filed December 4, 2013 (File No. 001-34755))</w:t>
              </w:r>
            </w:hyperlink>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80">
              <w:r>
                <w:rPr>
                  <w:rFonts w:ascii="Arial" w:cs="Arial" w:eastAsia="Arial" w:hAnsi="Arial"/>
                  <w:sz w:val="18"/>
                  <w:szCs w:val="18"/>
                  <w:color w:val="0000EE"/>
                </w:rPr>
                <w:t>10.</w:t>
              </w:r>
              <w:r>
                <w:rPr>
                  <w:rFonts w:ascii="Arial" w:cs="Arial" w:eastAsia="Arial" w:hAnsi="Arial"/>
                  <w:sz w:val="18"/>
                  <w:szCs w:val="18"/>
                  <w:u w:val="single" w:color="auto"/>
                  <w:color w:val="0000EE"/>
                </w:rPr>
                <w:t>38</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Series B-2 Preferred Stock Purchase Agreement, dated March 21, 2014, by and between Limoneira Company and WPI-ACP Holdings,</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LLC (Incorporated by reference to exhibit 10.1 to the Current Report on Form 8-K, filed March 24, 2014 (File No. 001-34755))</w:t>
              </w:r>
            </w:hyperlink>
          </w:p>
        </w:tc>
        <w:tc>
          <w:tcPr>
            <w:tcW w:w="820" w:type="dxa"/>
            <w:vAlign w:val="bottom"/>
            <w:tcBorders>
              <w:top w:val="single" w:sz="8" w:color="0000EE"/>
            </w:tcBorders>
            <w:gridSpan w:val="5"/>
          </w:tcPr>
          <w:p>
            <w:pPr>
              <w:spacing w:after="0"/>
              <w:rPr>
                <w:sz w:val="17"/>
                <w:szCs w:val="17"/>
                <w:color w:val="auto"/>
              </w:rPr>
            </w:pPr>
          </w:p>
        </w:tc>
      </w:tr>
      <w:tr>
        <w:trPr>
          <w:trHeight w:val="412"/>
        </w:trPr>
        <w:tc>
          <w:tcPr>
            <w:tcW w:w="420" w:type="dxa"/>
            <w:vAlign w:val="bottom"/>
          </w:tcPr>
          <w:p>
            <w:pPr>
              <w:spacing w:after="0"/>
              <w:rPr>
                <w:rFonts w:ascii="Arial" w:cs="Arial" w:eastAsia="Arial" w:hAnsi="Arial"/>
                <w:sz w:val="18"/>
                <w:szCs w:val="18"/>
                <w:color w:val="0000EE"/>
                <w:w w:val="88"/>
              </w:rPr>
            </w:pPr>
            <w:hyperlink r:id="rId18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rPr>
            </w:pPr>
            <w:hyperlink r:id="rId181">
              <w:r>
                <w:rPr>
                  <w:rFonts w:ascii="Arial" w:cs="Arial" w:eastAsia="Arial" w:hAnsi="Arial"/>
                  <w:sz w:val="18"/>
                  <w:szCs w:val="18"/>
                  <w:color w:val="0000EE"/>
                </w:rPr>
                <w:t>Contribution Agreement, dated September 4, 2015, by and among Limoneira Company and Lewis Santa Paula Member, LLC</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(Incorporated by reference to exhibit 10.1 to the Company’s Current Report on Form 8-K, filed September 10, 2015 (File No. 001-34755))</w:t>
              </w:r>
            </w:hyperlink>
          </w:p>
        </w:tc>
        <w:tc>
          <w:tcPr>
            <w:tcW w:w="20" w:type="dxa"/>
            <w:vAlign w:val="bottom"/>
          </w:tcPr>
          <w:p>
            <w:pPr>
              <w:spacing w:after="0"/>
              <w:rPr>
                <w:sz w:val="17"/>
                <w:szCs w:val="17"/>
                <w:color w:val="auto"/>
              </w:rPr>
            </w:pPr>
          </w:p>
        </w:tc>
      </w:tr>
      <w:tr>
        <w:trPr>
          <w:trHeight w:val="696"/>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20" w:type="dxa"/>
            <w:vAlign w:val="bottom"/>
            <w:gridSpan w:val="10"/>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bottom w:val="single" w:sz="8" w:color="0000EE"/>
            </w:tcBorders>
          </w:tcPr>
          <w:p>
            <w:pPr>
              <w:spacing w:after="0"/>
              <w:rPr>
                <w:rFonts w:ascii="Arial" w:cs="Arial" w:eastAsia="Arial" w:hAnsi="Arial"/>
                <w:sz w:val="18"/>
                <w:szCs w:val="18"/>
                <w:color w:val="0000EE"/>
                <w:w w:val="88"/>
              </w:rPr>
            </w:pPr>
            <w:hyperlink r:id="rId1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bottom w:val="single" w:sz="8" w:color="0000EE"/>
            </w:tcBorders>
            <w:gridSpan w:val="15"/>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First Amended and Restated Limited Liability Company Agreement of Limoneira Lewis Community Builders, LLC, dated November 10,</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82">
              <w:r>
                <w:rPr>
                  <w:rFonts w:ascii="Arial" w:cs="Arial" w:eastAsia="Arial" w:hAnsi="Arial"/>
                  <w:sz w:val="18"/>
                  <w:szCs w:val="18"/>
                  <w:color w:val="0000EE"/>
                  <w:w w:val="94"/>
                </w:rPr>
                <w:t>2015, by and among Limoneira EA1 Land LLC and Lewis Santa Paula Member, LLC (Incorporated by reference to exhibit 10.1 to the</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Company’s Current Report on Form 8-K, filed November 16, 2015 (File No. 001-34755))</w:t>
              </w:r>
            </w:hyperlink>
          </w:p>
        </w:tc>
        <w:tc>
          <w:tcPr>
            <w:tcW w:w="3560" w:type="dxa"/>
            <w:vAlign w:val="bottom"/>
            <w:gridSpan w:val="9"/>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4"/>
              </w:rPr>
            </w:pPr>
            <w:hyperlink r:id="rId183">
              <w:r>
                <w:rPr>
                  <w:rFonts w:ascii="Arial" w:cs="Arial" w:eastAsia="Arial" w:hAnsi="Arial"/>
                  <w:sz w:val="18"/>
                  <w:szCs w:val="18"/>
                  <w:color w:val="0000EE"/>
                  <w:w w:val="94"/>
                </w:rPr>
                <w:t>Interim Funding Agreement, dated December 1, 2015, between Limoneira and Wells Fargo Equipment Finance, Inc. (Incorporated by</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reference to exhibit 10.1 to the Company’s Current Report on Form 8-K, filed December 22, 2015 (File No. 001-34755))</w:t>
              </w:r>
            </w:hyperlink>
          </w:p>
        </w:tc>
        <w:tc>
          <w:tcPr>
            <w:tcW w:w="1320" w:type="dxa"/>
            <w:vAlign w:val="bottom"/>
            <w:gridSpan w:val="4"/>
          </w:tcPr>
          <w:p>
            <w:pPr>
              <w:spacing w:after="0"/>
              <w:rPr>
                <w:sz w:val="17"/>
                <w:szCs w:val="17"/>
                <w:color w:val="auto"/>
              </w:rPr>
            </w:pPr>
          </w:p>
        </w:tc>
      </w:tr>
      <w:tr>
        <w:trPr>
          <w:trHeight w:val="412"/>
        </w:trPr>
        <w:tc>
          <w:tcPr>
            <w:tcW w:w="420" w:type="dxa"/>
            <w:vAlign w:val="bottom"/>
          </w:tcPr>
          <w:p>
            <w:pPr>
              <w:spacing w:after="0"/>
              <w:rPr>
                <w:rFonts w:ascii="Arial" w:cs="Arial" w:eastAsia="Arial" w:hAnsi="Arial"/>
                <w:sz w:val="18"/>
                <w:szCs w:val="18"/>
                <w:color w:val="0000EE"/>
                <w:w w:val="88"/>
              </w:rPr>
            </w:pPr>
            <w:hyperlink r:id="rId1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Master Loan and Security Agreement, dated December 1, 2015, between Limoneira Company and Wells Fargo Equipment Finance, Inc.</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(Incorporated by reference to exhibit 10.1 to the Company’s Quarterly Report on Form 10-Q, filed March 10, 2016 (File No. 001-34755))</w:t>
              </w:r>
            </w:hyperlink>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8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43</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7"/>
              </w:rPr>
            </w:pPr>
            <w:hyperlink r:id="rId185">
              <w:r>
                <w:rPr>
                  <w:rFonts w:ascii="Arial" w:cs="Arial" w:eastAsia="Arial" w:hAnsi="Arial"/>
                  <w:sz w:val="18"/>
                  <w:szCs w:val="18"/>
                  <w:color w:val="0000EE"/>
                  <w:w w:val="97"/>
                </w:rPr>
                <w:t>Loan Schedule to Master Loan and Security Agreement, dated January 20, 2016, between Limoneira Company and Wells Fargo</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85">
              <w:r>
                <w:rPr>
                  <w:rFonts w:ascii="Arial" w:cs="Arial" w:eastAsia="Arial" w:hAnsi="Arial"/>
                  <w:sz w:val="18"/>
                  <w:szCs w:val="18"/>
                  <w:color w:val="0000EE"/>
                  <w:w w:val="94"/>
                </w:rPr>
                <w:t>Equipment Finance, Inc. (Incorporated by reference to exhibit 10.2 to the Company’s Quarterly Report on Form 10-Q, filed March 10,</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2016 (File No. 001-34755))</w:t>
              </w:r>
            </w:hyperlink>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44</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rPr>
            </w:pPr>
            <w:hyperlink r:id="rId186">
              <w:r>
                <w:rPr>
                  <w:rFonts w:ascii="Arial" w:cs="Arial" w:eastAsia="Arial" w:hAnsi="Arial"/>
                  <w:sz w:val="18"/>
                  <w:szCs w:val="18"/>
                  <w:color w:val="0000EE"/>
                </w:rPr>
                <w:t>Promissory Note and Loan Agreement, dated February 11, 2016, between Limoneira Company and Farm Credit West, FLCA</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(Incorporated by reference to exhibit 10.1 to the Company’s Current Report on Form 8-K filed on February 18, 2016 (File No. 001-34755)</w:t>
              </w:r>
            </w:hyperlink>
          </w:p>
        </w:tc>
        <w:tc>
          <w:tcPr>
            <w:tcW w:w="4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8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45</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7"/>
              </w:rPr>
            </w:pPr>
            <w:hyperlink r:id="rId187">
              <w:r>
                <w:rPr>
                  <w:rFonts w:ascii="Arial" w:cs="Arial" w:eastAsia="Arial" w:hAnsi="Arial"/>
                  <w:sz w:val="18"/>
                  <w:szCs w:val="18"/>
                  <w:color w:val="0000EE"/>
                  <w:w w:val="97"/>
                </w:rPr>
                <w:t>Lease Agreement, dated November 10, 2015, by and among Limoneira Company and Limoneira Lewis Community Builders, LLC</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187">
              <w:r>
                <w:rPr>
                  <w:rFonts w:ascii="Arial" w:cs="Arial" w:eastAsia="Arial" w:hAnsi="Arial"/>
                  <w:sz w:val="18"/>
                  <w:szCs w:val="18"/>
                  <w:color w:val="0000EE"/>
                  <w:w w:val="96"/>
                </w:rPr>
                <w:t>(Incorporated by reference to exhibit 10.2 to the Company’s Current Report on Form 8-K filed on November 16, 2015 (File No. 001-</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87">
              <w:r>
                <w:rPr>
                  <w:rFonts w:ascii="Arial" w:cs="Arial" w:eastAsia="Arial" w:hAnsi="Arial"/>
                  <w:sz w:val="18"/>
                  <w:szCs w:val="18"/>
                  <w:color w:val="0000EE"/>
                  <w:w w:val="89"/>
                </w:rPr>
                <w:t>34755)</w:t>
              </w:r>
            </w:hyperlink>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8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46</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7"/>
              </w:rPr>
            </w:pPr>
            <w:hyperlink r:id="rId188">
              <w:r>
                <w:rPr>
                  <w:rFonts w:ascii="Arial" w:cs="Arial" w:eastAsia="Arial" w:hAnsi="Arial"/>
                  <w:sz w:val="18"/>
                  <w:szCs w:val="18"/>
                  <w:color w:val="0000EE"/>
                  <w:w w:val="97"/>
                </w:rPr>
                <w:t>Retained Property Development Agreement, dated November 10, 2015, by and among Limoneira Company and Limoneira Lewis</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Community Builders, LLC (Incorporated by reference to exhibit 10.3 to the Company’s Current Report on Form 8-K filed November 16,</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2015 (File No. 001-34755)</w:t>
              </w:r>
            </w:hyperlink>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r:id="rId189">
              <w:r>
                <w:rPr>
                  <w:rFonts w:ascii="Arial" w:cs="Arial" w:eastAsia="Arial" w:hAnsi="Arial"/>
                  <w:sz w:val="18"/>
                  <w:szCs w:val="18"/>
                  <w:color w:val="0000EE"/>
                </w:rPr>
                <w:t>10.</w:t>
              </w:r>
              <w:r>
                <w:rPr>
                  <w:rFonts w:ascii="Arial" w:cs="Arial" w:eastAsia="Arial" w:hAnsi="Arial"/>
                  <w:sz w:val="18"/>
                  <w:szCs w:val="18"/>
                  <w:u w:val="single" w:color="auto"/>
                  <w:color w:val="0000EE"/>
                </w:rPr>
                <w:t>47†</w:t>
              </w:r>
            </w:hyperlink>
          </w:p>
        </w:tc>
        <w:tc>
          <w:tcPr>
            <w:tcW w:w="10040" w:type="dxa"/>
            <w:vAlign w:val="bottom"/>
            <w:gridSpan w:val="15"/>
          </w:tcPr>
          <w:p>
            <w:pPr>
              <w:spacing w:after="0"/>
              <w:rPr>
                <w:rFonts w:ascii="Arial" w:cs="Arial" w:eastAsia="Arial" w:hAnsi="Arial"/>
                <w:sz w:val="18"/>
                <w:szCs w:val="18"/>
                <w:color w:val="0000EE"/>
                <w:w w:val="97"/>
              </w:rPr>
            </w:pPr>
            <w:hyperlink r:id="rId189">
              <w:r>
                <w:rPr>
                  <w:rFonts w:ascii="Arial" w:cs="Arial" w:eastAsia="Arial" w:hAnsi="Arial"/>
                  <w:sz w:val="18"/>
                  <w:szCs w:val="18"/>
                  <w:color w:val="0000EE"/>
                  <w:w w:val="97"/>
                </w:rPr>
                <w:t>Form of Award Agreement under the Limoneira Company 2010 Amended and Restated Omnibus Incentive Plan (Incorporated by</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reference to exhibit 10.8 to the Company’s Quarterly Report on Form 10-Q, filed March 10, 2016 (File No. 001-34755))</w:t>
              </w:r>
            </w:hyperlink>
          </w:p>
        </w:tc>
        <w:tc>
          <w:tcPr>
            <w:tcW w:w="13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48</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Master Loan Agreement, dated June 19, 2017, between Limoneira Company and Farm Credit West, FLCA (Incorporated by reference to</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exhibit 10.1 to the Company’s Current Report on Form 8-K, file June 21, 2017 (File No. 001-34755))</w:t>
              </w:r>
            </w:hyperlink>
          </w:p>
        </w:tc>
        <w:tc>
          <w:tcPr>
            <w:tcW w:w="2720" w:type="dxa"/>
            <w:vAlign w:val="bottom"/>
            <w:gridSpan w:val="8"/>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49</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8"/>
              </w:rPr>
            </w:pPr>
            <w:hyperlink r:id="rId191">
              <w:r>
                <w:rPr>
                  <w:rFonts w:ascii="Arial" w:cs="Arial" w:eastAsia="Arial" w:hAnsi="Arial"/>
                  <w:sz w:val="18"/>
                  <w:szCs w:val="18"/>
                  <w:color w:val="0000EE"/>
                  <w:w w:val="98"/>
                </w:rPr>
                <w:t>Revolving Credit Facility Promissory Note and Supplement to Master Loan Agreement, dated June 19, 2017, between Limoneira</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91">
              <w:r>
                <w:rPr>
                  <w:rFonts w:ascii="Arial" w:cs="Arial" w:eastAsia="Arial" w:hAnsi="Arial"/>
                  <w:sz w:val="18"/>
                  <w:szCs w:val="18"/>
                  <w:color w:val="0000EE"/>
                  <w:w w:val="94"/>
                </w:rPr>
                <w:t>Company and Farm Credit West FLCA (Incorporated by reference to exhibit 10.2 to the Company’s Current Report on Form 8-K, filed</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June 21, 2017 (File No. 001-34755))</w:t>
              </w:r>
            </w:hyperlink>
          </w:p>
        </w:tc>
        <w:tc>
          <w:tcPr>
            <w:tcW w:w="7380" w:type="dxa"/>
            <w:vAlign w:val="bottom"/>
            <w:gridSpan w:val="11"/>
          </w:tcPr>
          <w:p>
            <w:pPr>
              <w:spacing w:after="0"/>
              <w:rPr>
                <w:sz w:val="17"/>
                <w:szCs w:val="17"/>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88"/>
              </w:rPr>
            </w:pPr>
            <w:hyperlink r:id="rId19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50</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6"/>
              </w:rPr>
            </w:pPr>
            <w:hyperlink r:id="rId192">
              <w:r>
                <w:rPr>
                  <w:rFonts w:ascii="Arial" w:cs="Arial" w:eastAsia="Arial" w:hAnsi="Arial"/>
                  <w:sz w:val="18"/>
                  <w:szCs w:val="18"/>
                  <w:color w:val="0000EE"/>
                  <w:w w:val="96"/>
                </w:rPr>
                <w:t>Non-revolving credit facility Promissory Note and Supplement to Master Loan Agreement, dated June 19, 2017, between Limoneira</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92">
              <w:r>
                <w:rPr>
                  <w:rFonts w:ascii="Arial" w:cs="Arial" w:eastAsia="Arial" w:hAnsi="Arial"/>
                  <w:sz w:val="18"/>
                  <w:szCs w:val="18"/>
                  <w:color w:val="0000EE"/>
                  <w:w w:val="94"/>
                </w:rPr>
                <w:t>Company and Farm Credit West FLCA (Incorporated by reference to exhibit 10.3 to the Company’s Current Report on Form 8-K, filed</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June 21, 2017 (File No. 001-24755))</w:t>
              </w:r>
            </w:hyperlink>
          </w:p>
        </w:tc>
        <w:tc>
          <w:tcPr>
            <w:tcW w:w="7380" w:type="dxa"/>
            <w:vAlign w:val="bottom"/>
            <w:gridSpan w:val="11"/>
          </w:tcPr>
          <w:p>
            <w:pPr>
              <w:spacing w:after="0"/>
              <w:rPr>
                <w:sz w:val="17"/>
                <w:szCs w:val="17"/>
                <w:color w:val="auto"/>
              </w:rPr>
            </w:pPr>
          </w:p>
        </w:tc>
      </w:tr>
      <w:tr>
        <w:trPr>
          <w:trHeight w:val="412"/>
        </w:trPr>
        <w:tc>
          <w:tcPr>
            <w:tcW w:w="420" w:type="dxa"/>
            <w:vAlign w:val="bottom"/>
          </w:tcPr>
          <w:p>
            <w:pPr>
              <w:spacing w:after="0"/>
              <w:rPr>
                <w:rFonts w:ascii="Arial" w:cs="Arial" w:eastAsia="Arial" w:hAnsi="Arial"/>
                <w:sz w:val="18"/>
                <w:szCs w:val="18"/>
                <w:color w:val="0000EE"/>
                <w:w w:val="95"/>
              </w:rPr>
            </w:pPr>
            <w:hyperlink w:anchor="page115">
              <w:r>
                <w:rPr>
                  <w:rFonts w:ascii="Arial" w:cs="Arial" w:eastAsia="Arial" w:hAnsi="Arial"/>
                  <w:sz w:val="18"/>
                  <w:szCs w:val="18"/>
                  <w:color w:val="0000EE"/>
                  <w:w w:val="95"/>
                </w:rPr>
                <w:t>21.</w:t>
              </w:r>
              <w:r>
                <w:rPr>
                  <w:rFonts w:ascii="Arial" w:cs="Arial" w:eastAsia="Arial" w:hAnsi="Arial"/>
                  <w:sz w:val="18"/>
                  <w:szCs w:val="18"/>
                  <w:u w:val="single" w:color="auto"/>
                  <w:color w:val="0000EE"/>
                  <w:w w:val="95"/>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Subsidiaries of Limoneira Company</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412"/>
        </w:trPr>
        <w:tc>
          <w:tcPr>
            <w:tcW w:w="420" w:type="dxa"/>
            <w:vAlign w:val="bottom"/>
          </w:tcPr>
          <w:p>
            <w:pPr>
              <w:spacing w:after="0"/>
              <w:rPr>
                <w:rFonts w:ascii="Arial" w:cs="Arial" w:eastAsia="Arial" w:hAnsi="Arial"/>
                <w:sz w:val="18"/>
                <w:szCs w:val="18"/>
                <w:color w:val="0000EE"/>
                <w:w w:val="95"/>
              </w:rPr>
            </w:pPr>
            <w:hyperlink w:anchor="page116">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Consent of Independent Registered Public Accounting Firm</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20" w:type="dxa"/>
            <w:vAlign w:val="bottom"/>
            <w:gridSpan w:val="5"/>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412"/>
        </w:trPr>
        <w:tc>
          <w:tcPr>
            <w:tcW w:w="420" w:type="dxa"/>
            <w:vAlign w:val="bottom"/>
            <w:tcBorders>
              <w:bottom w:val="single" w:sz="8" w:color="0000EE"/>
            </w:tcBorders>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Certificate of the Principal Executive Officer Pursuant to Exchange Act Rule 13a-14(a) and 15d-14(a)</w:t>
              </w:r>
            </w:hyperlink>
          </w:p>
        </w:tc>
        <w:tc>
          <w:tcPr>
            <w:tcW w:w="2680" w:type="dxa"/>
            <w:vAlign w:val="bottom"/>
            <w:gridSpan w:val="7"/>
          </w:tcPr>
          <w:p>
            <w:pPr>
              <w:spacing w:after="0"/>
              <w:rPr>
                <w:sz w:val="24"/>
                <w:szCs w:val="24"/>
                <w:color w:val="auto"/>
              </w:rPr>
            </w:pPr>
          </w:p>
        </w:tc>
      </w:tr>
      <w:tr>
        <w:trPr>
          <w:trHeight w:val="412"/>
        </w:trPr>
        <w:tc>
          <w:tcPr>
            <w:tcW w:w="420" w:type="dxa"/>
            <w:vAlign w:val="bottom"/>
          </w:tcPr>
          <w:p>
            <w:pPr>
              <w:spacing w:after="0"/>
              <w:rPr>
                <w:rFonts w:ascii="Arial" w:cs="Arial" w:eastAsia="Arial" w:hAnsi="Arial"/>
                <w:sz w:val="18"/>
                <w:szCs w:val="18"/>
                <w:color w:val="0000EE"/>
                <w:w w:val="95"/>
              </w:rPr>
            </w:pPr>
            <w:hyperlink w:anchor="page118">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Certificate of the Principal Financial and Accounting Officer Pursuant to Exchange Act Rule 13a-14(a) and 15d-14(a)</w:t>
              </w:r>
            </w:hyperlink>
          </w:p>
        </w:tc>
      </w:tr>
      <w:tr>
        <w:trPr>
          <w:trHeight w:val="696"/>
        </w:trPr>
        <w:tc>
          <w:tcPr>
            <w:tcW w:w="4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860" w:type="dxa"/>
            <w:vAlign w:val="bottom"/>
          </w:tcPr>
          <w:p>
            <w:pPr>
              <w:spacing w:after="0"/>
              <w:rPr>
                <w:sz w:val="20"/>
                <w:szCs w:val="20"/>
                <w:color w:val="auto"/>
              </w:rPr>
            </w:pPr>
          </w:p>
        </w:tc>
        <w:tc>
          <w:tcPr>
            <w:tcW w:w="9180" w:type="dxa"/>
            <w:vAlign w:val="bottom"/>
            <w:gridSpan w:val="2"/>
          </w:tcPr>
          <w:p>
            <w:pPr>
              <w:ind w:left="37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tcBorders>
          </w:tcPr>
          <w:p>
            <w:pPr>
              <w:spacing w:after="0"/>
              <w:rPr>
                <w:rFonts w:ascii="Arial" w:cs="Arial" w:eastAsia="Arial" w:hAnsi="Arial"/>
                <w:sz w:val="18"/>
                <w:szCs w:val="18"/>
                <w:color w:val="0000EE"/>
                <w:w w:val="95"/>
              </w:rPr>
            </w:pPr>
            <w:hyperlink w:anchor="page119">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3"/>
          </w:tcPr>
          <w:p>
            <w:pPr>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Certification of the Chief Executive Officer pursuant to 18 U.S.C. Section 1350, as adopted pursuant to Section 906 of the Sarbanes-Oxley</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r>
      <w:tr>
        <w:trPr>
          <w:trHeight w:val="412"/>
        </w:trPr>
        <w:tc>
          <w:tcPr>
            <w:tcW w:w="1160" w:type="dxa"/>
            <w:vAlign w:val="bottom"/>
            <w:gridSpan w:val="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20" w:type="dxa"/>
            <w:vAlign w:val="bottom"/>
          </w:tcPr>
          <w:p>
            <w:pPr>
              <w:spacing w:after="0"/>
              <w:rPr>
                <w:sz w:val="24"/>
                <w:szCs w:val="24"/>
                <w:color w:val="auto"/>
              </w:rPr>
            </w:pPr>
          </w:p>
        </w:tc>
        <w:tc>
          <w:tcPr>
            <w:tcW w:w="10040" w:type="dxa"/>
            <w:vAlign w:val="bottom"/>
            <w:gridSpan w:val="3"/>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Certification of the Chief Financial Officer pursuant to 18 U.S.C. Section 1350, as adopted pursuant to Section 906 of the Sarbanes-Oxley</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Act of 2002</w:t>
              </w:r>
            </w:hyperlink>
          </w:p>
        </w:tc>
      </w:tr>
      <w:tr>
        <w:trPr>
          <w:trHeight w:val="20"/>
        </w:trPr>
        <w:tc>
          <w:tcPr>
            <w:tcW w:w="1380" w:type="dxa"/>
            <w:vAlign w:val="bottom"/>
            <w:gridSpan w:val="3"/>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Denotes management contracts and compensatory plans or arrangements</w:t>
      </w:r>
    </w:p>
    <w:p>
      <w:pPr>
        <w:spacing w:after="0" w:line="9"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Exhibit 21.1</w:t>
            </w:r>
          </w:p>
        </w:tc>
        <w:tc>
          <w:tcPr>
            <w:tcW w:w="5460" w:type="dxa"/>
            <w:vAlign w:val="bottom"/>
          </w:tcPr>
          <w:p>
            <w:pPr>
              <w:spacing w:after="0"/>
              <w:rPr>
                <w:sz w:val="20"/>
                <w:szCs w:val="20"/>
                <w:color w:val="auto"/>
              </w:rPr>
            </w:pPr>
          </w:p>
        </w:tc>
      </w:tr>
      <w:tr>
        <w:trPr>
          <w:trHeight w:val="432"/>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List of Subsidiaries of Limoneira Company</w:t>
            </w:r>
          </w:p>
        </w:tc>
        <w:tc>
          <w:tcPr>
            <w:tcW w:w="2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Incorporation/Organization</w:t>
            </w: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Associated Citrus Packers, Inc.</w:t>
            </w: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EA1 Land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EA1 Management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EA2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Energy Company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International Division,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Lewis Community Builders,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Mercantile,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Windfall Investors,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Templeton Santa Barbara,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6037 East Donna Circle Drive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6146 East Cactus Wren Road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Chile SpA</w:t>
            </w: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Chile</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Limoneira SA</w:t>
            </w: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Republic of South Africa</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Fruticola Pan de Azucar S.A.</w:t>
            </w: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Chile</w:t>
            </w:r>
          </w:p>
        </w:tc>
      </w:tr>
      <w:tr>
        <w:trPr>
          <w:trHeight w:val="675"/>
        </w:trPr>
        <w:tc>
          <w:tcPr>
            <w:tcW w:w="5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Statement (Form S-8 No. 333-171934) pertaining to the Limoneira Company 2010 Omnibus Incentive Plan,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Statement (Form S-3 No. 333-175929),</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Statement (Form S-3 No. 333-198844),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Statement (Form S-3 No. 333-217622);</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our reports dated January 8, 2018, with respect to the consolidated financial statements of Limoneira Company and the effectiveness of internal control over financial reporting of Limoneira Company included in this Annual Report (Form 10-K) of Limoneira Company for the year ended October 31, 2017.</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620" w:hanging="171"/>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Limoneira Company (the “Registrant”);</w:t>
      </w:r>
    </w:p>
    <w:p>
      <w:pPr>
        <w:spacing w:after="0" w:line="225" w:lineRule="exact"/>
        <w:rPr>
          <w:rFonts w:ascii="Arial" w:cs="Arial" w:eastAsia="Arial" w:hAnsi="Arial"/>
          <w:sz w:val="18"/>
          <w:szCs w:val="18"/>
          <w:color w:val="auto"/>
        </w:rPr>
      </w:pPr>
    </w:p>
    <w:p>
      <w:pPr>
        <w:ind w:firstLine="449"/>
        <w:spacing w:after="0" w:line="342" w:lineRule="auto"/>
        <w:tabs>
          <w:tab w:leader="none" w:pos="633"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49"/>
        <w:spacing w:after="0" w:line="277" w:lineRule="auto"/>
        <w:tabs>
          <w:tab w:leader="none" w:pos="6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6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420" w:hanging="426"/>
        <w:spacing w:after="0" w:line="264"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420" w:hanging="426"/>
        <w:spacing w:after="0" w:line="264"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420" w:hanging="426"/>
        <w:spacing w:after="0" w:line="342" w:lineRule="auto"/>
        <w:tabs>
          <w:tab w:leader="none" w:pos="14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20" w:hanging="426"/>
        <w:spacing w:after="0" w:line="264"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49"/>
        <w:spacing w:after="0" w:line="308" w:lineRule="auto"/>
        <w:tabs>
          <w:tab w:leader="none" w:pos="631"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420" w:hanging="426"/>
        <w:spacing w:after="0" w:line="308" w:lineRule="auto"/>
        <w:tabs>
          <w:tab w:leader="none" w:pos="14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20" w:right="20" w:hanging="426"/>
        <w:spacing w:after="0" w:line="277"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8th day of January, 2018.</w:t>
      </w:r>
    </w:p>
    <w:p>
      <w:pPr>
        <w:spacing w:after="0" w:line="225" w:lineRule="exact"/>
        <w:rPr>
          <w:sz w:val="20"/>
          <w:szCs w:val="20"/>
          <w:color w:val="auto"/>
        </w:rPr>
      </w:pPr>
    </w:p>
    <w:p>
      <w:pPr>
        <w:ind w:left="5160"/>
        <w:spacing w:after="0"/>
        <w:tabs>
          <w:tab w:leader="none" w:pos="770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Harold S. Edwards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Director, 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FINANCIAL OFFICER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Joseph D. Rumley, certify that:</w:t>
      </w:r>
    </w:p>
    <w:p>
      <w:pPr>
        <w:spacing w:after="0" w:line="225" w:lineRule="exact"/>
        <w:rPr>
          <w:sz w:val="20"/>
          <w:szCs w:val="20"/>
          <w:color w:val="auto"/>
        </w:rPr>
      </w:pPr>
    </w:p>
    <w:p>
      <w:pPr>
        <w:ind w:left="620" w:hanging="171"/>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Limoneira Company (the “Registrant”);</w:t>
      </w:r>
    </w:p>
    <w:p>
      <w:pPr>
        <w:spacing w:after="0" w:line="225" w:lineRule="exact"/>
        <w:rPr>
          <w:rFonts w:ascii="Arial" w:cs="Arial" w:eastAsia="Arial" w:hAnsi="Arial"/>
          <w:sz w:val="18"/>
          <w:szCs w:val="18"/>
          <w:color w:val="auto"/>
        </w:rPr>
      </w:pPr>
    </w:p>
    <w:p>
      <w:pPr>
        <w:ind w:firstLine="449"/>
        <w:spacing w:after="0" w:line="342" w:lineRule="auto"/>
        <w:tabs>
          <w:tab w:leader="none" w:pos="633"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49"/>
        <w:spacing w:after="0" w:line="277" w:lineRule="auto"/>
        <w:tabs>
          <w:tab w:leader="none" w:pos="6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6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420" w:hanging="426"/>
        <w:spacing w:after="0" w:line="264" w:lineRule="auto"/>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420" w:hanging="426"/>
        <w:spacing w:after="0" w:line="264" w:lineRule="auto"/>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420" w:hanging="426"/>
        <w:spacing w:after="0" w:line="342" w:lineRule="auto"/>
        <w:tabs>
          <w:tab w:leader="none" w:pos="14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20" w:hanging="426"/>
        <w:spacing w:after="0" w:line="264" w:lineRule="auto"/>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49"/>
        <w:spacing w:after="0" w:line="308" w:lineRule="auto"/>
        <w:tabs>
          <w:tab w:leader="none" w:pos="63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420" w:hanging="426"/>
        <w:spacing w:after="0" w:line="308" w:lineRule="auto"/>
        <w:tabs>
          <w:tab w:leader="none" w:pos="14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20" w:right="20" w:hanging="426"/>
        <w:spacing w:after="0" w:line="277" w:lineRule="auto"/>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this 8th day of January, 2018.</w:t>
      </w:r>
    </w:p>
    <w:p>
      <w:pPr>
        <w:spacing w:after="0" w:line="225" w:lineRule="exact"/>
        <w:rPr>
          <w:sz w:val="20"/>
          <w:szCs w:val="20"/>
          <w:color w:val="auto"/>
        </w:rPr>
      </w:pPr>
    </w:p>
    <w:p>
      <w:pPr>
        <w:ind w:left="5160"/>
        <w:spacing w:after="0"/>
        <w:tabs>
          <w:tab w:leader="none" w:pos="7720" w:val="left"/>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Joseph D. Rumley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Joseph D. Rumley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Treasurer and Corporate Secretary</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connection with the Annual Report on Form 10-K for the year ended October 31, 2017 (the “Report”) of Limoneira Company (the “Registrant”), as filed with the Securities and Exchange Commission on the date hereof, I, Harold S. Edwards, Director, President and Chief Executive Officer of the Registrant, hereby certify that:</w:t>
      </w:r>
    </w:p>
    <w:p>
      <w:pPr>
        <w:spacing w:after="0" w:line="208" w:lineRule="exact"/>
        <w:rPr>
          <w:sz w:val="20"/>
          <w:szCs w:val="20"/>
          <w:color w:val="auto"/>
        </w:rPr>
      </w:pPr>
    </w:p>
    <w:p>
      <w:pPr>
        <w:ind w:left="1420" w:hanging="426"/>
        <w:spacing w:after="0"/>
        <w:tabs>
          <w:tab w:leader="none" w:pos="14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420" w:hanging="426"/>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tabs>
          <w:tab w:leader="none" w:pos="5140" w:val="left"/>
          <w:tab w:leader="none" w:pos="7700" w:val="left"/>
          <w:tab w:leader="none" w:pos="8040" w:val="left"/>
        </w:tabs>
        <w:rPr>
          <w:sz w:val="20"/>
          <w:szCs w:val="20"/>
          <w:color w:val="auto"/>
        </w:rPr>
      </w:pPr>
      <w:r>
        <w:rPr>
          <w:rFonts w:ascii="Arial" w:cs="Arial" w:eastAsia="Arial" w:hAnsi="Arial"/>
          <w:sz w:val="18"/>
          <w:szCs w:val="18"/>
          <w:color w:val="auto"/>
        </w:rPr>
        <w:t>Dated this 8th day of January,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Harold S. Edwards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Director, 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connection with the Annual Report on Form 10-K for the year ended October 31, 2017 (the “Report”) of Limoneira Company (the “Registrant”), as filed with the Securities and Exchange Commission on the date hereof, I, Joseph D. Rumley, Chief Financial Officer, Treasurer and Corporate Secretary of the Registrant, hereby certify that:</w:t>
      </w:r>
    </w:p>
    <w:p>
      <w:pPr>
        <w:spacing w:after="0" w:line="208" w:lineRule="exact"/>
        <w:rPr>
          <w:sz w:val="20"/>
          <w:szCs w:val="20"/>
          <w:color w:val="auto"/>
        </w:rPr>
      </w:pPr>
    </w:p>
    <w:p>
      <w:pPr>
        <w:ind w:left="1420" w:hanging="426"/>
        <w:spacing w:after="0"/>
        <w:tabs>
          <w:tab w:leader="none" w:pos="1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420" w:hanging="426"/>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tabs>
          <w:tab w:leader="none" w:pos="5140" w:val="left"/>
          <w:tab w:leader="none" w:pos="7720" w:val="left"/>
          <w:tab w:leader="none" w:pos="8060" w:val="left"/>
        </w:tabs>
        <w:rPr>
          <w:sz w:val="20"/>
          <w:szCs w:val="20"/>
          <w:color w:val="auto"/>
        </w:rPr>
      </w:pPr>
      <w:r>
        <w:rPr>
          <w:rFonts w:ascii="Arial" w:cs="Arial" w:eastAsia="Arial" w:hAnsi="Arial"/>
          <w:sz w:val="18"/>
          <w:szCs w:val="18"/>
          <w:color w:val="auto"/>
        </w:rPr>
        <w:t>Dated this 8th day of January,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Joseph D. Rumley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Joseph D. Rumley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Treasurer and Corporate Secretary</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þ"/>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lvl w:ilvl="1">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lvl w:ilvl="1">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2"/>
    </w:lvl>
  </w:abstractNum>
  <w:abstractNum w:abstractNumId="54">
    <w:nsid w:val="98A3148"/>
    <w:multiLevelType w:val="hybridMultilevel"/>
    <w:lvl w:ilvl="0">
      <w:lvlJc w:val="left"/>
      <w:lvlText w:val="%1."/>
      <w:numFmt w:val="decimal"/>
      <w:start w:val="2"/>
    </w:lvl>
  </w:abstractNum>
  <w:abstractNum w:abstractNumId="55">
    <w:nsid w:val="799D0247"/>
    <w:multiLevelType w:val="hybridMultilevel"/>
    <w:lvl w:ilvl="0">
      <w:lvlJc w:val="left"/>
      <w:lvlText w:val="%1."/>
      <w:numFmt w:val="decimal"/>
      <w:start w:val="2"/>
    </w:lvl>
  </w:abstractNum>
  <w:abstractNum w:abstractNumId="56">
    <w:nsid w:val="6B94764"/>
    <w:multiLevelType w:val="hybridMultilevel"/>
    <w:lvl w:ilvl="0">
      <w:lvlJc w:val="left"/>
      <w:lvlText w:val="%1."/>
      <w:numFmt w:val="decimal"/>
      <w:start w:val="2"/>
    </w:lvl>
  </w:abstractNum>
  <w:abstractNum w:abstractNumId="57">
    <w:nsid w:val="42C296BD"/>
    <w:multiLevelType w:val="hybridMultilevel"/>
    <w:lvl w:ilvl="0">
      <w:lvlJc w:val="left"/>
      <w:lvlText w:val="%1."/>
      <w:numFmt w:val="decimal"/>
      <w:start w:val="2"/>
    </w:lvl>
  </w:abstractNum>
  <w:abstractNum w:abstractNumId="58">
    <w:nsid w:val="168E121F"/>
    <w:multiLevelType w:val="hybridMultilevel"/>
    <w:lvl w:ilvl="0">
      <w:lvlJc w:val="left"/>
      <w:lvlText w:val="%1."/>
      <w:numFmt w:val="decimal"/>
      <w:start w:val="2"/>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decimal"/>
      <w:start w:val="2"/>
    </w:lvl>
  </w:abstractNum>
  <w:abstractNum w:abstractNumId="61">
    <w:nsid w:val="5DC79EA8"/>
    <w:multiLevelType w:val="hybridMultilevel"/>
    <w:lvl w:ilvl="0">
      <w:lvlJc w:val="left"/>
      <w:lvlText w:val="%1."/>
      <w:numFmt w:val="decimal"/>
      <w:start w:val="2"/>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2"/>
    </w:lvl>
  </w:abstractNum>
  <w:abstractNum w:abstractNumId="64">
    <w:nsid w:val="51D9C564"/>
    <w:multiLevelType w:val="hybridMultilevel"/>
    <w:lvl w:ilvl="0">
      <w:lvlJc w:val="left"/>
      <w:lvlText w:val="%1."/>
      <w:numFmt w:val="decimal"/>
      <w:start w:val="3"/>
    </w:lvl>
  </w:abstractNum>
  <w:abstractNum w:abstractNumId="65">
    <w:nsid w:val="613EFDC5"/>
    <w:multiLevelType w:val="hybridMultilevel"/>
    <w:lvl w:ilvl="0">
      <w:lvlJc w:val="left"/>
      <w:lvlText w:val="%1."/>
      <w:numFmt w:val="decimal"/>
      <w:start w:val="3"/>
    </w:lvl>
  </w:abstractNum>
  <w:abstractNum w:abstractNumId="66">
    <w:nsid w:val="BF72B14"/>
    <w:multiLevelType w:val="hybridMultilevel"/>
    <w:lvl w:ilvl="0">
      <w:lvlJc w:val="left"/>
      <w:lvlText w:val="%1."/>
      <w:numFmt w:val="decimal"/>
      <w:start w:val="7"/>
    </w:lvl>
  </w:abstractNum>
  <w:abstractNum w:abstractNumId="67">
    <w:nsid w:val="11447B73"/>
    <w:multiLevelType w:val="hybridMultilevel"/>
    <w:lvl w:ilvl="0">
      <w:lvlJc w:val="left"/>
      <w:lvlText w:val="%1."/>
      <w:numFmt w:val="decimal"/>
      <w:start w:val="7"/>
    </w:lvl>
  </w:abstractNum>
  <w:abstractNum w:abstractNumId="68">
    <w:nsid w:val="42963E5A"/>
    <w:multiLevelType w:val="hybridMultilevel"/>
    <w:lvl w:ilvl="0">
      <w:lvlJc w:val="left"/>
      <w:lvlText w:val="%1."/>
      <w:numFmt w:val="decimal"/>
      <w:start w:val="8"/>
    </w:lvl>
  </w:abstractNum>
  <w:abstractNum w:abstractNumId="69">
    <w:nsid w:val="A0382C5"/>
    <w:multiLevelType w:val="hybridMultilevel"/>
    <w:lvl w:ilvl="0">
      <w:lvlJc w:val="left"/>
      <w:lvlText w:val="%1."/>
      <w:numFmt w:val="decimal"/>
      <w:start w:val="8"/>
    </w:lvl>
  </w:abstractNum>
  <w:abstractNum w:abstractNumId="70">
    <w:nsid w:val="8F2B15E"/>
    <w:multiLevelType w:val="hybridMultilevel"/>
    <w:lvl w:ilvl="0">
      <w:lvlJc w:val="left"/>
      <w:lvlText w:val="%1."/>
      <w:numFmt w:val="decimal"/>
      <w:start w:val="10"/>
    </w:lvl>
  </w:abstractNum>
  <w:abstractNum w:abstractNumId="71">
    <w:nsid w:val="1A32234B"/>
    <w:multiLevelType w:val="hybridMultilevel"/>
    <w:lvl w:ilvl="0">
      <w:lvlJc w:val="left"/>
      <w:lvlText w:val="%1."/>
      <w:numFmt w:val="decimal"/>
      <w:start w:val="20"/>
    </w:lvl>
  </w:abstractNum>
  <w:abstractNum w:abstractNumId="72">
    <w:nsid w:val="3B0FD379"/>
    <w:multiLevelType w:val="hybridMultilevel"/>
    <w:lvl w:ilvl="0">
      <w:lvlJc w:val="left"/>
      <w:lvlText w:val="%1."/>
      <w:numFmt w:val="decimal"/>
      <w:start w:val="20"/>
    </w:lvl>
  </w:abstractNum>
  <w:abstractNum w:abstractNumId="73">
    <w:nsid w:val="68EB2F63"/>
    <w:multiLevelType w:val="hybridMultilevel"/>
    <w:lvl w:ilvl="0">
      <w:lvlJc w:val="left"/>
      <w:lvlText w:val="%1."/>
      <w:numFmt w:val="decimal"/>
      <w:start w:val="21"/>
    </w:lvl>
  </w:abstractNum>
  <w:abstractNum w:abstractNumId="74">
    <w:nsid w:val="4962813B"/>
    <w:multiLevelType w:val="hybridMultilevel"/>
    <w:lvl w:ilvl="0">
      <w:lvlJc w:val="left"/>
      <w:lvlText w:val="%1."/>
      <w:numFmt w:val="decimal"/>
      <w:start w:val="21"/>
    </w:lvl>
  </w:abstractNum>
  <w:abstractNum w:abstractNumId="75">
    <w:nsid w:val="60B6DF70"/>
    <w:multiLevelType w:val="hybridMultilevel"/>
    <w:lvl w:ilvl="0">
      <w:lvlJc w:val="left"/>
      <w:lvlText w:val="%1."/>
      <w:numFmt w:val="decimal"/>
      <w:start w:val="21"/>
    </w:lvl>
  </w:abstractNum>
  <w:abstractNum w:abstractNumId="76">
    <w:nsid w:val="6A5EE64"/>
    <w:multiLevelType w:val="hybridMultilevel"/>
    <w:lvl w:ilvl="0">
      <w:lvlJc w:val="left"/>
      <w:lvlText w:val="%1."/>
      <w:numFmt w:val="decimal"/>
      <w:start w:val="22"/>
    </w:lvl>
  </w:abstractNum>
  <w:abstractNum w:abstractNumId="77">
    <w:nsid w:val="14330624"/>
    <w:multiLevelType w:val="hybridMultilevel"/>
    <w:lvl w:ilvl="0">
      <w:lvlJc w:val="left"/>
      <w:lvlText w:val="(%1)"/>
      <w:numFmt w:val="lowerLetter"/>
      <w:start w:val="2"/>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93" Type="http://schemas.openxmlformats.org/officeDocument/2006/relationships/image" Target="media/image119.png"/><Relationship Id="rId194" Type="http://schemas.openxmlformats.org/officeDocument/2006/relationships/image" Target="media/image120.png"/><Relationship Id="rId195" Type="http://schemas.openxmlformats.org/officeDocument/2006/relationships/image" Target="media/image121.png"/><Relationship Id="rId196" Type="http://schemas.openxmlformats.org/officeDocument/2006/relationships/image" Target="media/image122.png"/><Relationship Id="rId197" Type="http://schemas.openxmlformats.org/officeDocument/2006/relationships/image" Target="media/image123.png"/><Relationship Id="rId198" Type="http://schemas.openxmlformats.org/officeDocument/2006/relationships/image" Target="media/image124.png"/><Relationship Id="rId199" Type="http://schemas.openxmlformats.org/officeDocument/2006/relationships/image" Target="media/image125.png"/><Relationship Id="rId200" Type="http://schemas.openxmlformats.org/officeDocument/2006/relationships/image" Target="media/image126.png"/><Relationship Id="rId201" Type="http://schemas.openxmlformats.org/officeDocument/2006/relationships/image" Target="media/image127.png"/><Relationship Id="rId202" Type="http://schemas.openxmlformats.org/officeDocument/2006/relationships/image" Target="media/image128.png"/><Relationship Id="rId203" Type="http://schemas.openxmlformats.org/officeDocument/2006/relationships/image" Target="media/image129.png"/><Relationship Id="rId126" Type="http://schemas.openxmlformats.org/officeDocument/2006/relationships/hyperlink" Target="http://www.sec.gov/Archives/edgar/data/1342423/000114420410007241/v173157_ex3-2.htm" TargetMode="External"/><Relationship Id="rId127" Type="http://schemas.openxmlformats.org/officeDocument/2006/relationships/hyperlink" Target="http://www.sec.gov/Archives/edgar/data/1342423/000114420410007241/v173157_ex3-3.htm" TargetMode="External"/><Relationship Id="rId128" Type="http://schemas.openxmlformats.org/officeDocument/2006/relationships/hyperlink" Target="http://www.sec.gov/Archives/edgar/data/1342423/000114420410007241/v173157_ex3-6.htm" TargetMode="External"/><Relationship Id="rId129" Type="http://schemas.openxmlformats.org/officeDocument/2006/relationships/hyperlink" Target="http://www.sec.gov/Archives/edgar/data/1342423/000114420410007241/v173157_ex3-1.htm" TargetMode="External"/><Relationship Id="rId130" Type="http://schemas.openxmlformats.org/officeDocument/2006/relationships/hyperlink" Target="http://www.sec.gov/Archives/edgar/data/1342423/000114420410007241/v173157_ex3-7.htm" TargetMode="External"/><Relationship Id="rId131" Type="http://schemas.openxmlformats.org/officeDocument/2006/relationships/hyperlink" Target="http://www.sec.gov/Archives/edgar/data/1342423/000114420410017415/v178900_ex3-9.htm" TargetMode="External"/><Relationship Id="rId132" Type="http://schemas.openxmlformats.org/officeDocument/2006/relationships/hyperlink" Target="http://www.sec.gov/Archives/edgar/data/1342423/000114420417018212/v463210_ex3-1.htm" TargetMode="External"/><Relationship Id="rId133" Type="http://schemas.openxmlformats.org/officeDocument/2006/relationships/hyperlink" Target="http://www.sec.gov/Archives/edgar/data/1342423/000114420413002202/v330368_ex3-10.htm" TargetMode="External"/><Relationship Id="rId134" Type="http://schemas.openxmlformats.org/officeDocument/2006/relationships/hyperlink" Target="http://www.sec.gov/Archives/edgar/data/1342423/000114420413052234/v354983_ex3-1.htm" TargetMode="External"/><Relationship Id="rId135" Type="http://schemas.openxmlformats.org/officeDocument/2006/relationships/hyperlink" Target="http://www.sec.gov/Archives/edgar/data/1342423/000114420414074732/v396904_ex3-1.htm" TargetMode="External"/><Relationship Id="rId136" Type="http://schemas.openxmlformats.org/officeDocument/2006/relationships/hyperlink" Target="http://www.sec.gov/Archives/edgar/data/1342423/000114420417003812/v457525_ex3-1.htm" TargetMode="External"/><Relationship Id="rId137" Type="http://schemas.openxmlformats.org/officeDocument/2006/relationships/hyperlink" Target="http://www.sec.gov/Archives/edgar/data/1342423/000114420417038316/v471546_ex3-1.htm" TargetMode="External"/><Relationship Id="rId138" Type="http://schemas.openxmlformats.org/officeDocument/2006/relationships/hyperlink" Target="http://www.sec.gov/Archives/edgar/data/1342423/000114420410007241/v173157_ex4-1.htm" TargetMode="External"/><Relationship Id="rId139" Type="http://schemas.openxmlformats.org/officeDocument/2006/relationships/hyperlink" Target="http://www.sec.gov/Archives/edgar/data/1342423/000114420410007241/v173157_ex4-2.htm" TargetMode="External"/><Relationship Id="rId140" Type="http://schemas.openxmlformats.org/officeDocument/2006/relationships/hyperlink" Target="http://www.sec.gov/Archives/edgar/data/1342423/000114420410007241/v173157_ex3-8.htm" TargetMode="External"/><Relationship Id="rId141" Type="http://schemas.openxmlformats.org/officeDocument/2006/relationships/hyperlink" Target="http://www.sec.gov/Archives/edgar/data/1342423/000114420410007241/v173157_ex3-4.htm" TargetMode="External"/><Relationship Id="rId142" Type="http://schemas.openxmlformats.org/officeDocument/2006/relationships/hyperlink" Target="http://www.sec.gov/Archives/edgar/data/1342423/000114420414017379/v372494_ex3-1.htm" TargetMode="External"/><Relationship Id="rId143" Type="http://schemas.openxmlformats.org/officeDocument/2006/relationships/hyperlink" Target="http://www.sec.gov/Archives/edgar/data/1342423/000114420410046536/v195082_ex10-1.htm" TargetMode="External"/><Relationship Id="rId144" Type="http://schemas.openxmlformats.org/officeDocument/2006/relationships/hyperlink" Target="http://www.sec.gov/Archives/edgar/data/1342423/000114420410046536/v195082_ex10-2.htm" TargetMode="External"/><Relationship Id="rId145" Type="http://schemas.openxmlformats.org/officeDocument/2006/relationships/hyperlink" Target="http://www.sec.gov/Archives/edgar/data/1342423/000114420410007241/v173157_ex10-2.htm" TargetMode="External"/><Relationship Id="rId146" Type="http://schemas.openxmlformats.org/officeDocument/2006/relationships/hyperlink" Target="http://www.sec.gov/Archives/edgar/data/1342423/000114420410007241/v173157_ex10-3.htm" TargetMode="External"/><Relationship Id="rId147" Type="http://schemas.openxmlformats.org/officeDocument/2006/relationships/hyperlink" Target="http://www.sec.gov/Archives/edgar/data/1342423/000114420410007241/v173157_ex10-4.htm" TargetMode="External"/><Relationship Id="rId148" Type="http://schemas.openxmlformats.org/officeDocument/2006/relationships/hyperlink" Target="http://www.sec.gov/Archives/edgar/data/1342423/000114420410007241/v173157_ex10-5.htm" TargetMode="External"/><Relationship Id="rId149" Type="http://schemas.openxmlformats.org/officeDocument/2006/relationships/hyperlink" Target="http://www.sec.gov/Archives/edgar/data/1342423/000114420410007241/v173157_ex10-6.htm" TargetMode="External"/><Relationship Id="rId150" Type="http://schemas.openxmlformats.org/officeDocument/2006/relationships/hyperlink" Target="http://www.sec.gov/Archives/edgar/data/1342423/000114420410007241/v173157_ex10-7.htm" TargetMode="External"/><Relationship Id="rId151" Type="http://schemas.openxmlformats.org/officeDocument/2006/relationships/hyperlink" Target="http://www.sec.gov/Archives/edgar/data/1342423/000114420410017415/v178900_ex10-8.htm" TargetMode="External"/><Relationship Id="rId152" Type="http://schemas.openxmlformats.org/officeDocument/2006/relationships/hyperlink" Target="http://www.sec.gov/Archives/edgar/data/1342423/000114420411065588/v241022_ex10-1.htm" TargetMode="External"/><Relationship Id="rId153" Type="http://schemas.openxmlformats.org/officeDocument/2006/relationships/hyperlink" Target="http://www.sec.gov/Archives/edgar/data/1342423/000114420414020244/v373653_ex10-1.htm" TargetMode="External"/><Relationship Id="rId154" Type="http://schemas.openxmlformats.org/officeDocument/2006/relationships/hyperlink" Target="http://www.sec.gov/Archives/edgar/data/1342423/000114420410017415/v178900_ex10-9.htm" TargetMode="External"/><Relationship Id="rId155" Type="http://schemas.openxmlformats.org/officeDocument/2006/relationships/hyperlink" Target="http://www.sec.gov/Archives/edgar/data/1342423/000114420410007241/v173157_ex10-10.htm" TargetMode="External"/><Relationship Id="rId156" Type="http://schemas.openxmlformats.org/officeDocument/2006/relationships/hyperlink" Target="http://www.sec.gov/Archives/edgar/data/1342423/000114420410007241/v173157_ex10-12.htm" TargetMode="External"/><Relationship Id="rId157" Type="http://schemas.openxmlformats.org/officeDocument/2006/relationships/hyperlink" Target="http://www.sec.gov/Archives/edgar/data/1342423/000114420412025512/v311570_ex10-2.htm" TargetMode="External"/><Relationship Id="rId158" Type="http://schemas.openxmlformats.org/officeDocument/2006/relationships/hyperlink" Target="http://www.sec.gov/Archives/edgar/data/1342423/000114420412025512/v311570_ex10-1.htm" TargetMode="External"/><Relationship Id="rId159" Type="http://schemas.openxmlformats.org/officeDocument/2006/relationships/hyperlink" Target="http://www.sec.gov/Archives/edgar/data/1342423/000114420417018212/v463210_ex10-1.htm" TargetMode="External"/><Relationship Id="rId160" Type="http://schemas.openxmlformats.org/officeDocument/2006/relationships/hyperlink" Target="http://www.sec.gov/Archives/edgar/data/1342423/000114420411004189/v209038_ex10-16.htm" TargetMode="External"/><Relationship Id="rId161" Type="http://schemas.openxmlformats.org/officeDocument/2006/relationships/hyperlink" Target="http://www.sec.gov/Archives/edgar/data/1342423/000114420410007241/v173157_ex10-15.htm" TargetMode="External"/><Relationship Id="rId162" Type="http://schemas.openxmlformats.org/officeDocument/2006/relationships/hyperlink" Target="http://www.sec.gov/Archives/edgar/data/1342423/000114420410017415/v178900_ex10-20.htm" TargetMode="External"/><Relationship Id="rId163" Type="http://schemas.openxmlformats.org/officeDocument/2006/relationships/hyperlink" Target="http://www.sec.gov/Archives/edgar/data/1342423/000114420410017415/v178900_ex10-24.htm" TargetMode="External"/><Relationship Id="rId164" Type="http://schemas.openxmlformats.org/officeDocument/2006/relationships/hyperlink" Target="http://www.sec.gov/Archives/edgar/data/1342423/000114420412001833/v245178_ex10-1.htm" TargetMode="External"/><Relationship Id="rId165" Type="http://schemas.openxmlformats.org/officeDocument/2006/relationships/hyperlink" Target="http://www.sec.gov/Archives/edgar/data/1342423/000114420412001833/v245178_ex10-2.htm" TargetMode="External"/><Relationship Id="rId166" Type="http://schemas.openxmlformats.org/officeDocument/2006/relationships/hyperlink" Target="http://www.sec.gov/Archives/edgar/data/1342423/000114420412001833/v245178_ex10-3.htm" TargetMode="External"/><Relationship Id="rId167" Type="http://schemas.openxmlformats.org/officeDocument/2006/relationships/hyperlink" Target="http://www.sec.gov/Archives/edgar/data/1342423/000114420412001833/v245178_ex10-4.htm" TargetMode="External"/><Relationship Id="rId168" Type="http://schemas.openxmlformats.org/officeDocument/2006/relationships/hyperlink" Target="http://www.sec.gov/Archives/edgar/data/1342423/000114420412001833/v245178_ex10-5.htm" TargetMode="External"/><Relationship Id="rId169" Type="http://schemas.openxmlformats.org/officeDocument/2006/relationships/hyperlink" Target="http://www.sec.gov/Archives/edgar/data/1342423/000114420412001833/v245178_ex10-6.htm" TargetMode="External"/><Relationship Id="rId170" Type="http://schemas.openxmlformats.org/officeDocument/2006/relationships/hyperlink" Target="http://www.sec.gov/Archives/edgar/data/1342423/000114420413034094/v345646_ex10-1.htm" TargetMode="External"/><Relationship Id="rId171" Type="http://schemas.openxmlformats.org/officeDocument/2006/relationships/hyperlink" Target="http://www.sec.gov/Archives/edgar/data/1342423/000114420413021619/v341341_ex10-1.htm" TargetMode="External"/><Relationship Id="rId172" Type="http://schemas.openxmlformats.org/officeDocument/2006/relationships/hyperlink" Target="http://www.sec.gov/Archives/edgar/data/1342423/000114420413037714/v349189_ex10-1.htm" TargetMode="External"/><Relationship Id="rId173" Type="http://schemas.openxmlformats.org/officeDocument/2006/relationships/hyperlink" Target="http://www.sec.gov/Archives/edgar/data/1342423/000114420415014822/v402486_ex10-1.htm" TargetMode="External"/><Relationship Id="rId174" Type="http://schemas.openxmlformats.org/officeDocument/2006/relationships/hyperlink" Target="http://www.sec.gov/Archives/edgar/data/1342423/000114420413050340/v354907_ex10-1.htm" TargetMode="External"/><Relationship Id="rId175" Type="http://schemas.openxmlformats.org/officeDocument/2006/relationships/hyperlink" Target="http://www.sec.gov/Archives/edgar/data/1342423/000114420413055079/v357305_10-1.htm" TargetMode="External"/><Relationship Id="rId176" Type="http://schemas.openxmlformats.org/officeDocument/2006/relationships/hyperlink" Target="http://www.sec.gov/Archives/edgar/data/1342423/000114420413065567/v362135_ex10-1.htm" TargetMode="External"/><Relationship Id="rId177" Type="http://schemas.openxmlformats.org/officeDocument/2006/relationships/hyperlink" Target="http://www.sec.gov/Archives/edgar/data/1342423/000114420413065567/v362135_ex10-2.htm" TargetMode="External"/><Relationship Id="rId178" Type="http://schemas.openxmlformats.org/officeDocument/2006/relationships/hyperlink" Target="http://www.sec.gov/Archives/edgar/data/1342423/000114420413065567/v362135_ex10-3.htm" TargetMode="External"/><Relationship Id="rId179" Type="http://schemas.openxmlformats.org/officeDocument/2006/relationships/hyperlink" Target="http://www.sec.gov/Archives/edgar/data/1342423/000114420413065567/v362135_ex10-4.htm" TargetMode="External"/><Relationship Id="rId180" Type="http://schemas.openxmlformats.org/officeDocument/2006/relationships/hyperlink" Target="http://www.sec.gov/Archives/edgar/data/1342423/000114420414017379/v372494_ex10-1.htm" TargetMode="External"/><Relationship Id="rId181" Type="http://schemas.openxmlformats.org/officeDocument/2006/relationships/hyperlink" Target="http://www.sec.gov/Archives/edgar/data/1342423/000114420415054410/v420019_ex10-1.htm" TargetMode="External"/><Relationship Id="rId182" Type="http://schemas.openxmlformats.org/officeDocument/2006/relationships/hyperlink" Target="http://www.sec.gov/Archives/edgar/data/1342423/000114420415065962/v424649_ex10-1.htm" TargetMode="External"/><Relationship Id="rId183" Type="http://schemas.openxmlformats.org/officeDocument/2006/relationships/hyperlink" Target="http://www.sec.gov/Archives/edgar/data/1342423/000114420415072332/v427639_ex10-1.htm" TargetMode="External"/><Relationship Id="rId184" Type="http://schemas.openxmlformats.org/officeDocument/2006/relationships/hyperlink" Target="http://www.sec.gov/Archives/edgar/data/1342423/000114420416087197/v433073_ex10-1.htm" TargetMode="External"/><Relationship Id="rId185" Type="http://schemas.openxmlformats.org/officeDocument/2006/relationships/hyperlink" Target="http://www.sec.gov/Archives/edgar/data/1342423/000114420416087197/v433073_ex10-2.htm" TargetMode="External"/><Relationship Id="rId186" Type="http://schemas.openxmlformats.org/officeDocument/2006/relationships/hyperlink" Target="http://www.sec.gov/Archives/edgar/data/1342423/000114420416083273/v432223_ex10-1.htm" TargetMode="External"/><Relationship Id="rId187" Type="http://schemas.openxmlformats.org/officeDocument/2006/relationships/hyperlink" Target="http://www.sec.gov/Archives/edgar/data/1342423/000114420415065962/v424649_ex10-2.htm" TargetMode="External"/><Relationship Id="rId188" Type="http://schemas.openxmlformats.org/officeDocument/2006/relationships/hyperlink" Target="http://www.sec.gov/Archives/edgar/data/1342423/000114420415065962/v424649_ex10-3.htm" TargetMode="External"/><Relationship Id="rId189" Type="http://schemas.openxmlformats.org/officeDocument/2006/relationships/hyperlink" Target="http://www.sec.gov/Archives/edgar/data/1342423/000114420416087197/v433073_ex10-8.htm" TargetMode="External"/><Relationship Id="rId190" Type="http://schemas.openxmlformats.org/officeDocument/2006/relationships/hyperlink" Target="http://www.sec.gov/Archives/edgar/data/1342423/000114420417033455/v469385_ex10-1.htm" TargetMode="External"/><Relationship Id="rId191" Type="http://schemas.openxmlformats.org/officeDocument/2006/relationships/hyperlink" Target="http://www.sec.gov/Archives/edgar/data/1342423/000114420417033455/v469385_ex10-2.htm" TargetMode="External"/><Relationship Id="rId192" Type="http://schemas.openxmlformats.org/officeDocument/2006/relationships/hyperlink" Target="http://www.sec.gov/Archives/edgar/data/1342423/000114420417033455/v469385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2019-12-29T02:11:54Z</dcterms:created>
  <dcterms:modified xsi:type="dcterms:W3CDTF">2019-12-29T02:11:54Z</dcterms:modified>
</cp:coreProperties>
</file>